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6E" w:rsidRPr="0083521F" w:rsidRDefault="0075536E" w:rsidP="0075536E">
      <w:pPr>
        <w:spacing w:before="120"/>
        <w:jc w:val="center"/>
        <w:rPr>
          <w:b/>
          <w:bCs/>
          <w:sz w:val="32"/>
          <w:szCs w:val="32"/>
        </w:rPr>
      </w:pPr>
      <w:r w:rsidRPr="0083521F">
        <w:rPr>
          <w:b/>
          <w:bCs/>
          <w:sz w:val="32"/>
          <w:szCs w:val="32"/>
        </w:rPr>
        <w:t>Несчастные случаи, подлежащие расследованию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>Несчастным случаем на производстве в соответствии со статьей 3 Закона от 24 июля 1998 года №125-ФЗ признается событие, в результате которого застрахованный человек получил увечье или иное повреждение здоровья при исполнении им обязанностей по трудовому договору (контракту) и в иных установленных данным Федеральным законом случаях, как на территории страхователя, так и за ее пределами,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смерть.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В соответствии со статьей 227 Трудового кодекса Российской Федерации (далее ТК РФ) расследуются и подлежат учету, как несчастные случаи на производстве, следующие случаи, повлекшие за собой необходимость перевода работника на другую работу, временную или стойкую утрату им трудоспособности либо смерть работника: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травма, в том числе нанесенная другим лицом;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острое отравление;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тепловой удар;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ожог;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обморожение;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утопление;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поражение электрическим током, молнией, излучением;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укусы насекомых и пресмыкающихся, телесные повреждения, нанесенные животными;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повреждения, полученные в результате взрывов, аварий, разрушения зданий, сооружений и конструкций, стихийных бедствий и других чрезвычайных ситуаций.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Вышеперечисленные несчастные случаи подлежат расследованию в том случае, если они произошли: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в течение рабочего времени на территории организации или вне ее (в том числе во время установленных перерывов), а также в течение времени, необходимого для приведения в порядок орудий производства и одежды перед началом и после окончания работы, или при выполнении работ в сверхурочное время, выходные и праздничные нерабочие дни;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при следовании к месту работы или с работы на транспорте, предоставленном работодателем (его представителем), либо на личном транспорте в случае использования указанного транспорта в производственных целях по распоряжению работодателя (его представителя) либо по соглашению сторон трудового договора;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при следовании к месту служебной командировки и обратно;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 и другие);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при работе вахтовым методом во время междусменного отдыха, а также при нахождении на судне в свободное от вахты и судовых работ время;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при привлечении работника в установленном порядке к участию в ликвидации последствий катастрофы, аварии и других чрезвычайных происшествий природного и техногенного характера;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при осуществлении действий, не входящих в трудовые обязанности работника, но совершаемых в интересах работодателя (его представителя) или направленных на предотвращение аварии или несчастного случая.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Согласно статье 227 ТК РФ расследованию и учету подлежат несчастные случаи на производстве, происшедшие с работниками и другими лицами, в том числе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 работы по заданию организации или работодателя - физического лица. К указанным лицам относятся: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работники, выполняющие работу по трудовому договору;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студенты образовательных учреждений высшего и среднего профессионального образования, учащиеся образовательных учреждений среднего, начального профессионального образования и образовательных учреждений основного общего образования, проходящие производственную практику в организациях;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лица, осужденные к лишению свободы и привлекаемые к труду администрацией организации;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другие лица, участвующие в производственной деятельности организации или индивидуального предпринимателя.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К другим лицам согласно Приложению №2 "Положение об особенностях расследования несчастных случаев на производстве в отдельных отраслях и организациях" к Постановлению Министерства труда и социального развития Российской Федерации от 24 октября 2002 года №73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относятся: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военнослужащие, студенты и учащиеся образовательных учреждений соответствующего уровня, направленные в организации для выполнения строительных, сельскохозяйственных и иных работ, не связанных с несением воинской службы либо учебным процессом;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члены семей работодателей - физических лиц (глав крестьянских фермерских хозяйств), членов кооперативов, участников хозяйственных товариществ или иных обществ, работающих у них (в них) на собственный счет;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члены советов директоров (наблюдательных советов) организаций, конкурсных и внешних управляющих; граждане, привлекаемые по решению компетентного органа власти к выполнению общественно-полезных работ либо мероприятий гражданского характера;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работники сторонних организаций, направленных по договоренности между работодателями в целях оказания практической помощи по вопросам организации производства;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лица, проходящие научно-педагогическую и научную подготовку в системе послевузовского профессионального образования (аспиранты и докторанты);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работники, проходящие переобучение без отрыва от работы на основе заключенного с работодателем ученического договора;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 xml:space="preserve">психически больные, получающие лечение в психиатрических (психоневрологических) учреждениях, привлекаемые к труду в порядке трудотерапии в соответствии с медицинскими рекомендациями. </w:t>
      </w:r>
    </w:p>
    <w:p w:rsidR="0075536E" w:rsidRPr="00B369EA" w:rsidRDefault="0075536E" w:rsidP="0075536E">
      <w:pPr>
        <w:spacing w:before="120"/>
        <w:ind w:firstLine="567"/>
        <w:jc w:val="both"/>
      </w:pPr>
      <w:r w:rsidRPr="00B369EA">
        <w:t>Указом Президента Российской Федерации от 9 марта 2004 года №314 "О системе и структуре федеральных органов исполнительной власти" Министерство труда и социального развития Российской Федерации упразднено. Образована Федеральная служба по труду и занятости, которой переданы правоприменительные функции, функции по контролю и надзору и функции по оказанию государственных услуг упраздняемого Министерства труда и социального развития Российской Федерации.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36E"/>
    <w:rsid w:val="00616072"/>
    <w:rsid w:val="0075536E"/>
    <w:rsid w:val="0083521F"/>
    <w:rsid w:val="008B35EE"/>
    <w:rsid w:val="00B369EA"/>
    <w:rsid w:val="00B42C45"/>
    <w:rsid w:val="00B47B6A"/>
    <w:rsid w:val="00CB6A86"/>
    <w:rsid w:val="00E3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C57B21-4AF3-4A7B-A028-95FC527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6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5536E"/>
    <w:rPr>
      <w:color w:val="22229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3890</Words>
  <Characters>2218</Characters>
  <Application>Microsoft Office Word</Application>
  <DocSecurity>0</DocSecurity>
  <Lines>18</Lines>
  <Paragraphs>12</Paragraphs>
  <ScaleCrop>false</ScaleCrop>
  <Company>Home</Company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Несчастные случаи, подлежащие расследованию</dc:title>
  <dc:subject/>
  <dc:creator>User</dc:creator>
  <cp:keywords/>
  <dc:description/>
  <cp:lastModifiedBy>admin</cp:lastModifiedBy>
  <cp:revision>2</cp:revision>
  <dcterms:created xsi:type="dcterms:W3CDTF">2014-01-24T17:04:00Z</dcterms:created>
  <dcterms:modified xsi:type="dcterms:W3CDTF">2014-01-24T17:04:00Z</dcterms:modified>
</cp:coreProperties>
</file>