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8C" w:rsidRPr="00096B7C" w:rsidRDefault="0070498C" w:rsidP="0070498C">
      <w:pPr>
        <w:spacing w:before="120"/>
        <w:jc w:val="center"/>
        <w:rPr>
          <w:b/>
          <w:bCs/>
          <w:sz w:val="32"/>
          <w:szCs w:val="32"/>
        </w:rPr>
      </w:pPr>
      <w:r w:rsidRPr="00096B7C">
        <w:rPr>
          <w:b/>
          <w:bCs/>
          <w:sz w:val="32"/>
          <w:szCs w:val="32"/>
        </w:rPr>
        <w:t>Порядок расчета налога на игорный бизнес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Налоговая база, согласно статье 367 Налогового кодекса Российской Федерации (далее НК РФ), по каждому из объектов налогообложения определяется как общее количество соответствующих объектов налогообложения.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Налог на игорный бизнес рассчитывается ежемесячно. В соответствии с порядком, установленным статьей 370 НК РФ, сумму налога определяют отдельно по каждому объекту налогообложения, для чего количество объектов одного вида, указанное в свидетельстве, умножают на налоговую ставку, соответствующую данному объекту. Если, к примеру, организация имеет игровые столы и игровые автоматы, то необходимо определить сумму налога по каждому из этих объектов, затем полученные результаты нужно сложить. Это и будет общая сумма налога на игорный бизнес.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Следует обратить внимание на то, что если игровой стол имеет более одного игрового поля, то ставка налога по данному игровому столу должна быть увеличена кратно количеству игровых полей. </w:t>
      </w:r>
    </w:p>
    <w:p w:rsidR="0070498C" w:rsidRPr="00096B7C" w:rsidRDefault="0070498C" w:rsidP="0070498C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 xml:space="preserve">Пример 1.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ООО «Болеро» занимается игорным бизнесом и имеет 7 игровых столов, 24 игровых автомата и 2 кассы тотализатора. Предположим, что из восьми игровых столов 2 стола имеют одно игровое поле, 4 стола – 2 игровых поля и один стол – 3 игровых поля. Для расчета суммы налога будем использовать ставки, установленные в Москве.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Рассчитаем сумму налога по игровым столам: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(2 х 1 + 4 х 2 + 1 х 3) х 100 000 рублей = 1 300 000 рублей.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Рассчитаем сумму налога по игровым автоматам: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24 х 3 750 рублей = 90 000 рублей.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Рассчитаем сумму налога по кассам тотализатора: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2 х 100 000 рублей = 200 000 рублей.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Общая сумма налога на игорный бизнес, если количество объектов меняться не будет, ежемесячно будет составлять 1 590 000 рублей.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Окончание примера. </w:t>
      </w:r>
    </w:p>
    <w:p w:rsidR="0070498C" w:rsidRPr="00096B7C" w:rsidRDefault="0070498C" w:rsidP="0070498C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 xml:space="preserve">Расчет при установлении новых объектов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Порядок исчисления суммы налога на игорный бизнес при установлении новых объектов налогообложения определен пунктом 3 статьи 370 НК РФ. Сумма налога будет зависеть от того, когда новый объект установлен.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Если новый объект установлен до 15 числа текущего налогового периода, то есть текущего календарного месяца, то сумма налога будет определяться как произведение общего количества объектов налогообложения, включая установленный объект, и ставки налога, установленной для данных объектов налогообложения.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По иному сумма налога будет исчислена, если новый объект будет установлен после 15 числа текущего календарного месяца. В этом случае сумма налога по этому объекту (этим объектам) за этот налоговый период будет определяться как произведение количества данных объектов налогообложения и одной второй ставки налога, установленной для этих объектов налогообложения.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Пример 2.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Предположим, что 4 февраля ООО «Болеро» в дополнение к имеющимся 24 игровым автоматам установило 6 новых игровых автоматов. Сумма налога по игровым автоматам в феврале составит: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(24 + 6) х 3 750 рублей = 112 500 рублей.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Предположим, что наша фирма установила 6 новых игровых автоматов не 4 февраля, а 16 февраля, тогда сумма налога по игровым автоматам за февраль составит: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(24 х 3 750 рублей) + (6 х 3 750 рублей х ½) = 101 250 рублей.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Рассчитаем сумму налога в случае, когда новые объекты налогообложения устанавливались как в первой, так и во второй половине месяца. Допустим, что в феврале установлено 6 новых игровых автоматов, причем 2 из них установлено 6 февраля, а 4 автомата установлено 18 февраля. Сумма налога составит: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(24 + 2) х 3 750 рублей + (4 х 3 750 рублей х ½) = 105 000 рублей.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Окончание примера. </w:t>
      </w:r>
    </w:p>
    <w:p w:rsidR="0070498C" w:rsidRPr="00096B7C" w:rsidRDefault="0070498C" w:rsidP="0070498C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 xml:space="preserve">Расчет при выбытии объектов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Порядок расчета суммы налога на игорный бизнес установлен пунктом 4 статьи 370 НК РФ. </w:t>
      </w:r>
    </w:p>
    <w:p w:rsidR="0070498C" w:rsidRPr="00B369EA" w:rsidRDefault="0070498C" w:rsidP="0070498C">
      <w:pPr>
        <w:spacing w:before="120"/>
        <w:jc w:val="both"/>
      </w:pPr>
      <w:r w:rsidRPr="00B369EA">
        <w:t xml:space="preserve">Как при установлении новых объектов, так и при выбытии объектов сумма налога зависит от периода, в котором происходит выбытие объектов налогообложения. Напомним, что выбытие объектов следует зарегистрировать за два дня до их выбытия. Выбывшим объект считается с даты представления налогоплательщиком заявления об изменении количества объектов.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В случае выбытия объекта до 15 числа текущего календарного месяца сумма налога определяется как произведение количества данных объектов налогообложения на половину ставки налога, установленной для этих объектов налогообложения.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Если выбытие объектов налогообложения произойдет после 15 числа месяца, то сумма налога на игорный бизнес будет определяться как произведение общего количества соответствующих объектов, включая выбывший объект (объекты) налогообложения и ставки налога, установленной для данных объектов.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Пример 3.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Допустим, что ООО «Болеро» из 24 имеющихся на начало месяца игровых автоматов 4 февраля убирает 6 игровых автоматов. Сумма налога за февраль по игровым автоматам составит: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(24 – 6) х 3 750 рублей + (6 х 3 750 рублей х ½) = 78 750 рублей.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Пусть в ООО «Болеро» выбытие 6 игровых автоматов произойдет 18 февраля, тогда сумма налога за февраль по игровым автоматам составит: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24 х 3 750 рублей = 90 000 рублей.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Если выбытие 2 игровых автоматов произойдет 4 февраля, а 4 игровых автоматов – 18 февраля, сумма налога будет рассчитана так: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(24 – 2) х 3 750 рублей + (2 х 3 750 рублей х ½) = 86 250 рублей. </w:t>
      </w:r>
    </w:p>
    <w:p w:rsidR="0070498C" w:rsidRPr="00B369EA" w:rsidRDefault="0070498C" w:rsidP="0070498C">
      <w:pPr>
        <w:spacing w:before="120"/>
        <w:ind w:firstLine="567"/>
        <w:jc w:val="both"/>
      </w:pPr>
      <w:r w:rsidRPr="00B369EA">
        <w:t xml:space="preserve">Окончание примера.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98C"/>
    <w:rsid w:val="00096B7C"/>
    <w:rsid w:val="00293C0D"/>
    <w:rsid w:val="00616072"/>
    <w:rsid w:val="0070498C"/>
    <w:rsid w:val="008B35EE"/>
    <w:rsid w:val="00963F7A"/>
    <w:rsid w:val="00B369E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378C35-EB87-4465-B306-151FCBE2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8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0498C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3244</Words>
  <Characters>1850</Characters>
  <Application>Microsoft Office Word</Application>
  <DocSecurity>0</DocSecurity>
  <Lines>15</Lines>
  <Paragraphs>10</Paragraphs>
  <ScaleCrop>false</ScaleCrop>
  <Company>Home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расчета налога на игорный бизнес</dc:title>
  <dc:subject/>
  <dc:creator>User</dc:creator>
  <cp:keywords/>
  <dc:description/>
  <cp:lastModifiedBy>admin</cp:lastModifiedBy>
  <cp:revision>2</cp:revision>
  <dcterms:created xsi:type="dcterms:W3CDTF">2014-01-25T08:48:00Z</dcterms:created>
  <dcterms:modified xsi:type="dcterms:W3CDTF">2014-01-25T08:48:00Z</dcterms:modified>
</cp:coreProperties>
</file>