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FC0" w:rsidRDefault="00C66C25">
      <w:pPr>
        <w:pStyle w:val="1"/>
        <w:jc w:val="center"/>
      </w:pPr>
      <w:r>
        <w:t>Изменение гематологических показателей у больных сахарным диабетом пожилых людей</w:t>
      </w:r>
    </w:p>
    <w:p w:rsidR="00CC2FC0" w:rsidRPr="00C66C25" w:rsidRDefault="00C66C25">
      <w:pPr>
        <w:pStyle w:val="a3"/>
      </w:pPr>
      <w:r>
        <w:t> </w:t>
      </w:r>
    </w:p>
    <w:p w:rsidR="00CC2FC0" w:rsidRDefault="00C66C25">
      <w:pPr>
        <w:pStyle w:val="a3"/>
      </w:pPr>
      <w:r>
        <w:t>Е.А. Липунова, В.Н. Тукин, Т.А. Резанова</w:t>
      </w:r>
    </w:p>
    <w:p w:rsidR="00CC2FC0" w:rsidRDefault="00C66C25">
      <w:pPr>
        <w:pStyle w:val="a3"/>
      </w:pPr>
      <w:r>
        <w:t>Белгородский государственный университет</w:t>
      </w:r>
    </w:p>
    <w:p w:rsidR="00CC2FC0" w:rsidRDefault="00C66C25">
      <w:pPr>
        <w:pStyle w:val="a3"/>
      </w:pPr>
      <w:r>
        <w:t>Введение</w:t>
      </w:r>
    </w:p>
    <w:p w:rsidR="00CC2FC0" w:rsidRDefault="00C66C25">
      <w:pPr>
        <w:pStyle w:val="a3"/>
      </w:pPr>
      <w:r>
        <w:t>Половая специфичность показателей крови человека хорошо известна. Кровь мужчин в единице объема содержит больше клеток, в ней больше гемоглобина и у нее более высокий гематокрит; имеются также различия по некоторым биохимическим свойствам и электрофоретической подвижности эритроцитов [6].</w:t>
      </w:r>
    </w:p>
    <w:p w:rsidR="00CC2FC0" w:rsidRDefault="00C66C25">
      <w:pPr>
        <w:pStyle w:val="a3"/>
      </w:pPr>
      <w:r>
        <w:t>Установлена диагностическая значимость морфологических особенностей эритроцитов в мазках периферической крови. Так, параметры распределения клеток крови по размерам и значению среднего клеточного объема коррелируют с тем или иным заболеванием [9].</w:t>
      </w:r>
    </w:p>
    <w:p w:rsidR="00CC2FC0" w:rsidRDefault="00C66C25">
      <w:pPr>
        <w:pStyle w:val="a3"/>
      </w:pPr>
      <w:r>
        <w:t>Изменения в системе эритрона, индуцированные избытком глюкозы в крови, приводят к метаболическим сдвигам: интенсификации полиолового пути метаболизма глюкозы в эритроците и накоплению в клетках осмотически активного сорбитола, снижению их фильтруемости; торможению синтеза мембранного миоинозитола и опосредованно простагландинов и архидоновой кислоты, позитивно влияющих на деформабельность клеток [2, ; неферментативному гликозилированию белков эритроцитарных мембран и их необратимой структурно-функциональной модификации, нарушению стабильности формы, катионового баланса, снижению осмотической и механической стойкости эритроцитов, сокращению времени их циркуляции [5, 8].</w:t>
      </w:r>
    </w:p>
    <w:p w:rsidR="00CC2FC0" w:rsidRDefault="00C66C25">
      <w:pPr>
        <w:pStyle w:val="a3"/>
      </w:pPr>
      <w:r>
        <w:t>Специфические для сахарного диабета нарушения углеводного обмена (даже на этапе скрытых изменений) ведут к увеличению доли макроцитов [10] и полиморфизму размеров эритроцитов, сферичности формы, появлению значительного числа деформированных и гемолизированных клеток, а также клеток-теней, лишенных гемоглобина [4]. Качественные перестройки в системе эритрона в условиях длительной декомпенсации гликемии способствуют усилению эритродиереза, уменьшению количества эритроцитов, циркулирующих в крови, что в сочетании с ускоренным их старением и снижением деформабельности усиливает гипоксию тканей. Эти изменения сопряжены с глубокими нарушениями обмена [1, 2, 7].</w:t>
      </w:r>
    </w:p>
    <w:p w:rsidR="00CC2FC0" w:rsidRDefault="00C66C25">
      <w:pPr>
        <w:pStyle w:val="a3"/>
      </w:pPr>
      <w:r>
        <w:t>Изменение эритроцитарного звена в комплексе метаболических расстройств у больных сахарным диабетом недостаточно изучено, что становится причиной не всегда адекватной коррекции метаболических сдвигов.</w:t>
      </w:r>
    </w:p>
    <w:p w:rsidR="00CC2FC0" w:rsidRDefault="00C66C25">
      <w:pPr>
        <w:pStyle w:val="a3"/>
      </w:pPr>
      <w:r>
        <w:t>Материалы и методы исследования</w:t>
      </w:r>
    </w:p>
    <w:p w:rsidR="00CC2FC0" w:rsidRDefault="00C66C25">
      <w:pPr>
        <w:pStyle w:val="a3"/>
      </w:pPr>
      <w:r>
        <w:t xml:space="preserve">Изучены гематологические показатели и проведена эритроморфометрия у 28 лиц с инсулинзависимым СД типа 2, в том числе у 15 мужчин (средний возраст 59,5±3,6 лет) и 13 женщин (средний возраст 60,0±5,5 лет) с длительностью заболевания от 8,6±1,9 до 12,2±2,9 лет. Контрольную группу составили 10 практически здоровых лиц обоего пола в возрасте </w:t>
      </w:r>
      <w:r>
        <w:lastRenderedPageBreak/>
        <w:t>56,4±3,1 лет. В крови унифицированными методами, принятыми в клинической гематологии, определяли количество эритроцитов, показатель гематокрита, концентрацию глюкозы и гемоглобина; по данным цитометрии рассчитывали морфометрические индексы: средний объем, среднюю толщину, среднюю площадь поверхности, индекс сферичности эритроцита, а также удельную поверхность, среднеклеточное содержание и концентрацию гемоглобина.</w:t>
      </w:r>
    </w:p>
    <w:p w:rsidR="00CC2FC0" w:rsidRDefault="00C66C25">
      <w:pPr>
        <w:pStyle w:val="a3"/>
      </w:pPr>
      <w:r>
        <w:t>Результаты и обсуждение</w:t>
      </w:r>
    </w:p>
    <w:p w:rsidR="00CC2FC0" w:rsidRDefault="00C66C25">
      <w:pPr>
        <w:pStyle w:val="a3"/>
      </w:pPr>
      <w:r>
        <w:t>Гематологические показатели клинически здоровых мужчин и женщин (табл.) не выходили за пределы условной физиологической нормы. Сопоставительный анализ красной крови выявил у мужчин достоверно более высокое содержание эритроцитов в единице объема крови (на 14,7%), значений показателя гематокрита (на 14,6%) и гемоглобина (на 14,8%). По содержанию и концентрации гемоглобина в единичном эритроците достоверных различий не наблюдалось, но отмечена тенденция более высоких их значений у мужчин.</w:t>
      </w:r>
    </w:p>
    <w:p w:rsidR="00CC2FC0" w:rsidRDefault="00C66C25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240"/>
        <w:gridCol w:w="240"/>
      </w:tblGrid>
      <w:tr w:rsidR="00CC2FC0">
        <w:trPr>
          <w:trHeight w:val="33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C2FC0" w:rsidRPr="00C66C25" w:rsidRDefault="00C66C25">
            <w:pPr>
              <w:pStyle w:val="a3"/>
            </w:pPr>
            <w:r w:rsidRPr="00C66C25">
              <w:br w:type="textWrapping" w:clear="all"/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Здо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ровые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2FC0" w:rsidRDefault="00C66C25">
            <w:r>
              <w:t>Больные сахарным диабетом</w:t>
            </w:r>
          </w:p>
        </w:tc>
      </w:tr>
      <w:tr w:rsidR="00CC2FC0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C2FC0" w:rsidRPr="00C66C25" w:rsidRDefault="00CC2FC0"/>
        </w:tc>
        <w:tc>
          <w:tcPr>
            <w:tcW w:w="0" w:type="auto"/>
            <w:vAlign w:val="center"/>
            <w:hideMark/>
          </w:tcPr>
          <w:p w:rsidR="00CC2FC0" w:rsidRDefault="00C66C25">
            <w:r>
              <w:t>мужчины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женщины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мужчины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женщины</w:t>
            </w:r>
          </w:p>
        </w:tc>
      </w:tr>
      <w:tr w:rsidR="00CC2FC0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CC2FC0" w:rsidRDefault="00C66C25">
            <w:r>
              <w:t>RBC, 1012*л-1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4,84±0,14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4,22±0,09**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5,10+0,07# #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4,23+0,06**</w:t>
            </w:r>
          </w:p>
        </w:tc>
      </w:tr>
      <w:tr w:rsidR="00CC2FC0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CC2FC0" w:rsidRDefault="00C66C25">
            <w:r>
              <w:t>HB, г*л-1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153,80±4,57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134,00±3,02**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137,50+5,55#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124,50+4,01</w:t>
            </w:r>
          </w:p>
        </w:tc>
      </w:tr>
      <w:tr w:rsidR="00CC2FC0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CC2FC0" w:rsidRDefault="00C66C25">
            <w:r>
              <w:t>HT, %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45,60±1,29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39,80±0,86**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42,98+1,37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37,60+1,35*</w:t>
            </w:r>
          </w:p>
        </w:tc>
      </w:tr>
      <w:tr w:rsidR="00CC2FC0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CC2FC0" w:rsidRDefault="00C66C25">
            <w:r>
              <w:t>МСН, пг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31,77±0,14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31,75±0,16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26,96+1,00# #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29,41+0,78#</w:t>
            </w:r>
          </w:p>
        </w:tc>
      </w:tr>
      <w:tr w:rsidR="00CC2FC0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CC2FC0" w:rsidRDefault="00C66C25">
            <w:r>
              <w:t>МСНС, г/дл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33,72±0,05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33,67±0,20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31,99+0,73#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33,21+0,63</w:t>
            </w:r>
          </w:p>
        </w:tc>
      </w:tr>
      <w:tr w:rsidR="00CC2FC0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CC2FC0" w:rsidRDefault="00C66C25">
            <w:r>
              <w:t>Бэр, мкм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7,42±0,07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7,00±0,06**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7,26+0,06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7,02+0,06*</w:t>
            </w:r>
          </w:p>
        </w:tc>
      </w:tr>
      <w:tr w:rsidR="00CC2FC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CC2FC0" w:rsidRDefault="00C66C25">
            <w:r>
              <w:t>Цэр, мкм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2,26±0,04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2,51±0,04**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2,04+0,06# #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2,30+0,09*’ #</w:t>
            </w:r>
          </w:p>
        </w:tc>
      </w:tr>
      <w:tr w:rsidR="00CC2FC0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CC2FC0" w:rsidRDefault="00C66C25">
            <w:r>
              <w:t>Уэр, мкм3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94,21±0,39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94,33±0,94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84,26+2,34# #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88,86+2,88</w:t>
            </w:r>
          </w:p>
        </w:tc>
      </w:tr>
      <w:tr w:rsidR="00CC2FC0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CC2FC0" w:rsidRDefault="00C66C25">
            <w:r>
              <w:t>S^, мкм2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139,38±1,62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131,71±0,77**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129,41+2,89# #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128, 23+1,85</w:t>
            </w:r>
          </w:p>
        </w:tc>
      </w:tr>
      <w:tr w:rsidR="00CC2FC0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CC2FC0" w:rsidRPr="00C66C25" w:rsidRDefault="00C66C25">
            <w:pPr>
              <w:pStyle w:val="a3"/>
            </w:pPr>
            <w:r w:rsidRPr="00C66C25">
              <w:t>S /У</w:t>
            </w:r>
          </w:p>
          <w:p w:rsidR="00CC2FC0" w:rsidRPr="00C66C25" w:rsidRDefault="00C66C25">
            <w:pPr>
              <w:pStyle w:val="a3"/>
            </w:pPr>
            <w:r w:rsidRPr="00C66C25">
              <w:t>к-,эр/ v эр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1,479±0,017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1,396±0,008**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1,150+0,033# #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1,044+0,038*’ #</w:t>
            </w:r>
          </w:p>
        </w:tc>
      </w:tr>
      <w:tr w:rsidR="00CC2FC0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CC2FC0" w:rsidRPr="00C66C25" w:rsidRDefault="00C66C25">
            <w:pPr>
              <w:pStyle w:val="a3"/>
            </w:pPr>
            <w:r w:rsidRPr="00C66C25">
              <w:t>Индекс</w:t>
            </w:r>
          </w:p>
          <w:p w:rsidR="00CC2FC0" w:rsidRPr="00C66C25" w:rsidRDefault="00C66C25">
            <w:pPr>
              <w:pStyle w:val="a3"/>
            </w:pPr>
            <w:r w:rsidRPr="00C66C25">
              <w:t>сферичности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0,686±0,005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0,719±0,004**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0,874+0,026# #</w:t>
            </w:r>
          </w:p>
        </w:tc>
        <w:tc>
          <w:tcPr>
            <w:tcW w:w="0" w:type="auto"/>
            <w:vAlign w:val="center"/>
            <w:hideMark/>
          </w:tcPr>
          <w:p w:rsidR="00CC2FC0" w:rsidRDefault="00C66C25">
            <w:r>
              <w:t>0,970+0,033*’ #</w:t>
            </w:r>
          </w:p>
        </w:tc>
      </w:tr>
    </w:tbl>
    <w:p w:rsidR="00CC2FC0" w:rsidRPr="00C66C25" w:rsidRDefault="00C66C25">
      <w:pPr>
        <w:pStyle w:val="a3"/>
      </w:pPr>
      <w:r>
        <w:t>Примечание. RBC -эритроциты, HB - гемоглобин, HT - показатель гематокрита, МСН - содержание гемоглобина в единичном эритроците, МСНС - концентрация гемоглобина в единичном эритроците, Бэр - средний диаметр эритроцита; H^ - средняя толщина (высота) эритроцита; Уэр - объем эритроцита,—площадь</w:t>
      </w:r>
    </w:p>
    <w:p w:rsidR="00CC2FC0" w:rsidRDefault="00C66C25">
      <w:pPr>
        <w:pStyle w:val="a3"/>
      </w:pPr>
      <w:r>
        <w:t>поверхности эритроцита, S.jp/V.3p - удельная поверхность. р - достоверность различий (по Стьюденту): * - между мужчинами и женщинами внутри групп больных СД и здоровых; # - между здоровыми и больными лицами одного пола; *, # - p&lt;0,05; **, ## - p&lt;0,01.</w:t>
      </w:r>
    </w:p>
    <w:p w:rsidR="00CC2FC0" w:rsidRDefault="00C66C25">
      <w:pPr>
        <w:pStyle w:val="a3"/>
      </w:pPr>
      <w:r>
        <w:t>Сравнивая морфометрические характеристики эритроцитов здоровых пациентов, отмечаем, что у мужчин больше, чем у женщин, средний диаметр эритроцита (на 6,0%), средняя площадь его поверхности (на 5,8%) и меньше толщина (высота) клетки (на 11,1%). Среднеклеточный объем не имел достоверных различий. Меньшая удельная поверхность красных клеток крови у женщин (на 5,7%) свидетельствует о более высокой деформабельности их клеток, а значит и лучших реологических свойствах крови.</w:t>
      </w:r>
    </w:p>
    <w:p w:rsidR="00CC2FC0" w:rsidRDefault="00C66C25">
      <w:pPr>
        <w:pStyle w:val="a3"/>
      </w:pPr>
      <w:r>
        <w:t>У мужчин и женщин больных СД показатели красной крови также находились в пределах физиологической нормы (см. табл.). По содержанию эритроцитов в крови у женщин и показателю гематокрита у мужчин и женщин достоверных различий с аналогичными показателями у лиц контрольной группы не выявлено, но отмечено снижение содержания гемоглобина общего и среднеклеточного на 11,9 и 7,6% и 17,8 и 8,0% у мужчин и женщин соответственно. Достоверных различий концентрации гемоглобина в единичном эритроците не установлено.</w:t>
      </w:r>
    </w:p>
    <w:p w:rsidR="00CC2FC0" w:rsidRDefault="00C66C25">
      <w:pPr>
        <w:pStyle w:val="a3"/>
      </w:pPr>
      <w:r>
        <w:t>Фундаментальным свойством эритроцита служит его объем: у больных СД он ниже - у мужчин на 11,8%, у женщин на 6,2%. Отмечается также увеличение индекса сферичности и снижение удельной поверхности клетки.</w:t>
      </w:r>
    </w:p>
    <w:p w:rsidR="00CC2FC0" w:rsidRDefault="00C66C25">
      <w:pPr>
        <w:pStyle w:val="a3"/>
      </w:pPr>
      <w:r>
        <w:t>Установлена половая специфичность изменения гематологических показателей при СД: у мужчин в единице объема крови выше концентрация эритроцитов (на 20,6%), показатель гематокрита (на 14,6%), гемоглобина (на 10,4%). У мужчин больше диаметр эритроцита (на 3,4%), показатель удельной поверхности (на 10,2%) и меньше толщина (на 12,7%), объем (на 5,5%) и индекс сферичности (на 11,0%) клетки.</w:t>
      </w:r>
    </w:p>
    <w:p w:rsidR="00CC2FC0" w:rsidRDefault="00C66C25">
      <w:pPr>
        <w:pStyle w:val="a3"/>
      </w:pPr>
      <w:r>
        <w:t>Выводы</w:t>
      </w:r>
    </w:p>
    <w:p w:rsidR="00CC2FC0" w:rsidRDefault="00C66C25">
      <w:pPr>
        <w:pStyle w:val="a3"/>
      </w:pPr>
      <w:r>
        <w:t>Кровь клинически здоровых мужчин содержит в единице объема больше, чем у женщин, эритроцитов, их распределение по объему характеризуется положительной асимметрией и выраженным положительным эксцессом, отражающими высокую однородность основной популяции клеток.</w:t>
      </w:r>
    </w:p>
    <w:p w:rsidR="00CC2FC0" w:rsidRDefault="00C66C25">
      <w:pPr>
        <w:pStyle w:val="a3"/>
      </w:pPr>
      <w:r>
        <w:t>Половая специфичность основных гематологических показателей сохраняется у больных сахарным диабетом.</w:t>
      </w:r>
    </w:p>
    <w:p w:rsidR="00CC2FC0" w:rsidRDefault="00C66C25">
      <w:pPr>
        <w:pStyle w:val="a3"/>
      </w:pPr>
      <w:r>
        <w:t>У мужчин и женщин - больных сахарным диабетом отмечено снижение среднего объема, средней площади поверхности и повышение индекса сферичности эритроцита.</w:t>
      </w:r>
    </w:p>
    <w:p w:rsidR="00CC2FC0" w:rsidRDefault="00C66C25">
      <w:pPr>
        <w:pStyle w:val="a3"/>
      </w:pPr>
      <w:r>
        <w:t>Изменение геометрии красных клеток крови при сахарном диабете снижает их вклад в нормальное функционирование гомеостатических систем организма.</w:t>
      </w:r>
    </w:p>
    <w:p w:rsidR="00CC2FC0" w:rsidRDefault="00C66C25">
      <w:pPr>
        <w:pStyle w:val="a3"/>
      </w:pPr>
      <w:r>
        <w:t>Профиль изменений гематологических параметров и морфометрических характеристик оцениваем как проявление адаптационных процессов в системе красной крови, направленных на повышение реологических свойств крови и снижение гипоксии тканей.</w:t>
      </w:r>
    </w:p>
    <w:p w:rsidR="00CC2FC0" w:rsidRDefault="00C66C25">
      <w:pPr>
        <w:pStyle w:val="a3"/>
      </w:pPr>
      <w:r>
        <w:t>Список литературы</w:t>
      </w:r>
    </w:p>
    <w:p w:rsidR="00CC2FC0" w:rsidRDefault="00C66C25">
      <w:pPr>
        <w:pStyle w:val="a3"/>
      </w:pPr>
      <w:r>
        <w:t>Бондарь Т.П., Козинец Г.И. Морфофункциональное состояние эритроцитов периферической крови при поздних сосудистых осложнениях сахарного диабета (обзор литературы) / Клиническая лабораторная диагностика. - 2002. - № 12. - С. 22-34.</w:t>
      </w:r>
    </w:p>
    <w:p w:rsidR="00CC2FC0" w:rsidRDefault="00C66C25">
      <w:pPr>
        <w:pStyle w:val="a3"/>
      </w:pPr>
      <w:r>
        <w:t>Галенок В.А., Гостинская Е.В., Диккер В.Е. Гемореология при нарушениях углеводного обмена. - Новосибирск: Наука, 1987. - 264 с.</w:t>
      </w:r>
    </w:p>
    <w:p w:rsidR="00CC2FC0" w:rsidRDefault="00C66C25">
      <w:pPr>
        <w:pStyle w:val="a3"/>
      </w:pPr>
      <w:r>
        <w:t>Ефимов А.С., Отбросова И.Г., Великий Н.Н. Сорбитоловый путь обмена глюкозы при стрептозотоциновом диабете разной длительности и тяжести // Проблемы эндокринологии. - 1984. - № - С. 71-75.</w:t>
      </w:r>
    </w:p>
    <w:p w:rsidR="00CC2FC0" w:rsidRDefault="00C66C25">
      <w:pPr>
        <w:pStyle w:val="a3"/>
      </w:pPr>
      <w:r>
        <w:t>Ефимов А.С., Плешанов Е.В., Гогина И.Ф. Морфофункциональные изменения эритроцитов при сахарном диабете / Проблемы эндокринологии.-1988.- Т.34, № 2. - С. 13-15.</w:t>
      </w:r>
    </w:p>
    <w:p w:rsidR="00CC2FC0" w:rsidRDefault="00C66C25">
      <w:pPr>
        <w:pStyle w:val="a3"/>
      </w:pPr>
      <w:r>
        <w:t>Катюхин Л.Н. Реологические свойства эритроцитов. Современные методы исследования // Физиологический журнал им. И.М. Сеченова.-1995.- Т.81,№6.- С.122-129.</w:t>
      </w:r>
    </w:p>
    <w:p w:rsidR="00CC2FC0" w:rsidRDefault="00C66C25">
      <w:pPr>
        <w:pStyle w:val="a3"/>
      </w:pPr>
      <w:r>
        <w:t>Качественные различия эритроцитов крови мужчин и женщин // В.Б. Матюшичев, В.Г. Шамратова, Д.А. Музафарова и др. // Бюллетень экспериментальной биологии и медицины. - 1999. - Т. 128, № 10. - С. 372-374.</w:t>
      </w:r>
    </w:p>
    <w:p w:rsidR="00CC2FC0" w:rsidRDefault="00C66C25">
      <w:pPr>
        <w:pStyle w:val="a3"/>
      </w:pPr>
      <w:r>
        <w:t>Козинец Г.И., Высоцкий В.В., Погорелов В.М. Кровь и инфекция. - М.: Изд-во «Триада-фарм», - 456 с.</w:t>
      </w:r>
    </w:p>
    <w:p w:rsidR="00CC2FC0" w:rsidRDefault="00C66C25">
      <w:pPr>
        <w:pStyle w:val="a3"/>
      </w:pPr>
      <w:r>
        <w:t>Нарушения реологических свойств и липидно-фосфолипидного спектра мембран эритроцитов у больных сахарным диабетом / Е.И. Соколов, В.И. Заботнов, С.В. Подачина и др. // Кардиология. - 1996. - № 9. - С. 67-70.</w:t>
      </w:r>
    </w:p>
    <w:p w:rsidR="00CC2FC0" w:rsidRDefault="00C66C25">
      <w:pPr>
        <w:pStyle w:val="a3"/>
      </w:pPr>
      <w:r>
        <w:t>Погорелов В.М., Козинец Г.И. Диагностическая значимость морфологических особенностей эритроцитов в мазках периферической крови // Гематология и трансфузиология. - 2005. - Т. 50, № 5. - С.13-17.</w:t>
      </w:r>
    </w:p>
    <w:p w:rsidR="00CC2FC0" w:rsidRDefault="00C66C25">
      <w:pPr>
        <w:pStyle w:val="a3"/>
      </w:pPr>
      <w:r>
        <w:t>Терещенко И.В., Шевчук В.В. Оценка метаболических и гормональных сдвигов у больных в группах риска по сахарному диабету //Проблемы эндокринологии. - 1995. - № 4. - С. 11-14.</w:t>
      </w:r>
      <w:bookmarkStart w:id="0" w:name="_GoBack"/>
      <w:bookmarkEnd w:id="0"/>
    </w:p>
    <w:sectPr w:rsidR="00CC2F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C25"/>
    <w:rsid w:val="00161DBD"/>
    <w:rsid w:val="00C66C25"/>
    <w:rsid w:val="00CC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90F62-03F7-4FB8-81C2-E530EFD9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1357</Words>
  <Characters>7738</Characters>
  <Application>Microsoft Office Word</Application>
  <DocSecurity>0</DocSecurity>
  <Lines>64</Lines>
  <Paragraphs>18</Paragraphs>
  <ScaleCrop>false</ScaleCrop>
  <Company>diakov.net</Company>
  <LinksUpToDate>false</LinksUpToDate>
  <CharactersWithSpaces>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гематологических показателей у больных сахарным диабетом пожилых людей</dc:title>
  <dc:subject/>
  <dc:creator>Irina</dc:creator>
  <cp:keywords/>
  <dc:description/>
  <cp:lastModifiedBy>Irina</cp:lastModifiedBy>
  <cp:revision>2</cp:revision>
  <dcterms:created xsi:type="dcterms:W3CDTF">2014-11-12T14:17:00Z</dcterms:created>
  <dcterms:modified xsi:type="dcterms:W3CDTF">2014-11-12T14:17:00Z</dcterms:modified>
</cp:coreProperties>
</file>