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CF0F59">
        <w:rPr>
          <w:rFonts w:ascii="Arial" w:hAnsi="Arial" w:cs="Arial"/>
          <w:b/>
          <w:bCs/>
          <w:sz w:val="28"/>
          <w:szCs w:val="28"/>
        </w:rPr>
        <w:t>БЕЛОРУССКИЙ ГОСУДАРСТВЕННЫЙ МЕДИЦИНСКИЙ УНИВЕРСИТЕТ</w:t>
      </w: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CF0F59">
        <w:rPr>
          <w:rFonts w:ascii="Arial" w:hAnsi="Arial" w:cs="Arial"/>
          <w:b/>
          <w:bCs/>
          <w:sz w:val="28"/>
          <w:szCs w:val="28"/>
        </w:rPr>
        <w:t>РЕФЕРАТ</w:t>
      </w: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CF0F59">
        <w:rPr>
          <w:rFonts w:ascii="Arial" w:hAnsi="Arial" w:cs="Arial"/>
          <w:b/>
          <w:bCs/>
          <w:sz w:val="28"/>
          <w:szCs w:val="28"/>
        </w:rPr>
        <w:t>На тему:</w:t>
      </w:r>
    </w:p>
    <w:p w:rsidR="00BA59FB" w:rsidRPr="00CF0F59" w:rsidRDefault="00BA59FB" w:rsidP="00CF0F59">
      <w:pPr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CF0F59">
        <w:rPr>
          <w:b/>
          <w:bCs/>
          <w:sz w:val="28"/>
          <w:szCs w:val="28"/>
        </w:rPr>
        <w:t>«</w:t>
      </w:r>
      <w:r w:rsidRPr="00CF0F59">
        <w:rPr>
          <w:b/>
          <w:sz w:val="28"/>
          <w:szCs w:val="28"/>
        </w:rPr>
        <w:t>Пневмонии и плевриты: классификация , клиника, лечение</w:t>
      </w:r>
      <w:r w:rsidRPr="00CF0F59">
        <w:rPr>
          <w:b/>
          <w:bCs/>
          <w:sz w:val="28"/>
          <w:szCs w:val="28"/>
        </w:rPr>
        <w:t>»</w:t>
      </w: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pStyle w:val="a4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CF0F59">
        <w:rPr>
          <w:rFonts w:ascii="Arial" w:hAnsi="Arial" w:cs="Arial"/>
          <w:b/>
          <w:bCs/>
          <w:sz w:val="28"/>
          <w:szCs w:val="28"/>
        </w:rPr>
        <w:t>МИНСК, 2008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br w:type="page"/>
      </w:r>
      <w:r w:rsidRPr="00CF0F59">
        <w:rPr>
          <w:b/>
          <w:sz w:val="28"/>
          <w:szCs w:val="28"/>
        </w:rPr>
        <w:lastRenderedPageBreak/>
        <w:t>Пневмония</w:t>
      </w:r>
      <w:r w:rsidRPr="00CF0F59">
        <w:rPr>
          <w:sz w:val="28"/>
          <w:szCs w:val="28"/>
        </w:rPr>
        <w:t xml:space="preserve"> – острое инфекционно-воспалительное заболевание преимущественно бактериальной этиологии с вовлечением в воспалительный процесс респираторных отделов легких, обязательной альвеолярной экссудацией, которая распространяется на расположенные рядом бронхи, сосуды, плевру.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Социально-медицинская значимость пневмоний: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заболеваемость составляет 10-15/1000 населения в год;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длительность ВН: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при легком течении – 2-3 недели;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при среднетяжелом течении – 4-5 недель;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при тяжелом течении – 6-8 недель;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смертность среди взрослых до 50 лет – до 0,1%;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летальность (больничная смертность) среди взрослых до 50 лет – 2-3%;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летальность у лиц старше 65 лет – 5-10%.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0F59">
        <w:rPr>
          <w:b/>
          <w:sz w:val="28"/>
          <w:szCs w:val="28"/>
        </w:rPr>
        <w:t>КЛАССИФИКАЦИЯ ПНЕВМОНИЙ (1995)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F0F59">
        <w:rPr>
          <w:i/>
          <w:sz w:val="28"/>
          <w:szCs w:val="28"/>
        </w:rPr>
        <w:t>1. По этиологии: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бактериальные,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микоплазменные,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хламидийные,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вирусные,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грибковые,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паразитарные,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смешанной этиологии,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неуточненной этиологии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Среди бактериальной флоры преобладают: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i/>
          <w:sz w:val="28"/>
          <w:szCs w:val="28"/>
        </w:rPr>
        <w:t>грам+:</w:t>
      </w:r>
      <w:r w:rsidRPr="00CF0F59">
        <w:rPr>
          <w:sz w:val="28"/>
          <w:szCs w:val="28"/>
        </w:rPr>
        <w:t xml:space="preserve"> пневмококк, золотистый стафилококк, гноеродный стрептококк группы А, энтерококк и др.;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i/>
          <w:sz w:val="28"/>
          <w:szCs w:val="28"/>
        </w:rPr>
        <w:t>анаэробные грам+:</w:t>
      </w:r>
      <w:r w:rsidRPr="00CF0F59">
        <w:rPr>
          <w:sz w:val="28"/>
          <w:szCs w:val="28"/>
        </w:rPr>
        <w:t xml:space="preserve"> пептококки, пептострептококки идр.;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i/>
          <w:sz w:val="28"/>
          <w:szCs w:val="28"/>
        </w:rPr>
        <w:t>грам–:</w:t>
      </w:r>
      <w:r w:rsidRPr="00CF0F59">
        <w:rPr>
          <w:sz w:val="28"/>
          <w:szCs w:val="28"/>
        </w:rPr>
        <w:t xml:space="preserve"> палочка Фридлендера (Klebsiella pneumoniae), Escherichia coli, Pseudomonas aeruginosae, Legionella (внутриклеточно), протей и др.;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i/>
          <w:sz w:val="28"/>
          <w:szCs w:val="28"/>
        </w:rPr>
        <w:t>анаэробные грам–:</w:t>
      </w:r>
      <w:r w:rsidRPr="00CF0F59">
        <w:rPr>
          <w:sz w:val="28"/>
          <w:szCs w:val="28"/>
        </w:rPr>
        <w:t xml:space="preserve"> бактероиды, фузобактерии, Branchamella catarrhalis, Moraxella catarrhalis.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F0F59">
        <w:rPr>
          <w:i/>
          <w:sz w:val="28"/>
          <w:szCs w:val="28"/>
        </w:rPr>
        <w:t>2. По условиям возникновения: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внебольничные,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госпитальные (спустя 48-72 часа после госпитализации),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атипичные,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аспирационные,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у больных с иммунодефицитами,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у больных с нейтропенией.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 xml:space="preserve">Преимущественные возбудители </w:t>
      </w:r>
      <w:r w:rsidRPr="00CF0F59">
        <w:rPr>
          <w:sz w:val="28"/>
          <w:szCs w:val="28"/>
          <w:u w:val="single"/>
        </w:rPr>
        <w:t>внебольничных</w:t>
      </w:r>
      <w:r w:rsidRPr="00CF0F59">
        <w:rPr>
          <w:sz w:val="28"/>
          <w:szCs w:val="28"/>
        </w:rPr>
        <w:t xml:space="preserve"> пневмоний: пневмококк, </w:t>
      </w:r>
      <w:r w:rsidRPr="00CF0F59">
        <w:rPr>
          <w:sz w:val="28"/>
          <w:szCs w:val="28"/>
          <w:lang w:val="en-US"/>
        </w:rPr>
        <w:t>Haemophilus</w:t>
      </w:r>
      <w:r w:rsidRPr="00CF0F59">
        <w:rPr>
          <w:sz w:val="28"/>
          <w:szCs w:val="28"/>
        </w:rPr>
        <w:t xml:space="preserve"> </w:t>
      </w:r>
      <w:r w:rsidRPr="00CF0F59">
        <w:rPr>
          <w:sz w:val="28"/>
          <w:szCs w:val="28"/>
          <w:lang w:val="en-US"/>
        </w:rPr>
        <w:t>influenzae</w:t>
      </w:r>
      <w:r w:rsidRPr="00CF0F59">
        <w:rPr>
          <w:sz w:val="28"/>
          <w:szCs w:val="28"/>
        </w:rPr>
        <w:t xml:space="preserve">, </w:t>
      </w:r>
      <w:r w:rsidRPr="00CF0F59">
        <w:rPr>
          <w:sz w:val="28"/>
          <w:szCs w:val="28"/>
          <w:lang w:val="en-US"/>
        </w:rPr>
        <w:t>Legionella</w:t>
      </w:r>
      <w:r w:rsidRPr="00CF0F59">
        <w:rPr>
          <w:sz w:val="28"/>
          <w:szCs w:val="28"/>
        </w:rPr>
        <w:t xml:space="preserve">; </w:t>
      </w:r>
      <w:r w:rsidRPr="00CF0F59">
        <w:rPr>
          <w:sz w:val="28"/>
          <w:szCs w:val="28"/>
          <w:u w:val="single"/>
        </w:rPr>
        <w:t>внутрибольничных</w:t>
      </w:r>
      <w:r w:rsidRPr="00CF0F59">
        <w:rPr>
          <w:sz w:val="28"/>
          <w:szCs w:val="28"/>
        </w:rPr>
        <w:t xml:space="preserve"> – </w:t>
      </w:r>
      <w:r w:rsidRPr="00CF0F59">
        <w:rPr>
          <w:sz w:val="28"/>
          <w:szCs w:val="28"/>
          <w:lang w:val="en-US"/>
        </w:rPr>
        <w:t>Staphylococcus</w:t>
      </w:r>
      <w:r w:rsidRPr="00CF0F59">
        <w:rPr>
          <w:sz w:val="28"/>
          <w:szCs w:val="28"/>
        </w:rPr>
        <w:t xml:space="preserve"> </w:t>
      </w:r>
      <w:r w:rsidRPr="00CF0F59">
        <w:rPr>
          <w:sz w:val="28"/>
          <w:szCs w:val="28"/>
          <w:lang w:val="en-US"/>
        </w:rPr>
        <w:t>aureus</w:t>
      </w:r>
      <w:r w:rsidRPr="00CF0F59">
        <w:rPr>
          <w:sz w:val="28"/>
          <w:szCs w:val="28"/>
        </w:rPr>
        <w:t xml:space="preserve">, </w:t>
      </w:r>
      <w:r w:rsidRPr="00CF0F59">
        <w:rPr>
          <w:sz w:val="28"/>
          <w:szCs w:val="28"/>
          <w:lang w:val="en-US"/>
        </w:rPr>
        <w:t>Klebsiella</w:t>
      </w:r>
      <w:r w:rsidRPr="00CF0F59">
        <w:rPr>
          <w:sz w:val="28"/>
          <w:szCs w:val="28"/>
        </w:rPr>
        <w:t xml:space="preserve"> </w:t>
      </w:r>
      <w:r w:rsidRPr="00CF0F59">
        <w:rPr>
          <w:sz w:val="28"/>
          <w:szCs w:val="28"/>
          <w:lang w:val="en-US"/>
        </w:rPr>
        <w:t>pneumoniae</w:t>
      </w:r>
      <w:r w:rsidRPr="00CF0F59">
        <w:rPr>
          <w:sz w:val="28"/>
          <w:szCs w:val="28"/>
        </w:rPr>
        <w:t xml:space="preserve">, </w:t>
      </w:r>
      <w:r w:rsidRPr="00CF0F59">
        <w:rPr>
          <w:sz w:val="28"/>
          <w:szCs w:val="28"/>
          <w:lang w:val="en-US"/>
        </w:rPr>
        <w:t>Escherichia</w:t>
      </w:r>
      <w:r w:rsidRPr="00CF0F59">
        <w:rPr>
          <w:sz w:val="28"/>
          <w:szCs w:val="28"/>
        </w:rPr>
        <w:t xml:space="preserve"> </w:t>
      </w:r>
      <w:r w:rsidRPr="00CF0F59">
        <w:rPr>
          <w:sz w:val="28"/>
          <w:szCs w:val="28"/>
          <w:lang w:val="en-US"/>
        </w:rPr>
        <w:t>coli</w:t>
      </w:r>
      <w:r w:rsidRPr="00CF0F59">
        <w:rPr>
          <w:sz w:val="28"/>
          <w:szCs w:val="28"/>
        </w:rPr>
        <w:t xml:space="preserve">, </w:t>
      </w:r>
      <w:r w:rsidRPr="00CF0F59">
        <w:rPr>
          <w:sz w:val="28"/>
          <w:szCs w:val="28"/>
          <w:lang w:val="en-US"/>
        </w:rPr>
        <w:t>Pseudomonas</w:t>
      </w:r>
      <w:r w:rsidRPr="00CF0F59">
        <w:rPr>
          <w:sz w:val="28"/>
          <w:szCs w:val="28"/>
        </w:rPr>
        <w:t xml:space="preserve"> </w:t>
      </w:r>
      <w:r w:rsidRPr="00CF0F59">
        <w:rPr>
          <w:sz w:val="28"/>
          <w:szCs w:val="28"/>
          <w:lang w:val="en-US"/>
        </w:rPr>
        <w:t>aeruginosae</w:t>
      </w:r>
      <w:r w:rsidRPr="00CF0F59">
        <w:rPr>
          <w:sz w:val="28"/>
          <w:szCs w:val="28"/>
        </w:rPr>
        <w:t xml:space="preserve">, </w:t>
      </w:r>
      <w:r w:rsidRPr="00CF0F59">
        <w:rPr>
          <w:sz w:val="28"/>
          <w:szCs w:val="28"/>
          <w:lang w:val="en-US"/>
        </w:rPr>
        <w:t>Proteus</w:t>
      </w:r>
      <w:r w:rsidRPr="00CF0F59">
        <w:rPr>
          <w:sz w:val="28"/>
          <w:szCs w:val="28"/>
        </w:rPr>
        <w:t xml:space="preserve">, </w:t>
      </w:r>
      <w:r w:rsidRPr="00CF0F59">
        <w:rPr>
          <w:sz w:val="28"/>
          <w:szCs w:val="28"/>
          <w:lang w:val="en-US"/>
        </w:rPr>
        <w:t>Bacteroides</w:t>
      </w:r>
      <w:r w:rsidRPr="00CF0F59">
        <w:rPr>
          <w:sz w:val="28"/>
          <w:szCs w:val="28"/>
        </w:rPr>
        <w:t xml:space="preserve">. Выделяют вентиляторно-ассоциированные пневмонии – на ИВЛ (чаще </w:t>
      </w:r>
      <w:r w:rsidRPr="00CF0F59">
        <w:rPr>
          <w:sz w:val="28"/>
          <w:szCs w:val="28"/>
          <w:lang w:val="en-US"/>
        </w:rPr>
        <w:t>St</w:t>
      </w:r>
      <w:r w:rsidRPr="00CF0F59">
        <w:rPr>
          <w:sz w:val="28"/>
          <w:szCs w:val="28"/>
        </w:rPr>
        <w:t>.</w:t>
      </w:r>
      <w:r w:rsidRPr="00CF0F59">
        <w:rPr>
          <w:sz w:val="28"/>
          <w:szCs w:val="28"/>
          <w:lang w:val="en-US"/>
        </w:rPr>
        <w:t>aureus</w:t>
      </w:r>
      <w:r w:rsidRPr="00CF0F59">
        <w:rPr>
          <w:sz w:val="28"/>
          <w:szCs w:val="28"/>
        </w:rPr>
        <w:t xml:space="preserve"> и др.).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F0F59">
        <w:rPr>
          <w:i/>
          <w:sz w:val="28"/>
          <w:szCs w:val="28"/>
        </w:rPr>
        <w:t>3. По локализации и протяженности: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право-, лево, двусторонняя, тотальная, долевая, сегментарная, центральная («прикорневая»).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F0F59">
        <w:rPr>
          <w:i/>
          <w:sz w:val="28"/>
          <w:szCs w:val="28"/>
        </w:rPr>
        <w:t>4. По степени тяжести: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тяжелое течение;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среднетяжелое течение;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легкое течение.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i/>
          <w:sz w:val="28"/>
          <w:szCs w:val="28"/>
        </w:rPr>
        <w:t>5. По наличию осложнений</w:t>
      </w:r>
      <w:r w:rsidRPr="00CF0F59">
        <w:rPr>
          <w:sz w:val="28"/>
          <w:szCs w:val="28"/>
        </w:rPr>
        <w:t xml:space="preserve"> (легочных и внелегочных).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i/>
          <w:sz w:val="28"/>
          <w:szCs w:val="28"/>
        </w:rPr>
        <w:t>6. По фазе заболевания</w:t>
      </w:r>
      <w:r w:rsidRPr="00CF0F59">
        <w:rPr>
          <w:sz w:val="28"/>
          <w:szCs w:val="28"/>
        </w:rPr>
        <w:t xml:space="preserve"> (разгар, разрешение, реконвалесценция, затяжное течение).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0F59">
        <w:rPr>
          <w:b/>
          <w:sz w:val="28"/>
          <w:szCs w:val="28"/>
        </w:rPr>
        <w:t>Тяжесть пневмонии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598"/>
        <w:gridCol w:w="2630"/>
        <w:gridCol w:w="2854"/>
      </w:tblGrid>
      <w:tr w:rsidR="00BA59FB" w:rsidRPr="00B97C61" w:rsidTr="00B97C61">
        <w:tc>
          <w:tcPr>
            <w:tcW w:w="151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Симптом</w:t>
            </w:r>
          </w:p>
        </w:tc>
        <w:tc>
          <w:tcPr>
            <w:tcW w:w="868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Степень тяжести</w:t>
            </w:r>
          </w:p>
        </w:tc>
      </w:tr>
      <w:tr w:rsidR="00BA59FB" w:rsidRPr="00B97C61" w:rsidTr="00B97C61">
        <w:tc>
          <w:tcPr>
            <w:tcW w:w="151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Легкая</w:t>
            </w:r>
          </w:p>
        </w:tc>
        <w:tc>
          <w:tcPr>
            <w:tcW w:w="28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Средняя</w:t>
            </w:r>
          </w:p>
        </w:tc>
        <w:tc>
          <w:tcPr>
            <w:tcW w:w="30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Тяжелая</w:t>
            </w:r>
          </w:p>
        </w:tc>
      </w:tr>
      <w:tr w:rsidR="00BA59FB" w:rsidRPr="00B97C61" w:rsidTr="00B97C61">
        <w:tc>
          <w:tcPr>
            <w:tcW w:w="15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ЧД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не более 25</w:t>
            </w:r>
          </w:p>
        </w:tc>
        <w:tc>
          <w:tcPr>
            <w:tcW w:w="28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около 30</w:t>
            </w:r>
          </w:p>
        </w:tc>
        <w:tc>
          <w:tcPr>
            <w:tcW w:w="30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40 и более</w:t>
            </w:r>
          </w:p>
        </w:tc>
      </w:tr>
      <w:tr w:rsidR="00BA59FB" w:rsidRPr="00B97C61" w:rsidTr="00B97C61">
        <w:tc>
          <w:tcPr>
            <w:tcW w:w="15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  <w:lang w:val="en-US"/>
              </w:rPr>
            </w:pPr>
            <w:r w:rsidRPr="00B97C61">
              <w:rPr>
                <w:sz w:val="20"/>
                <w:szCs w:val="20"/>
                <w:lang w:val="en-US"/>
              </w:rPr>
              <w:t>PS</w:t>
            </w:r>
          </w:p>
        </w:tc>
        <w:tc>
          <w:tcPr>
            <w:tcW w:w="28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ниже 90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до 100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выше 100</w:t>
            </w:r>
          </w:p>
        </w:tc>
      </w:tr>
      <w:tr w:rsidR="00BA59FB" w:rsidRPr="00B97C61" w:rsidTr="00B97C61">
        <w:tc>
          <w:tcPr>
            <w:tcW w:w="15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  <w:lang w:val="en-US"/>
              </w:rPr>
            </w:pPr>
            <w:r w:rsidRPr="00B97C61">
              <w:rPr>
                <w:sz w:val="20"/>
                <w:szCs w:val="20"/>
                <w:lang w:val="en-US"/>
              </w:rPr>
              <w:t>t</w:t>
            </w:r>
            <w:r w:rsidRPr="00B97C61">
              <w:rPr>
                <w:sz w:val="20"/>
                <w:szCs w:val="20"/>
                <w:vertAlign w:val="superscript"/>
                <w:lang w:val="en-US"/>
              </w:rPr>
              <w:t>o</w:t>
            </w:r>
          </w:p>
        </w:tc>
        <w:tc>
          <w:tcPr>
            <w:tcW w:w="28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до 38</w:t>
            </w:r>
            <w:r w:rsidRPr="00B97C61">
              <w:rPr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до 39</w:t>
            </w:r>
            <w:r w:rsidRPr="00B97C61">
              <w:rPr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40</w:t>
            </w:r>
            <w:r w:rsidRPr="00B97C61">
              <w:rPr>
                <w:sz w:val="20"/>
                <w:szCs w:val="20"/>
                <w:vertAlign w:val="superscript"/>
              </w:rPr>
              <w:t>о</w:t>
            </w:r>
            <w:r w:rsidRPr="00B97C61">
              <w:rPr>
                <w:sz w:val="20"/>
                <w:szCs w:val="20"/>
              </w:rPr>
              <w:t xml:space="preserve"> и выше</w:t>
            </w:r>
          </w:p>
        </w:tc>
      </w:tr>
      <w:tr w:rsidR="00BA59FB" w:rsidRPr="00B97C61" w:rsidTr="00B97C61">
        <w:tc>
          <w:tcPr>
            <w:tcW w:w="15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Гипоксемия</w:t>
            </w:r>
          </w:p>
        </w:tc>
        <w:tc>
          <w:tcPr>
            <w:tcW w:w="28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цианоза нет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нерезкий цианоз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выраженный цианоз</w:t>
            </w:r>
          </w:p>
        </w:tc>
      </w:tr>
      <w:tr w:rsidR="00BA59FB" w:rsidRPr="00B97C61" w:rsidTr="00B97C61">
        <w:tc>
          <w:tcPr>
            <w:tcW w:w="15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НК</w:t>
            </w:r>
            <w:r w:rsidRPr="00B97C6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нет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нерезкая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отчетливая</w:t>
            </w:r>
          </w:p>
        </w:tc>
      </w:tr>
      <w:tr w:rsidR="00BA59FB" w:rsidRPr="00B97C61" w:rsidTr="00B97C61">
        <w:tc>
          <w:tcPr>
            <w:tcW w:w="15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Обширность поражения</w:t>
            </w:r>
          </w:p>
        </w:tc>
        <w:tc>
          <w:tcPr>
            <w:tcW w:w="28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1-2 сегмента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1-2 сегмента с двух сторон или целая доля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BA59FB" w:rsidRPr="00B97C61" w:rsidRDefault="00BA59FB" w:rsidP="00CF0F59">
            <w:pPr>
              <w:rPr>
                <w:sz w:val="20"/>
                <w:szCs w:val="20"/>
              </w:rPr>
            </w:pPr>
            <w:r w:rsidRPr="00B97C61">
              <w:rPr>
                <w:sz w:val="20"/>
                <w:szCs w:val="20"/>
              </w:rPr>
              <w:t>больше 1 доли, тотальная; полисегментарная</w:t>
            </w:r>
          </w:p>
        </w:tc>
      </w:tr>
    </w:tbl>
    <w:p w:rsidR="00CF0F59" w:rsidRDefault="00CF0F59" w:rsidP="00CF0F59">
      <w:pPr>
        <w:spacing w:line="360" w:lineRule="auto"/>
        <w:ind w:firstLine="709"/>
        <w:jc w:val="both"/>
        <w:rPr>
          <w:sz w:val="28"/>
          <w:szCs w:val="28"/>
          <w:vertAlign w:val="superscript"/>
          <w:lang w:val="en-US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sz w:val="28"/>
          <w:szCs w:val="28"/>
          <w:vertAlign w:val="superscript"/>
        </w:rPr>
        <w:t>*</w:t>
      </w:r>
      <w:r w:rsidRPr="00CF0F59">
        <w:rPr>
          <w:sz w:val="28"/>
          <w:szCs w:val="28"/>
        </w:rPr>
        <w:t>) – недостаточность кровообращения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Примеры осложнений: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F0F59">
        <w:rPr>
          <w:i/>
          <w:sz w:val="28"/>
          <w:szCs w:val="28"/>
        </w:rPr>
        <w:t>Легочные: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кровохарканье;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парапневмонический плеврит;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синдром бронхиальной обструкции;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острая дыхательная недостаточность;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i/>
          <w:sz w:val="28"/>
          <w:szCs w:val="28"/>
        </w:rPr>
        <w:t>Со стороны ССС</w:t>
      </w:r>
      <w:r w:rsidRPr="00CF0F59">
        <w:rPr>
          <w:sz w:val="28"/>
          <w:szCs w:val="28"/>
        </w:rPr>
        <w:t xml:space="preserve"> (из внелегочных):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коллаптоидное состояние (особенно стоя);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острое легочное сердце;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ДВС-синдром;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шок;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анемия.</w:t>
      </w:r>
    </w:p>
    <w:p w:rsidR="00BA59FB" w:rsidRPr="00CF0F59" w:rsidRDefault="00BA59FB" w:rsidP="00CF0F59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b/>
          <w:sz w:val="28"/>
          <w:szCs w:val="28"/>
        </w:rPr>
        <w:t>Затяжная пневмония</w:t>
      </w:r>
      <w:r w:rsidRPr="00CF0F59">
        <w:rPr>
          <w:sz w:val="28"/>
          <w:szCs w:val="28"/>
        </w:rPr>
        <w:t xml:space="preserve"> – это острое инфекционно-воспалительное заболевание легких, при котором пневмонический инфильтрат разрешается не в обычные сроки (до 4 недель), а медленнее, в течение 5-8 недель, и заканчивается, как правило, выздоровлением.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b/>
          <w:sz w:val="28"/>
          <w:szCs w:val="28"/>
        </w:rPr>
        <w:t>Атипичная пневмония</w:t>
      </w:r>
      <w:r w:rsidRPr="00CF0F59">
        <w:rPr>
          <w:sz w:val="28"/>
          <w:szCs w:val="28"/>
        </w:rPr>
        <w:t xml:space="preserve"> – это пневмония, которая вызывается микроорганизмами, размножившимися внутриклеточно: легионеллами, хламидиями, микоплазмами. Такие пневмонии протекают без типичной клинических и рентгенологических (инфильтративных) проявлений, по патогенезу – преимущественно вторичные, плохо поддаются лечению антибиотиками пенициллинового и цефалоспоринового ряда.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0F59">
        <w:rPr>
          <w:b/>
          <w:sz w:val="28"/>
          <w:szCs w:val="28"/>
        </w:rPr>
        <w:t>КЛИНИКА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Характерные синдромы: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  <w:u w:val="single"/>
        </w:rPr>
        <w:t>синдром острой интоксикации</w:t>
      </w:r>
      <w:r w:rsidRPr="00CF0F59">
        <w:rPr>
          <w:sz w:val="28"/>
          <w:szCs w:val="28"/>
        </w:rPr>
        <w:t xml:space="preserve"> (слабость, снижение аппетита, головная боль, миалгии, одышка, сердцебиение, бледность и падение АД, расстройства сознания);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  <w:u w:val="single"/>
        </w:rPr>
        <w:t>синдром воспаления легочной ткани</w:t>
      </w:r>
      <w:r w:rsidRPr="00CF0F59">
        <w:rPr>
          <w:sz w:val="28"/>
          <w:szCs w:val="28"/>
        </w:rPr>
        <w:t xml:space="preserve"> (локальный бронхит, уплотнение легочной ткани, вовлечение плевры);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  <w:u w:val="single"/>
        </w:rPr>
        <w:t>синдром общих клинических воспалительных проявлений</w:t>
      </w:r>
      <w:r w:rsidRPr="00CF0F59">
        <w:rPr>
          <w:sz w:val="28"/>
          <w:szCs w:val="28"/>
        </w:rPr>
        <w:t xml:space="preserve"> (повышение температуры, озноб, выраженная ночная потливость);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  <w:u w:val="single"/>
        </w:rPr>
        <w:t>изменения острофазовых показателей</w:t>
      </w:r>
      <w:r w:rsidRPr="00CF0F59">
        <w:rPr>
          <w:sz w:val="28"/>
          <w:szCs w:val="28"/>
        </w:rPr>
        <w:t xml:space="preserve"> (лейкоцитоз с нейтрофильным сдвигом влево, ускорение СОЭ, повешение уровня α</w:t>
      </w:r>
      <w:r w:rsidRPr="00CF0F59">
        <w:rPr>
          <w:sz w:val="28"/>
          <w:szCs w:val="28"/>
          <w:vertAlign w:val="subscript"/>
        </w:rPr>
        <w:t>2</w:t>
      </w:r>
      <w:r w:rsidRPr="00CF0F59">
        <w:rPr>
          <w:sz w:val="28"/>
          <w:szCs w:val="28"/>
        </w:rPr>
        <w:t>-глобулинов более 10%, появление СРБ).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Основные рентгенологические проявления: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очаговые тени: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обусловлены выпотом экссудата в альвеолы;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небольших размеров (до 12-</w:t>
      </w:r>
      <w:smartTag w:uri="urn:schemas-microsoft-com:office:smarttags" w:element="metricconverter">
        <w:smartTagPr>
          <w:attr w:name="ProductID" w:val="15 мм"/>
        </w:smartTagPr>
        <w:r w:rsidRPr="00CF0F59">
          <w:rPr>
            <w:sz w:val="28"/>
            <w:szCs w:val="28"/>
          </w:rPr>
          <w:t>15 мм</w:t>
        </w:r>
      </w:smartTag>
      <w:r w:rsidRPr="00CF0F59">
        <w:rPr>
          <w:sz w:val="28"/>
          <w:szCs w:val="28"/>
        </w:rPr>
        <w:t>), округлые;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могут сливаться (очагово-сливные тени);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могут быть милиарные очаги (1-</w:t>
      </w:r>
      <w:smartTag w:uri="urn:schemas-microsoft-com:office:smarttags" w:element="metricconverter">
        <w:smartTagPr>
          <w:attr w:name="ProductID" w:val="2 мм"/>
        </w:smartTagPr>
        <w:r w:rsidRPr="00CF0F59">
          <w:rPr>
            <w:sz w:val="28"/>
            <w:szCs w:val="28"/>
          </w:rPr>
          <w:t>2 мм</w:t>
        </w:r>
      </w:smartTag>
      <w:r w:rsidRPr="00CF0F59">
        <w:rPr>
          <w:sz w:val="28"/>
          <w:szCs w:val="28"/>
        </w:rPr>
        <w:t>, не всегда видны);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мелкие очаги (3-</w:t>
      </w:r>
      <w:smartTag w:uri="urn:schemas-microsoft-com:office:smarttags" w:element="metricconverter">
        <w:smartTagPr>
          <w:attr w:name="ProductID" w:val="5 мм"/>
        </w:smartTagPr>
        <w:r w:rsidRPr="00CF0F59">
          <w:rPr>
            <w:sz w:val="28"/>
            <w:szCs w:val="28"/>
          </w:rPr>
          <w:t>5 мм</w:t>
        </w:r>
      </w:smartTag>
      <w:r w:rsidRPr="00CF0F59">
        <w:rPr>
          <w:sz w:val="28"/>
          <w:szCs w:val="28"/>
        </w:rPr>
        <w:t>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средние очаги (6-</w:t>
      </w:r>
      <w:smartTag w:uri="urn:schemas-microsoft-com:office:smarttags" w:element="metricconverter">
        <w:smartTagPr>
          <w:attr w:name="ProductID" w:val="10 мм"/>
        </w:smartTagPr>
        <w:r w:rsidRPr="00CF0F59">
          <w:rPr>
            <w:sz w:val="28"/>
            <w:szCs w:val="28"/>
          </w:rPr>
          <w:t>10 мм</w:t>
        </w:r>
      </w:smartTag>
      <w:r w:rsidRPr="00CF0F59">
        <w:rPr>
          <w:sz w:val="28"/>
          <w:szCs w:val="28"/>
        </w:rPr>
        <w:t>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крупные очаги (11-</w:t>
      </w:r>
      <w:smartTag w:uri="urn:schemas-microsoft-com:office:smarttags" w:element="metricconverter">
        <w:smartTagPr>
          <w:attr w:name="ProductID" w:val="15 мм"/>
        </w:smartTagPr>
        <w:r w:rsidRPr="00CF0F59">
          <w:rPr>
            <w:sz w:val="28"/>
            <w:szCs w:val="28"/>
          </w:rPr>
          <w:t>15 мм</w:t>
        </w:r>
      </w:smartTag>
      <w:r w:rsidRPr="00CF0F59">
        <w:rPr>
          <w:sz w:val="28"/>
          <w:szCs w:val="28"/>
        </w:rPr>
        <w:t>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инфильтративные тени: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небольшие (15-</w:t>
      </w:r>
      <w:smartTag w:uri="urn:schemas-microsoft-com:office:smarttags" w:element="metricconverter">
        <w:smartTagPr>
          <w:attr w:name="ProductID" w:val="30 мм"/>
        </w:smartTagPr>
        <w:r w:rsidRPr="00CF0F59">
          <w:rPr>
            <w:sz w:val="28"/>
            <w:szCs w:val="28"/>
          </w:rPr>
          <w:t>30 мм</w:t>
        </w:r>
      </w:smartTag>
      <w:r w:rsidRPr="00CF0F59">
        <w:rPr>
          <w:sz w:val="28"/>
          <w:szCs w:val="28"/>
        </w:rPr>
        <w:t>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средние (30-</w:t>
      </w:r>
      <w:smartTag w:uri="urn:schemas-microsoft-com:office:smarttags" w:element="metricconverter">
        <w:smartTagPr>
          <w:attr w:name="ProductID" w:val="50 мм"/>
        </w:smartTagPr>
        <w:r w:rsidRPr="00CF0F59">
          <w:rPr>
            <w:sz w:val="28"/>
            <w:szCs w:val="28"/>
          </w:rPr>
          <w:t>50 мм</w:t>
        </w:r>
      </w:smartTag>
      <w:r w:rsidRPr="00CF0F59">
        <w:rPr>
          <w:sz w:val="28"/>
          <w:szCs w:val="28"/>
        </w:rPr>
        <w:t>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 xml:space="preserve">крупные (более </w:t>
      </w:r>
      <w:smartTag w:uri="urn:schemas-microsoft-com:office:smarttags" w:element="metricconverter">
        <w:smartTagPr>
          <w:attr w:name="ProductID" w:val="50 мм"/>
        </w:smartTagPr>
        <w:r w:rsidRPr="00CF0F59">
          <w:rPr>
            <w:sz w:val="28"/>
            <w:szCs w:val="28"/>
          </w:rPr>
          <w:t>50 мм</w:t>
        </w:r>
      </w:smartTag>
      <w:r w:rsidRPr="00CF0F59">
        <w:rPr>
          <w:sz w:val="28"/>
          <w:szCs w:val="28"/>
        </w:rPr>
        <w:t>).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По форме: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округлые (с четкими контурами);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облаковидные (с нечеткими контурами);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в виде лобита (долевые);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в виде перисциссурита (со стороны междолевой щели контур четкий, со стороны паренхимы – нечеткий).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Второстепенные рентгенологические проявления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синдром патологических изменений легочного рисунка (уплотнение интерстициальной ткани, ее изменение, усиление, обогащение, деформация, нечеткость);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расширение корня легкого на стороне поражения (2-4 межреберья);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увеличение лимфатических узлов (хотя обычно его нет);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реакция плевры (утолщение, спайки, шварты, осумкованный парапневмонический плеврит).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Первые 2 дня на рентгенограмме видны только изменения легочного рисунка (сосуды), а очаг инфекции появляется через 2-3 дня, сохраняется 5-7-10 дней, после чего остаются лишь изменения легочного рисунка, размеров корня, постепенно появляются пневмофиброз, пневмосклероз, карнификация (организация фибринозного экссудата в альвеолах), плевральные наложения.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Зависимость от этиологии: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долевая и многодолевая инфекция – чаще пневмококк, реже легионелла, анаэробы;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очаговая и очагово-сливная – пневмококк, стафилококк, легионелла;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милиарная – грибы, микобактерия туберкулеза;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множественные перибронхиальные абсцессы – стафилококк;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один круглый абсцесс в верхней доле – палочка Фридлендера;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 целью этиологического поиска желательно производить посев мокроты, а при тяжелой пневмонии – посев крови на стерильность.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Дифференциальная диагностика: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острый бронхит (или обострение хронического);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экссудативные плевриты другой этиологии;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туберкулез легких;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рак легкого или (чаще) метастазы в легкие;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инфаркт легкого;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легочный эозинофильный инфильтрат;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ателектаз легкого;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застойные изменения.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b/>
          <w:i/>
          <w:sz w:val="28"/>
          <w:szCs w:val="28"/>
        </w:rPr>
        <w:t>Инструментальная диагностика:</w:t>
      </w:r>
      <w:r w:rsidRPr="00CF0F59">
        <w:rPr>
          <w:sz w:val="28"/>
          <w:szCs w:val="28"/>
        </w:rPr>
        <w:t xml:space="preserve"> КТ, биопсия.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0F59">
        <w:rPr>
          <w:b/>
          <w:sz w:val="28"/>
          <w:szCs w:val="28"/>
        </w:rPr>
        <w:t>ЛЕЧЕНИЕ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Лечебная программа: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лечебный режим и питание (стол 15);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этиотропная (антимикробная) терапия;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патогенетическая терапия: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дезинтоксикация и иммунокоррекция;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восстановление дренажной функции бронхов с помощью отхаркивающих средств и бронхолитиков;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противовоспалительные препараты;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оксигенотерапия;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патогенетическая терапия осложнений и сопутствующих заболеваний;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симптоматическая терапия: болеутоляющие, жаропонижающие, противокашлевые средства;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физиотерапия, ЛФК.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0F59">
        <w:rPr>
          <w:b/>
          <w:sz w:val="28"/>
          <w:szCs w:val="28"/>
        </w:rPr>
        <w:t>Алгоритм эмпирической антибиотикотерапии внебольничной пневмонии (возраст больного до 60 лет):</w:t>
      </w:r>
    </w:p>
    <w:p w:rsidR="00BA59FB" w:rsidRPr="00CF0F59" w:rsidRDefault="00F3104F" w:rsidP="00CF0F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15.4pt;margin-top:-.4pt;width:467.6pt;height:179.2pt;z-index:251657216" coordorigin="1385,4550" coordsize="9352,3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541;top:4550;width:4732;height:560" filled="f" stroked="f">
              <v:textbox style="mso-next-textbox:#_x0000_s1027" inset="1.5mm,.3mm,1.5mm,.3mm">
                <w:txbxContent>
                  <w:p w:rsidR="00BA59FB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C51AED">
                      <w:rPr>
                        <w:rFonts w:ascii="Arial" w:hAnsi="Arial" w:cs="Arial"/>
                        <w:sz w:val="22"/>
                        <w:szCs w:val="22"/>
                      </w:rPr>
                      <w:t>Ампициллин (лучше амоксициллин) по 1,0</w:t>
                    </w:r>
                  </w:p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C51AED">
                      <w:rPr>
                        <w:rFonts w:ascii="Arial" w:hAnsi="Arial" w:cs="Arial"/>
                        <w:sz w:val="22"/>
                        <w:szCs w:val="22"/>
                      </w:rPr>
                      <w:t>4 раза в день</w:t>
                    </w:r>
                  </w:p>
                </w:txbxContent>
              </v:textbox>
            </v:shape>
            <v:shape id="_x0000_s1028" type="#_x0000_t202" style="position:absolute;left:1385;top:5502;width:3976;height:560" filled="f" stroked="f">
              <v:textbox style="mso-next-textbox:#_x0000_s1028" inset="1.5mm,.3mm,1.5mm,.3mm">
                <w:txbxContent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51A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Эффект «+»:</w:t>
                    </w:r>
                  </w:p>
                  <w:p w:rsidR="00BA59FB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продолжать терапию </w:t>
                    </w:r>
                    <w:r w:rsidRPr="00C51AED"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  <w:t>до 10-14 дней</w:t>
                    </w:r>
                  </w:p>
                </w:txbxContent>
              </v:textbox>
            </v:shape>
            <v:shape id="_x0000_s1029" type="#_x0000_t202" style="position:absolute;left:7041;top:5138;width:3696;height:1540" filled="f" stroked="f">
              <v:textbox style="mso-next-textbox:#_x0000_s1029" inset="1.5mm,.3mm,1.5mm,.3mm">
                <w:txbxContent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51A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Эффект «–»:</w:t>
                    </w:r>
                  </w:p>
                  <w:p w:rsidR="00BA59FB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назначить (варианты):</w:t>
                    </w:r>
                  </w:p>
                  <w:p w:rsidR="00BA59FB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эритромицин 0,5 4 раза в день;</w:t>
                    </w:r>
                  </w:p>
                  <w:p w:rsidR="00BA59FB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доксициклин 0,1 2 раза в день;</w:t>
                    </w:r>
                  </w:p>
                  <w:p w:rsidR="00BA59FB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бисептол 2 таблетки 2 раз в день;</w:t>
                    </w:r>
                  </w:p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</w:pPr>
                    <w:r w:rsidRPr="00C51AED"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  <w:t>в течение 3-5 дней</w:t>
                    </w:r>
                  </w:p>
                </w:txbxContent>
              </v:textbox>
            </v:shape>
            <v:shape id="_x0000_s1030" type="#_x0000_t202" style="position:absolute;left:1385;top:6846;width:3976;height:560" filled="f" stroked="f">
              <v:textbox style="mso-next-textbox:#_x0000_s1030" inset="1.5mm,.3mm,1.5mm,.3mm">
                <w:txbxContent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51A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Эффект «+»:</w:t>
                    </w:r>
                  </w:p>
                  <w:p w:rsidR="00BA59FB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продолжать терапию </w:t>
                    </w:r>
                    <w:r w:rsidRPr="00C51AED"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  <w:t>до 10-14 дней</w:t>
                    </w:r>
                  </w:p>
                </w:txbxContent>
              </v:textbox>
            </v:shape>
            <v:line id="_x0000_s1031" style="position:absolute;flip:x" from="4241,5082" to="5921,5614">
              <v:stroke endarrow="classic"/>
            </v:line>
            <v:line id="_x0000_s1032" style="position:absolute" from="5921,5082" to="8021,5306">
              <v:stroke endarrow="classic"/>
            </v:line>
            <v:line id="_x0000_s1033" style="position:absolute;flip:x" from="4213,6370" to="7069,6958">
              <v:stroke endarrow="classic"/>
            </v:line>
            <v:shape id="_x0000_s1034" type="#_x0000_t202" style="position:absolute;left:7629;top:7070;width:2520;height:1064" filled="f" stroked="f">
              <v:textbox style="mso-next-textbox:#_x0000_s1034" inset="1.5mm,.3mm,1.5mm,.3mm">
                <w:txbxContent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51A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Эффект «–»:</w:t>
                    </w:r>
                  </w:p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госпитализация и рациональная антибиотикотерапия</w:t>
                    </w:r>
                  </w:p>
                </w:txbxContent>
              </v:textbox>
            </v:shape>
            <v:line id="_x0000_s1035" style="position:absolute" from="8889,6706" to="8889,7098">
              <v:stroke endarrow="classic"/>
            </v:line>
          </v:group>
        </w:pic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Вместо ампициллина можно вводить бензилпенициллин по 1 000 000 ЕД внутримышечно через 6 часов.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0F59">
        <w:rPr>
          <w:b/>
          <w:sz w:val="28"/>
          <w:szCs w:val="28"/>
        </w:rPr>
        <w:t>Алгоритм эмпирической антимикробной терапии внебольничной вторичной пневмонии (возраст больного больше 60 лет):</w:t>
      </w:r>
    </w:p>
    <w:p w:rsidR="00BA59FB" w:rsidRPr="00CF0F59" w:rsidRDefault="00F3104F" w:rsidP="00CF0F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36" style="position:absolute;left:0;text-align:left;margin-left:63pt;margin-top:.45pt;width:401.8pt;height:167.2pt;z-index:251658240" coordorigin="2337,10158" coordsize="8036,3344">
            <v:shape id="_x0000_s1037" type="#_x0000_t202" style="position:absolute;left:2785;top:10158;width:6720;height:560" filled="f" stroked="f">
              <v:textbox style="mso-next-textbox:#_x0000_s1037" inset="1.5mm,.3mm,1.5mm,.3mm">
                <w:txbxContent>
                  <w:p w:rsidR="00BA59FB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Цефалоспорины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II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поколения (цефаклор, цефуроксим) внутрь или внутримышечно </w:t>
                    </w:r>
                    <w:r w:rsidRPr="00A2724A"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  <w:t>в течение 3-5 дней</w:t>
                    </w:r>
                  </w:p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C51AED">
                      <w:rPr>
                        <w:rFonts w:ascii="Arial" w:hAnsi="Arial" w:cs="Arial"/>
                        <w:sz w:val="22"/>
                        <w:szCs w:val="22"/>
                      </w:rPr>
                      <w:t>4 раза в день</w:t>
                    </w:r>
                  </w:p>
                </w:txbxContent>
              </v:textbox>
            </v:shape>
            <v:shape id="_x0000_s1038" type="#_x0000_t202" style="position:absolute;left:2337;top:11250;width:2492;height:916" filled="f" stroked="f">
              <v:textbox style="mso-next-textbox:#_x0000_s1038" inset="1.5mm,.3mm,1.5mm,.3mm">
                <w:txbxContent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51A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Эффект «+»:</w:t>
                    </w:r>
                  </w:p>
                  <w:p w:rsidR="00BA59FB" w:rsidRPr="00A2724A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продолжать терапию </w:t>
                    </w:r>
                    <w:r w:rsidRPr="00A2724A"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  <w:t>в течение 14-21 дня</w:t>
                    </w:r>
                  </w:p>
                </w:txbxContent>
              </v:textbox>
            </v:shape>
            <v:shape id="_x0000_s1039" type="#_x0000_t202" style="position:absolute;left:6957;top:10746;width:3416;height:1364" filled="f" stroked="f">
              <v:textbox style="mso-next-textbox:#_x0000_s1039" inset="1.5mm,.3mm,1.5mm,.3mm">
                <w:txbxContent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51A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Эффект «–»:</w:t>
                    </w:r>
                  </w:p>
                  <w:p w:rsidR="00BA59FB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назначить (варианты):</w:t>
                    </w:r>
                  </w:p>
                  <w:p w:rsidR="00BA59FB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эритромицин 0,5 4 раза в день;</w:t>
                    </w:r>
                  </w:p>
                  <w:p w:rsidR="00BA59FB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сумамед 0,5-1,0 в сутки;</w:t>
                    </w:r>
                  </w:p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</w:pPr>
                    <w:r w:rsidRPr="00C51AED"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  <w:t>в течение 3-5 дней</w:t>
                    </w:r>
                  </w:p>
                </w:txbxContent>
              </v:textbox>
            </v:shape>
            <v:line id="_x0000_s1040" style="position:absolute;flip:x" from="4045,10738" to="6201,11222">
              <v:stroke endarrow="classic"/>
            </v:line>
            <v:line id="_x0000_s1041" style="position:absolute" from="6201,10738" to="7825,10914">
              <v:stroke endarrow="classic"/>
            </v:line>
            <v:line id="_x0000_s1042" style="position:absolute;flip:x" from="4017,11718" to="7237,12566">
              <v:stroke endarrow="classic"/>
            </v:line>
            <v:shape id="_x0000_s1043" type="#_x0000_t202" style="position:absolute;left:7433;top:12418;width:2520;height:1064" filled="f" stroked="f">
              <v:textbox style="mso-next-textbox:#_x0000_s1043" inset="1.5mm,.3mm,1.5mm,.3mm">
                <w:txbxContent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51A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Эффект «–»:</w:t>
                    </w:r>
                  </w:p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госпитализация и рациональная антибиотикотерапия</w:t>
                    </w:r>
                  </w:p>
                </w:txbxContent>
              </v:textbox>
            </v:shape>
            <v:line id="_x0000_s1044" style="position:absolute" from="8693,12082" to="8693,12474">
              <v:stroke endarrow="classic"/>
            </v:line>
            <v:shape id="_x0000_s1045" type="#_x0000_t202" style="position:absolute;left:2337;top:12586;width:2492;height:916" filled="f" stroked="f">
              <v:textbox style="mso-next-textbox:#_x0000_s1045" inset="1.5mm,.3mm,1.5mm,.3mm">
                <w:txbxContent>
                  <w:p w:rsidR="00BA59FB" w:rsidRPr="00C51AED" w:rsidRDefault="00BA59FB" w:rsidP="00BA59F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51A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Эффект «+»:</w:t>
                    </w:r>
                  </w:p>
                  <w:p w:rsidR="00BA59FB" w:rsidRPr="00A2724A" w:rsidRDefault="00BA59FB" w:rsidP="00BA59F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продолжать терапию </w:t>
                    </w:r>
                    <w:r w:rsidRPr="00A2724A"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  <w:t>в течение 14-21 дня</w:t>
                    </w:r>
                  </w:p>
                </w:txbxContent>
              </v:textbox>
            </v:shape>
          </v:group>
        </w:pic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b/>
          <w:i/>
          <w:sz w:val="28"/>
          <w:szCs w:val="28"/>
        </w:rPr>
        <w:t>Дезинтоксикационная терапия</w:t>
      </w:r>
      <w:r w:rsidRPr="00CF0F59">
        <w:rPr>
          <w:sz w:val="28"/>
          <w:szCs w:val="28"/>
        </w:rPr>
        <w:t xml:space="preserve"> направлена против экзо- и эндотоксинов. Она является и основой иммунокорригирующей терапии. Проводятся инфузии реополиглюкина, гемодеза, неогемодеза, полидеза 2-4 мл/кг/сутки, внутривенно капельно 3-4 дня подряд. Нативная донорская плазма (при отсутствии синдрома бронхообструкции) 3-5 трансфузий (там иммуноглобулины), антистафилококковая плазма (200-300 мл), антистафилококковый полиглобулин (50-70 мл внутривенно капельно через день). Применяются и ЭМД (гемосорбция 1-2 сеанса с интервалом 1-3 дня).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При затяжном течении: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тимоген 100 мкг внутримышечно ежедневно (с 10-14 дня болезни) 5-10 инъекций;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тималин 20 мг внутримышечно;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натрия нуклеинат с первого дня;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антиоксиданты: аскорбиновая кислота в/в 50 мг/кг + рутин внутрь 2 мг/кг; токоферол 60 мг/кг/сут.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Улучшение дренажной функции бронхов: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алтей, корень солодки;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амброксол 30 мг (1 таблетка) 3 раза в день;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АЦЦ 20% раствор 3 мл/ингаляция, как минимум 2 ингаляции в день;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теотард (</w:t>
      </w:r>
      <w:smartTag w:uri="urn:schemas-microsoft-com:office:smarttags" w:element="metricconverter">
        <w:smartTagPr>
          <w:attr w:name="ProductID" w:val="0,2 г"/>
        </w:smartTagPr>
        <w:r w:rsidRPr="00CF0F59">
          <w:rPr>
            <w:sz w:val="28"/>
            <w:szCs w:val="28"/>
          </w:rPr>
          <w:t>0,2 г</w:t>
        </w:r>
      </w:smartTag>
      <w:r w:rsidRPr="00CF0F59">
        <w:rPr>
          <w:sz w:val="28"/>
          <w:szCs w:val="28"/>
        </w:rPr>
        <w:t xml:space="preserve"> 1 таблетка 2 раза в сутки) или эуфиллин в/в при затяжном течении.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Длительность эмпирической антимикробной терапии: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во всех случаях антибиотикотерапия должна продолжаться не менее 5 дней и до тех пор, пока не удастся добиться нормализации температуры на протяжении 48 часов;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антибиотик может быть отменен на 3-4 день субфебрильного состояния при условии нормализации уровня лейкоцитов и лейкоцитарной формулы;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при легком и среднетяжелом течении редко используется более 10 дней (ЦФ, ПЦ, макролиды);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НПВС (например, диклофенак) ускоряют рассасывание безмикробных инфильтратов (</w:t>
      </w:r>
      <w:r w:rsidRPr="00CF0F59">
        <w:rPr>
          <w:sz w:val="28"/>
          <w:szCs w:val="28"/>
          <w:u w:val="single"/>
        </w:rPr>
        <w:t>после</w:t>
      </w:r>
      <w:r w:rsidRPr="00CF0F59">
        <w:rPr>
          <w:sz w:val="28"/>
          <w:szCs w:val="28"/>
        </w:rPr>
        <w:t xml:space="preserve"> антибиотикотерапии)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После пневмонии (критерии выздоровления):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  <w:u w:val="single"/>
        </w:rPr>
        <w:t>клинически</w:t>
      </w:r>
      <w:r w:rsidRPr="00CF0F59">
        <w:rPr>
          <w:sz w:val="28"/>
          <w:szCs w:val="28"/>
        </w:rPr>
        <w:t>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астенизация, повышенная утомляемость, потливость при нагрузке (но не во сне);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дыхание везикулярное или слегка ослаблено в зоне поражения, в то время как жесткого дыхания наблюдаться не должно;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  <w:u w:val="single"/>
        </w:rPr>
        <w:t>рентгенологически</w:t>
      </w:r>
      <w:r w:rsidRPr="00CF0F59">
        <w:rPr>
          <w:sz w:val="28"/>
          <w:szCs w:val="28"/>
        </w:rPr>
        <w:t>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остаточные явления невоспалительного характера;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  <w:u w:val="single"/>
        </w:rPr>
        <w:t>лабораторно</w:t>
      </w:r>
      <w:r w:rsidRPr="00CF0F59">
        <w:rPr>
          <w:sz w:val="28"/>
          <w:szCs w:val="28"/>
        </w:rPr>
        <w:t>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СОЭ не более 15 мм/час;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лейкоциты в норме, лимфоциты до 40%, эозинофилы 6-8%;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отсутствует СРБ, гамма-глобулины – до 20%.</w:t>
      </w:r>
    </w:p>
    <w:p w:rsidR="00CF0F59" w:rsidRDefault="00CF0F59" w:rsidP="00CF0F59">
      <w:pPr>
        <w:pBdr>
          <w:left w:val="single" w:sz="4" w:space="4" w:color="auto"/>
        </w:pBd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BA59FB" w:rsidRPr="00CF0F59" w:rsidRDefault="00BA59FB" w:rsidP="00CF0F59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b/>
          <w:sz w:val="28"/>
          <w:szCs w:val="28"/>
        </w:rPr>
        <w:t>Плеврит</w:t>
      </w:r>
      <w:r w:rsidRPr="00CF0F59">
        <w:rPr>
          <w:sz w:val="28"/>
          <w:szCs w:val="28"/>
        </w:rPr>
        <w:t xml:space="preserve"> – воспаление листков плевры с образованием на их поверхности фибрина и/или скоплением в плевральной полости экссудата различного характера.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b/>
          <w:i/>
          <w:sz w:val="28"/>
          <w:szCs w:val="28"/>
        </w:rPr>
        <w:t>Синдром плеврального выпота</w:t>
      </w:r>
      <w:r w:rsidRPr="00CF0F59">
        <w:rPr>
          <w:sz w:val="28"/>
          <w:szCs w:val="28"/>
        </w:rPr>
        <w:t xml:space="preserve"> – «появление в плевральной полости жидкости невоспалительного (или неизвестного) характера». Таким должен быть диагноз при скоплении жидкости в плевральной полости до проведения плевральной пункции. После исследования выпота можем сказать, что это: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плеврит;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эмпиема плевры;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транссудат;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гемоторакс;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хилоторакс;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пневмоторакс;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пиопневмоторакс.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0F59">
        <w:rPr>
          <w:b/>
          <w:sz w:val="28"/>
          <w:szCs w:val="28"/>
        </w:rPr>
        <w:t>ЭТИОЛОГИЯ: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1. Инфекции: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туберкулез (20%),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бактерии,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вирусы,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риккетсии,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микоплазмы,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грибы,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простейшие,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высококонтагиозные инфекции;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2. Неинфекционные: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опухоли (острые лейкозы, ЛГМ, лимфосаркомы);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ревматические заболевания;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закрытые травмы грудной клетки;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инфаркты на почве ТЭЛА;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инфаркт миокарда (синдром Дресслера);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острый панкреатит;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уремия;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после операций на легких.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0F59">
        <w:rPr>
          <w:b/>
          <w:sz w:val="28"/>
          <w:szCs w:val="28"/>
        </w:rPr>
        <w:t>КЛИНИЧЕСКАЯ КЛАССИФИКАЦИЯ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1. По течению: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острый,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хронический (рецидивирующий).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2. По характеру экссудата: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фибринозный,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экссудативный,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гнойный (однокамерный, многокамерный).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>3. По распространению и локализации: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диффузный,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осумкованный (верхушечный, паракостальный, парамедиастинальный, междолевой, диафрагмальный).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0F59">
        <w:rPr>
          <w:b/>
          <w:sz w:val="28"/>
          <w:szCs w:val="28"/>
        </w:rPr>
        <w:t>КЛИНИЧЕСКИЕ ПРОЯВЛЕНИЯ: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синдром, связанный с формой выпота: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сухой (фибринозный);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выпотной (экссудат, негнойный);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гнойный (эмпиема плевры);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синдром, обусловленный проявлениями заболевания, которое привело к плевриту;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синдром изменения острофазовых показателей.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F0F59">
        <w:rPr>
          <w:b/>
          <w:i/>
          <w:sz w:val="28"/>
          <w:szCs w:val="28"/>
        </w:rPr>
        <w:t xml:space="preserve">При </w:t>
      </w:r>
      <w:r w:rsidRPr="00CF0F59">
        <w:rPr>
          <w:b/>
          <w:i/>
          <w:sz w:val="28"/>
          <w:szCs w:val="28"/>
          <w:u w:val="single"/>
        </w:rPr>
        <w:t>экссудативном плеврите</w:t>
      </w:r>
      <w:r w:rsidRPr="00CF0F59">
        <w:rPr>
          <w:b/>
          <w:i/>
          <w:sz w:val="28"/>
          <w:szCs w:val="28"/>
        </w:rPr>
        <w:t xml:space="preserve"> добавляются еще 3 синдрома: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компрессионный ателектаз;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синдром смещения средостения;</w:t>
      </w:r>
    </w:p>
    <w:p w:rsidR="00BA59FB" w:rsidRPr="00CF0F59" w:rsidRDefault="00BA59FB" w:rsidP="00CF0F59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синдром сдавления верхней полой вены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i/>
          <w:sz w:val="28"/>
          <w:szCs w:val="28"/>
        </w:rPr>
        <w:t>При плеврите:</w:t>
      </w:r>
      <w:r w:rsidRPr="00CF0F59">
        <w:rPr>
          <w:sz w:val="28"/>
          <w:szCs w:val="28"/>
        </w:rPr>
        <w:t xml:space="preserve"> </w:t>
      </w:r>
      <w:r w:rsidRPr="00CF0F59">
        <w:rPr>
          <w:b/>
          <w:sz w:val="28"/>
          <w:szCs w:val="28"/>
        </w:rPr>
        <w:t>боль</w:t>
      </w:r>
      <w:r w:rsidRPr="00CF0F59">
        <w:rPr>
          <w:sz w:val="28"/>
          <w:szCs w:val="28"/>
        </w:rPr>
        <w:t xml:space="preserve"> при дыхании и кашле, усиливающаяся при наклонах в противоположную сторону.</w:t>
      </w: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</w:p>
    <w:p w:rsidR="00BA59FB" w:rsidRPr="00CF0F59" w:rsidRDefault="00BA59FB" w:rsidP="00CF0F59">
      <w:pPr>
        <w:spacing w:line="360" w:lineRule="auto"/>
        <w:ind w:firstLine="709"/>
        <w:jc w:val="both"/>
        <w:rPr>
          <w:sz w:val="28"/>
          <w:szCs w:val="28"/>
        </w:rPr>
      </w:pPr>
      <w:r w:rsidRPr="00CF0F59">
        <w:rPr>
          <w:i/>
          <w:sz w:val="28"/>
          <w:szCs w:val="28"/>
        </w:rPr>
        <w:t>Аускультативно</w:t>
      </w:r>
      <w:r w:rsidRPr="00CF0F59">
        <w:rPr>
          <w:sz w:val="28"/>
          <w:szCs w:val="28"/>
        </w:rPr>
        <w:t>: шум трения плевры (аускультацию проводить полипозиционно – больной стоит прямо, наклоняется).</w:t>
      </w:r>
    </w:p>
    <w:p w:rsidR="00BA59FB" w:rsidRPr="00CF0F59" w:rsidRDefault="00BA59FB" w:rsidP="00CF0F59">
      <w:pPr>
        <w:spacing w:line="360" w:lineRule="auto"/>
        <w:jc w:val="both"/>
        <w:rPr>
          <w:sz w:val="28"/>
          <w:szCs w:val="28"/>
          <w:lang w:val="en-US"/>
        </w:rPr>
      </w:pPr>
      <w:r w:rsidRPr="00CF0F59">
        <w:rPr>
          <w:sz w:val="28"/>
          <w:szCs w:val="28"/>
        </w:rPr>
        <w:br w:type="page"/>
        <w:t>ЛИТЕРАТУРА</w:t>
      </w:r>
    </w:p>
    <w:p w:rsidR="00CF0F59" w:rsidRPr="00CF0F59" w:rsidRDefault="00CF0F59" w:rsidP="00CF0F59">
      <w:pPr>
        <w:spacing w:line="360" w:lineRule="auto"/>
        <w:jc w:val="both"/>
        <w:rPr>
          <w:sz w:val="28"/>
          <w:szCs w:val="28"/>
          <w:lang w:val="en-US"/>
        </w:rPr>
      </w:pPr>
    </w:p>
    <w:p w:rsidR="00BA59FB" w:rsidRPr="00CF0F59" w:rsidRDefault="00BA59FB" w:rsidP="00CF0F59">
      <w:pPr>
        <w:spacing w:line="360" w:lineRule="auto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Морозов А.В. Ревматические болезни, Мн: ВШ, 2008, 566с.</w:t>
      </w:r>
    </w:p>
    <w:p w:rsidR="00BA59FB" w:rsidRPr="00CF0F59" w:rsidRDefault="00BA59FB" w:rsidP="00CF0F59">
      <w:pPr>
        <w:spacing w:line="360" w:lineRule="auto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Артюхов А.С. Профилактика системных заболеваний, М: АМК, 2007, 455с.</w:t>
      </w:r>
    </w:p>
    <w:p w:rsidR="00BA59FB" w:rsidRPr="00CF0F59" w:rsidRDefault="00BA59FB" w:rsidP="00CF0F59">
      <w:pPr>
        <w:spacing w:line="360" w:lineRule="auto"/>
        <w:jc w:val="both"/>
        <w:rPr>
          <w:sz w:val="28"/>
          <w:szCs w:val="28"/>
        </w:rPr>
      </w:pPr>
      <w:r w:rsidRPr="00CF0F59">
        <w:rPr>
          <w:sz w:val="28"/>
          <w:szCs w:val="28"/>
        </w:rPr>
        <w:t>Остряков Е.К. Ревматические заболевания: диагностика и профилактика, Мн: Полымя, 2007, 505 с.</w:t>
      </w:r>
    </w:p>
    <w:p w:rsidR="00BA59FB" w:rsidRPr="00CF0F59" w:rsidRDefault="00BA59FB" w:rsidP="00CF0F59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BA59FB" w:rsidRPr="00CF0F59" w:rsidSect="00CF0F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7C51"/>
    <w:multiLevelType w:val="hybridMultilevel"/>
    <w:tmpl w:val="1DE67492"/>
    <w:lvl w:ilvl="0" w:tplc="B92ED2C4">
      <w:numFmt w:val="bullet"/>
      <w:lvlText w:val="­"/>
      <w:lvlJc w:val="left"/>
      <w:pPr>
        <w:tabs>
          <w:tab w:val="num" w:pos="927"/>
        </w:tabs>
        <w:ind w:left="851" w:hanging="284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9FB"/>
    <w:rsid w:val="00085560"/>
    <w:rsid w:val="001A285D"/>
    <w:rsid w:val="002618FE"/>
    <w:rsid w:val="004967EB"/>
    <w:rsid w:val="005B4592"/>
    <w:rsid w:val="00725100"/>
    <w:rsid w:val="007B7732"/>
    <w:rsid w:val="007C1812"/>
    <w:rsid w:val="00A2724A"/>
    <w:rsid w:val="00B97C61"/>
    <w:rsid w:val="00BA59FB"/>
    <w:rsid w:val="00C51AED"/>
    <w:rsid w:val="00CF0F59"/>
    <w:rsid w:val="00E24D4F"/>
    <w:rsid w:val="00F3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7"/>
    <o:shapelayout v:ext="edit">
      <o:idmap v:ext="edit" data="1"/>
    </o:shapelayout>
  </w:shapeDefaults>
  <w:decimalSymbol w:val=","/>
  <w:listSeparator w:val=";"/>
  <w14:defaultImageDpi w14:val="0"/>
  <w15:chartTrackingRefBased/>
  <w15:docId w15:val="{FCA65783-DEAF-405F-9098-33D97962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9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BA59FB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МЕДИЦИНСКИЙ УНИВЕРСИТЕТ</vt:lpstr>
    </vt:vector>
  </TitlesOfParts>
  <Company>Company</Company>
  <LinksUpToDate>false</LinksUpToDate>
  <CharactersWithSpaces>11055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МЕДИЦИНСКИЙ УНИВЕРСИТЕТ</dc:title>
  <dc:subject/>
  <dc:creator>User</dc:creator>
  <cp:keywords/>
  <dc:description/>
  <cp:lastModifiedBy>Irina</cp:lastModifiedBy>
  <cp:revision>2</cp:revision>
  <dcterms:created xsi:type="dcterms:W3CDTF">2014-08-19T18:42:00Z</dcterms:created>
  <dcterms:modified xsi:type="dcterms:W3CDTF">2014-08-19T18:42:00Z</dcterms:modified>
</cp:coreProperties>
</file>