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00" w:rsidRPr="00B41721" w:rsidRDefault="00CC2300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b/>
          <w:sz w:val="28"/>
          <w:szCs w:val="28"/>
        </w:rPr>
        <w:t>СОДЕРЖАНИЕ</w:t>
      </w:r>
    </w:p>
    <w:p w:rsidR="00CC2300" w:rsidRPr="00B41721" w:rsidRDefault="00CC2300" w:rsidP="00B17E19">
      <w:pPr>
        <w:spacing w:line="360" w:lineRule="auto"/>
        <w:ind w:firstLine="709"/>
        <w:rPr>
          <w:sz w:val="28"/>
          <w:szCs w:val="28"/>
        </w:rPr>
      </w:pP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В</w:t>
      </w:r>
      <w:r w:rsidR="00B17E19" w:rsidRPr="00B41721">
        <w:rPr>
          <w:sz w:val="28"/>
          <w:szCs w:val="28"/>
        </w:rPr>
        <w:t>ведение</w:t>
      </w: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1.</w:t>
      </w:r>
      <w:r w:rsidR="00310FB2" w:rsidRPr="00B41721">
        <w:rPr>
          <w:sz w:val="28"/>
          <w:szCs w:val="28"/>
        </w:rPr>
        <w:t xml:space="preserve"> Основные модели</w:t>
      </w:r>
      <w:r w:rsidR="00B17E19" w:rsidRPr="00B41721">
        <w:rPr>
          <w:sz w:val="28"/>
          <w:szCs w:val="28"/>
        </w:rPr>
        <w:t xml:space="preserve"> </w:t>
      </w:r>
      <w:r w:rsidR="00310FB2" w:rsidRPr="00B41721">
        <w:rPr>
          <w:sz w:val="28"/>
          <w:szCs w:val="28"/>
        </w:rPr>
        <w:t>портфельного инвестирования</w:t>
      </w: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2.</w:t>
      </w:r>
      <w:r w:rsidR="00D33CD8" w:rsidRPr="00B41721">
        <w:rPr>
          <w:sz w:val="28"/>
          <w:szCs w:val="28"/>
        </w:rPr>
        <w:t xml:space="preserve"> Оценка инвестиционной привлекательности ценных бумаг</w:t>
      </w: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3.</w:t>
      </w:r>
      <w:r w:rsidR="00ED028C" w:rsidRPr="00B41721">
        <w:rPr>
          <w:sz w:val="28"/>
          <w:szCs w:val="28"/>
        </w:rPr>
        <w:t xml:space="preserve"> Снижение рисков портфельного инвестирования</w:t>
      </w:r>
    </w:p>
    <w:p w:rsidR="00B17E19" w:rsidRPr="00B41721" w:rsidRDefault="00B17E19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4. Практическая часть</w:t>
      </w: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З</w:t>
      </w:r>
      <w:r w:rsidR="00B17E19" w:rsidRPr="00B41721">
        <w:rPr>
          <w:sz w:val="28"/>
          <w:szCs w:val="28"/>
        </w:rPr>
        <w:t>аключение</w:t>
      </w:r>
    </w:p>
    <w:p w:rsidR="00CC2300" w:rsidRPr="00B41721" w:rsidRDefault="00CC2300" w:rsidP="00B17E19">
      <w:pPr>
        <w:spacing w:line="360" w:lineRule="auto"/>
        <w:ind w:firstLine="0"/>
        <w:jc w:val="left"/>
        <w:rPr>
          <w:sz w:val="28"/>
          <w:szCs w:val="28"/>
        </w:rPr>
      </w:pPr>
      <w:r w:rsidRPr="00B41721">
        <w:rPr>
          <w:sz w:val="28"/>
          <w:szCs w:val="28"/>
        </w:rPr>
        <w:t>С</w:t>
      </w:r>
      <w:r w:rsidR="00B17E19" w:rsidRPr="00B41721">
        <w:rPr>
          <w:sz w:val="28"/>
          <w:szCs w:val="28"/>
        </w:rPr>
        <w:t>писок использованной литературы</w:t>
      </w:r>
    </w:p>
    <w:p w:rsidR="00CC2300" w:rsidRPr="00B41721" w:rsidRDefault="00CC2300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sz w:val="28"/>
          <w:szCs w:val="28"/>
        </w:rPr>
        <w:br w:type="page"/>
      </w:r>
      <w:r w:rsidRPr="00B41721">
        <w:rPr>
          <w:b/>
          <w:sz w:val="28"/>
          <w:szCs w:val="28"/>
        </w:rPr>
        <w:t>ВВЕДЕНИЕ</w:t>
      </w:r>
    </w:p>
    <w:p w:rsidR="00310FB2" w:rsidRPr="00B41721" w:rsidRDefault="00310FB2" w:rsidP="00B17E19">
      <w:pPr>
        <w:spacing w:line="360" w:lineRule="auto"/>
        <w:ind w:firstLine="709"/>
        <w:rPr>
          <w:sz w:val="28"/>
          <w:szCs w:val="28"/>
        </w:rPr>
      </w:pP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В условиях товарного (рыночного) хозяйства бесперебойное формирование финансовых ресурсов, а также их эффективное использование достигается с помощью финансового рынка. Он представляет собой форму организации движения денежных средств в народном хозяйстве и функционирует в виде рынка ценных бумаг и рынка ссудного капитала.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Для мобилизации временно свободных денежных средств и рационального их использования и предназначен финансовый рынок. Его функциональное назначение заключается в посредничестве движению денежных ресурсов от их владельцев к пользователям.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Владельцами выступают юридические лица и граждане, накапливающ</w:t>
      </w:r>
      <w:r w:rsidR="00E41ACD">
        <w:rPr>
          <w:color w:val="000000"/>
          <w:sz w:val="28"/>
          <w:szCs w:val="28"/>
        </w:rPr>
        <w:t xml:space="preserve">ие у себя денежные средства для </w:t>
      </w:r>
      <w:r w:rsidRPr="00B41721">
        <w:rPr>
          <w:color w:val="000000"/>
          <w:sz w:val="28"/>
          <w:szCs w:val="28"/>
        </w:rPr>
        <w:t>последующего инвестирования в финансовые и капитальные активы. Частные лица (домашние хозяйства) осуществляют вложения своих сбережений либо непосредственно (индивидуальным способом), либо через финансовых посредников (финансово-кредитные институты). В роли заемщиков выступают хозяйствующие субъекты, вкладывающие полученные с финансового рынка денежные средства в различные объекты предпринимательской деятельности (например, расширение производства товаров и услуг в недвижимость) с целью извлечения дополнительного дохода (прибыли).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Функционирование финансового рынка неразрывно связано с наличием в народном хозяйстве реальных собственников, обладающих реальной хозяйственной самостоятельностью и ответственностью за результаты финансовой деятельности. 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Только такие независимые собственники способны заключать на финансовом рынке коммерческие сделки и предъявлять спрос на фондовые ценности в обмен на деньги.</w:t>
      </w:r>
    </w:p>
    <w:p w:rsidR="00CC2300" w:rsidRPr="00B41721" w:rsidRDefault="00CC2300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sz w:val="28"/>
          <w:szCs w:val="28"/>
        </w:rPr>
        <w:br w:type="page"/>
      </w:r>
      <w:r w:rsidR="00B17E19" w:rsidRPr="00B41721">
        <w:rPr>
          <w:b/>
          <w:sz w:val="28"/>
          <w:szCs w:val="28"/>
        </w:rPr>
        <w:t>1. ОСНОВНЫЕ МОДЕЛИ ПОРТФЕЛЬНОГО ИНВЕСТИРОВАНИЯ</w:t>
      </w:r>
    </w:p>
    <w:p w:rsidR="00310FB2" w:rsidRPr="00B41721" w:rsidRDefault="00310FB2" w:rsidP="00B17E19">
      <w:pPr>
        <w:spacing w:line="360" w:lineRule="auto"/>
        <w:ind w:firstLine="709"/>
        <w:rPr>
          <w:sz w:val="28"/>
          <w:szCs w:val="28"/>
        </w:rPr>
      </w:pP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Переход России к регулируемым государством рыночным отношениям обусловил возможность и необходимость внедрения на отечественных предприятиях элементов финансового менеджмента.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В условиях нестабильной экономической конъюнктуры, значительного рыночного риска, непредсказуемости налогового законодательства и высокой инфляции в России собственники и менеджеры имеют различные интересы в вопросах регулирования прибыли (дохода) акционерного общества, увеличения дивидендных выплат акционерам, контроля за курсовой стоимостью акций, финансовой и инвестиционной политики. В теории финансового и инвестиционного менеджмента, разработанные учеными-экономистами индустриально развитых стран Запада, включаются следующие аспекты.</w:t>
      </w:r>
    </w:p>
    <w:p w:rsidR="00310FB2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 xml:space="preserve">Во-первых, </w:t>
      </w:r>
      <w:r w:rsidRPr="00B41721">
        <w:rPr>
          <w:color w:val="000000"/>
          <w:sz w:val="28"/>
          <w:szCs w:val="28"/>
        </w:rPr>
        <w:t>анализ дисконтированного денежного потока (</w:t>
      </w:r>
      <w:r w:rsidRPr="00B41721">
        <w:rPr>
          <w:color w:val="000000"/>
          <w:sz w:val="28"/>
          <w:szCs w:val="28"/>
          <w:lang w:val="en-US"/>
        </w:rPr>
        <w:t>DCF</w:t>
      </w:r>
      <w:r w:rsidRPr="00B41721">
        <w:rPr>
          <w:color w:val="000000"/>
          <w:sz w:val="28"/>
          <w:szCs w:val="28"/>
        </w:rPr>
        <w:t xml:space="preserve">). Поскольку почти все финансовые решения связаны с оценкой прогнозируемых денежных потоков, анализ </w:t>
      </w:r>
      <w:r w:rsidRPr="00B41721">
        <w:rPr>
          <w:color w:val="000000"/>
          <w:sz w:val="28"/>
          <w:szCs w:val="28"/>
          <w:lang w:val="en-US"/>
        </w:rPr>
        <w:t>DCF</w:t>
      </w:r>
      <w:r w:rsidRPr="00B41721">
        <w:rPr>
          <w:color w:val="000000"/>
          <w:sz w:val="28"/>
          <w:szCs w:val="28"/>
        </w:rPr>
        <w:t xml:space="preserve"> имеет практическое значение. Впервые концепция </w:t>
      </w:r>
      <w:r w:rsidRPr="00B41721">
        <w:rPr>
          <w:color w:val="000000"/>
          <w:sz w:val="28"/>
          <w:szCs w:val="28"/>
          <w:lang w:val="en-US"/>
        </w:rPr>
        <w:t>DCF</w:t>
      </w:r>
      <w:r w:rsidRPr="00B41721">
        <w:rPr>
          <w:color w:val="000000"/>
          <w:sz w:val="28"/>
          <w:szCs w:val="28"/>
        </w:rPr>
        <w:t xml:space="preserve"> была разработана Д. Б. Уильямсом. М. Д. Гордон первым принял этот метод для управления финансами корпораций. Анализ </w:t>
      </w:r>
      <w:r w:rsidRPr="00B41721">
        <w:rPr>
          <w:color w:val="000000"/>
          <w:sz w:val="28"/>
          <w:szCs w:val="28"/>
          <w:lang w:val="en-US"/>
        </w:rPr>
        <w:t>DCF</w:t>
      </w:r>
      <w:r w:rsidRPr="00B41721">
        <w:rPr>
          <w:color w:val="000000"/>
          <w:sz w:val="28"/>
          <w:szCs w:val="28"/>
        </w:rPr>
        <w:t xml:space="preserve"> основан на понятии временной стоимости денег.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>Во-вторых,</w:t>
      </w:r>
      <w:r w:rsidRPr="00B41721">
        <w:rPr>
          <w:i/>
          <w:iCs/>
          <w:color w:val="000000"/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>теория структуры капитала, которая помогает ответить на вопросы: каким образом компания должна образовать необходимый ей капитал? следует ли ей прибегать к заемным средствам или достаточно ограничиться акционерным капиталом? Авторы данной теории — Ф. Модильяни и М. Миллер. Они исходили из идеальных рынков капитала (с нулевым налогообложением), при наличии которого стоимость компании зависит исключительно от принятых ею решений по инвестиционным проектам. Данные решения определяют будущие денежные потоки и уровень их риска. Способы формирования капитала (его структуры) не оказывают влияния на стоимость компании.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>В-третьих,</w:t>
      </w:r>
      <w:r w:rsidRPr="00B41721">
        <w:rPr>
          <w:i/>
          <w:iCs/>
          <w:color w:val="000000"/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>Ф. Модильяни и М. Миллер исследовали также влияние политики выплаты дивидендов на курсы акций корпораций. Наряду с предпосылкой о наличии идеальных рынков капитала они предполагают следующие допущения: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политика выплаты дивидендов не влияет на инвестиционный бюджет компании;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поведение всех инвесторов является рациональным.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>В-четвертых,</w:t>
      </w:r>
      <w:r w:rsidRPr="00B41721">
        <w:rPr>
          <w:i/>
          <w:iCs/>
          <w:color w:val="000000"/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>теория портфеля (САРМ) и модель оценки доходности финансовых активов, разработанная Г. Марковицем, У. Шарпом и Д. Линтнером, приводит специалистов к следующим выводам: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структура инвестиционного портфеля влияет на степень риска собственных ценных бумаг компании;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требуемая инвесторами доходность (прибыльность) акций за висит от величины этого риска;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для минимизации риска инвесторам целесообразно объединить рисковые активы в портфель;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уровень риска по каждому виду активов следует измерять не изолированно от остальных активов, а с точки зрения его влияния на общий уровень риска диверсифицированного портфеля.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>В-пятых,</w:t>
      </w:r>
      <w:r w:rsidRPr="00B41721">
        <w:rPr>
          <w:i/>
          <w:iCs/>
          <w:color w:val="000000"/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>теория ценообразования опционов Ф. Блека и М. Шоулза, согласно которой опцион представляет собой право, но не обязательство приобрести или продать финансовые активы по заранее согласованной цене в течение зафиксированного в договоре периода. Опцион может быть реализован или нет исходя из решения, принимаемого его владельцем.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Важной особенностью опциона является то, что его держатель в любой момент может отказаться от его исполнения. Цель подобного контракта </w:t>
      </w:r>
      <w:r w:rsidR="00D33CD8" w:rsidRPr="00B41721">
        <w:rPr>
          <w:color w:val="000000"/>
          <w:sz w:val="28"/>
          <w:szCs w:val="28"/>
        </w:rPr>
        <w:t>-</w:t>
      </w:r>
      <w:r w:rsidRPr="00B41721">
        <w:rPr>
          <w:color w:val="000000"/>
          <w:sz w:val="28"/>
          <w:szCs w:val="28"/>
        </w:rPr>
        <w:t xml:space="preserve"> защита от финансового риска.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iCs/>
          <w:color w:val="000000"/>
          <w:sz w:val="28"/>
          <w:szCs w:val="28"/>
        </w:rPr>
        <w:t>В-шестых,</w:t>
      </w:r>
      <w:r w:rsidRPr="00B41721">
        <w:rPr>
          <w:i/>
          <w:iCs/>
          <w:color w:val="000000"/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 xml:space="preserve">теория эффективного рынка и соотношения между доходностью и риском (ЕМН). Эффективный </w:t>
      </w:r>
      <w:r w:rsidR="00D33CD8" w:rsidRPr="00B41721">
        <w:rPr>
          <w:color w:val="000000"/>
          <w:sz w:val="28"/>
          <w:szCs w:val="28"/>
        </w:rPr>
        <w:t>-</w:t>
      </w:r>
      <w:r w:rsidRPr="00B41721">
        <w:rPr>
          <w:color w:val="000000"/>
          <w:sz w:val="28"/>
          <w:szCs w:val="28"/>
        </w:rPr>
        <w:t xml:space="preserve"> это такой рынок, в ценах на товары которого учтена вся известная информация о финансовых активах. Наличие достоверной экономической информации позволяет субъектам рыночных отношений максимизировать прибыль (доход) от финансовых операций.</w:t>
      </w:r>
    </w:p>
    <w:p w:rsidR="00D33CD8" w:rsidRPr="00B41721" w:rsidRDefault="00310FB2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Для обеспечения информационной эффективности рынка необходимо выполнение следующих условий: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информация доступна для всех участников рынка и ее получение не связано с расходами;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отсутствуют трансакционные (брокерские) издержки, налоги и другие факторы, препятствующие совершению сделок;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сделки, совершаемые отдельными физическими и юридическими лицами, не могут существенно влиять на уровень цен;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- </w:t>
      </w:r>
      <w:r w:rsidR="00310FB2" w:rsidRPr="00B41721">
        <w:rPr>
          <w:color w:val="000000"/>
          <w:sz w:val="28"/>
          <w:szCs w:val="28"/>
        </w:rPr>
        <w:t>все субъекты рынка действуют рационально, стремясь максимизировать доход от финансовых операций.</w:t>
      </w:r>
    </w:p>
    <w:p w:rsidR="00D33CD8" w:rsidRPr="00B41721" w:rsidRDefault="00D33CD8" w:rsidP="00B17E19">
      <w:pPr>
        <w:spacing w:line="360" w:lineRule="auto"/>
        <w:ind w:firstLine="709"/>
        <w:rPr>
          <w:color w:val="000000"/>
          <w:sz w:val="28"/>
          <w:szCs w:val="28"/>
        </w:rPr>
      </w:pPr>
    </w:p>
    <w:p w:rsidR="00D33CD8" w:rsidRPr="00B41721" w:rsidRDefault="00B17E19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b/>
          <w:sz w:val="28"/>
          <w:szCs w:val="28"/>
        </w:rPr>
        <w:t>2. ОЦЕНКА ИНВЕСТИЦИОННОЙ ПРИВЛЕКАТЕЛЬНОСТИ ЦЕННЫХ БУМАГ</w:t>
      </w:r>
    </w:p>
    <w:p w:rsidR="00D33CD8" w:rsidRPr="00B41721" w:rsidRDefault="00D33CD8" w:rsidP="00B17E19">
      <w:pPr>
        <w:spacing w:line="360" w:lineRule="auto"/>
        <w:ind w:firstLine="709"/>
        <w:rPr>
          <w:sz w:val="28"/>
          <w:szCs w:val="28"/>
        </w:rPr>
      </w:pPr>
    </w:p>
    <w:p w:rsidR="00310FB2" w:rsidRPr="00B41721" w:rsidRDefault="00310FB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color w:val="000000"/>
          <w:sz w:val="28"/>
          <w:szCs w:val="28"/>
        </w:rPr>
        <w:t xml:space="preserve">Цель инвестирования в финансовые активы зависит от предпочтений каждого вкладчика. Классический вариант </w:t>
      </w:r>
      <w:r w:rsidR="00D33CD8" w:rsidRPr="00B41721">
        <w:rPr>
          <w:color w:val="000000"/>
          <w:sz w:val="28"/>
          <w:szCs w:val="28"/>
        </w:rPr>
        <w:t>–</w:t>
      </w:r>
      <w:r w:rsidRPr="00B41721">
        <w:rPr>
          <w:color w:val="000000"/>
          <w:sz w:val="28"/>
          <w:szCs w:val="28"/>
        </w:rPr>
        <w:t xml:space="preserve"> вложение денежных средств в ценные бумаги промышленных компаний (корпораций).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Основная задача рассматриваемой методики </w:t>
      </w:r>
      <w:r w:rsidR="00D33CD8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оценить инвестиционную привлекательность акционерной промышленной компании.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bCs/>
          <w:sz w:val="28"/>
          <w:szCs w:val="28"/>
        </w:rPr>
        <w:t xml:space="preserve">Под инвестиционной привлекательностью </w:t>
      </w:r>
      <w:r w:rsidRPr="00B41721">
        <w:rPr>
          <w:sz w:val="28"/>
          <w:szCs w:val="28"/>
        </w:rPr>
        <w:t>понимается наличие экономического эффекта (дохода) от вложения денег в ценные бумаги (акции) при минимальном уровне риска. Методика основана на использовании детерминированного факторного анализа и предполагает расчет результативных показателей (коэффициентов), их группировку по экономическому содержанию, обоснование полученных значений и оценку текущего финансового состояния акционерного общества и перспектив его развития.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Итогом анализа является заключение о степени инвестиционной привлекательности акционерной компании.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Показатели инвестиционной привлекательности эмитента классифицируются по двум группам: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1)</w:t>
      </w:r>
      <w:r w:rsidR="0055652A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акции предлагаются впервые (первичная эмиссия);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2) акции продолжительное время обращаются на фондовом рынке.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bCs/>
          <w:sz w:val="28"/>
          <w:szCs w:val="28"/>
        </w:rPr>
        <w:t xml:space="preserve">В первом случае </w:t>
      </w:r>
      <w:r w:rsidRPr="00B41721">
        <w:rPr>
          <w:sz w:val="28"/>
          <w:szCs w:val="28"/>
        </w:rPr>
        <w:t>оценка инвестиционной привлекательности компании (инвесторами, кредиторами, рейтинговыми формами) проводится с использованием традиционных показателей:</w:t>
      </w:r>
      <w:r w:rsidR="0055652A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оборачиваемости активов;</w:t>
      </w:r>
      <w:r w:rsidR="0055652A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прибыльности активов;</w:t>
      </w:r>
      <w:r w:rsidR="0055652A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финансовой устойчивости;</w:t>
      </w:r>
      <w:r w:rsidR="0055652A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ликвидности активов.</w:t>
      </w:r>
    </w:p>
    <w:p w:rsidR="00D33CD8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bCs/>
          <w:sz w:val="28"/>
          <w:szCs w:val="28"/>
        </w:rPr>
        <w:t xml:space="preserve">Во втором случае </w:t>
      </w:r>
      <w:r w:rsidRPr="00B41721">
        <w:rPr>
          <w:sz w:val="28"/>
          <w:szCs w:val="28"/>
        </w:rPr>
        <w:t xml:space="preserve">эта оценка дополняется анализом ряда новых показателей, среди которых наиболее важную роль играют следующие (табл. </w:t>
      </w:r>
      <w:r w:rsidR="0055652A" w:rsidRPr="00B41721">
        <w:rPr>
          <w:sz w:val="28"/>
          <w:szCs w:val="28"/>
        </w:rPr>
        <w:t>2.1</w:t>
      </w:r>
      <w:r w:rsidRPr="00B41721">
        <w:rPr>
          <w:sz w:val="28"/>
          <w:szCs w:val="28"/>
        </w:rPr>
        <w:t>).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D33CD8" w:rsidRPr="00B41721" w:rsidRDefault="0055652A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2.1</w:t>
      </w:r>
    </w:p>
    <w:p w:rsidR="0055652A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Коэффициенты, характеризующие эффективность первичной</w:t>
      </w:r>
      <w:r w:rsidR="00D33CD8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эмиссии акций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885"/>
        <w:gridCol w:w="3184"/>
        <w:gridCol w:w="3501"/>
      </w:tblGrid>
      <w:tr w:rsidR="0055652A" w:rsidRPr="00B41721" w:rsidTr="00B17E19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Расчетная формула</w:t>
            </w:r>
          </w:p>
        </w:tc>
      </w:tr>
      <w:tr w:rsidR="0055652A" w:rsidRPr="00B41721" w:rsidTr="00B17E19">
        <w:trPr>
          <w:trHeight w:val="35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1. Коэффициент отдачи, акционерного капитала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Х</w:t>
            </w:r>
            <w:r w:rsidR="00E41ACD">
              <w:rPr>
                <w:color w:val="000000"/>
                <w:sz w:val="20"/>
                <w:szCs w:val="20"/>
              </w:rPr>
              <w:t>арактеризует уровень чистой при</w:t>
            </w:r>
            <w:r w:rsidRPr="00B41721">
              <w:rPr>
                <w:color w:val="000000"/>
                <w:sz w:val="20"/>
                <w:szCs w:val="20"/>
              </w:rPr>
              <w:t>были, приходящейся на акционерный капитал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Чистая прибыль (после налогообложения), деленная на среднюю стоимость акционерного капитала за расчетный период</w:t>
            </w:r>
          </w:p>
        </w:tc>
      </w:tr>
      <w:tr w:rsidR="0055652A" w:rsidRPr="00B41721" w:rsidTr="00B17E19">
        <w:trPr>
          <w:trHeight w:val="2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2. Балансовая стоимость одной акции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Отра</w:t>
            </w:r>
            <w:r w:rsidR="00E41ACD">
              <w:rPr>
                <w:color w:val="000000"/>
                <w:sz w:val="20"/>
                <w:szCs w:val="20"/>
              </w:rPr>
              <w:t>жает величину акционерного и ре</w:t>
            </w:r>
            <w:r w:rsidRPr="00B41721">
              <w:rPr>
                <w:color w:val="000000"/>
                <w:sz w:val="20"/>
                <w:szCs w:val="20"/>
              </w:rPr>
              <w:t>зервного капиталов, приходящихся на одну акцию, т.е. обеспеченность АО собственными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Сумма (акционерный капитал + резервный капитал), деленная на общее количество акций акционерного общества на определенную дату</w:t>
            </w:r>
          </w:p>
        </w:tc>
      </w:tr>
      <w:tr w:rsidR="0055652A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3.</w:t>
            </w:r>
            <w:r w:rsidR="00B17E19" w:rsidRPr="00B41721">
              <w:rPr>
                <w:color w:val="000000"/>
                <w:sz w:val="20"/>
                <w:szCs w:val="20"/>
              </w:rPr>
              <w:t xml:space="preserve"> </w:t>
            </w:r>
            <w:r w:rsidRPr="00B41721">
              <w:rPr>
                <w:color w:val="000000"/>
                <w:sz w:val="20"/>
                <w:szCs w:val="20"/>
              </w:rPr>
              <w:t>Коэффициент дивидендных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Характеризует долю дивидендных выплат в чистой прибыли акционерного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Сумма дивидендов, выплаченных АО в рассматриваемом периоде, деленная на сумму чистой прибыли общества за расчетный период</w:t>
            </w:r>
          </w:p>
        </w:tc>
      </w:tr>
      <w:tr w:rsidR="0055652A" w:rsidRPr="00B41721" w:rsidTr="00B17E19">
        <w:trPr>
          <w:trHeight w:val="129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4. Коэффициент обеспе-ченности привилегированных акций (префакций) чистыми активами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Отражает величину чистых активов, приходящихся на одну префакцию Чистые активы</w:t>
            </w:r>
            <w:r w:rsidR="00B17E19" w:rsidRPr="00B41721">
              <w:rPr>
                <w:color w:val="000000"/>
                <w:sz w:val="20"/>
                <w:szCs w:val="20"/>
              </w:rPr>
              <w:t xml:space="preserve"> </w:t>
            </w:r>
            <w:r w:rsidRPr="00B41721">
              <w:rPr>
                <w:color w:val="000000"/>
                <w:sz w:val="20"/>
                <w:szCs w:val="20"/>
              </w:rPr>
              <w:t>= активы -обязательства по балансу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Чистые активы общества на определенную дату, деленные на количество префакций, находящихся в обращении</w:t>
            </w:r>
          </w:p>
        </w:tc>
      </w:tr>
      <w:tr w:rsidR="0055652A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5. Коэффициент покрытия дивидендов по префакциям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Позволяет оценить, в какой мере размер чистой прибыли общества обеспечивает выплату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652A" w:rsidRPr="00B41721" w:rsidRDefault="0055652A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Чистая прибыль общества за расчетный период, деленная на сумму дивидендов, предусмотренную к выплате по префакциям в расчетном периоде</w:t>
            </w:r>
          </w:p>
        </w:tc>
      </w:tr>
    </w:tbl>
    <w:p w:rsidR="0055652A" w:rsidRPr="00B41721" w:rsidRDefault="0055652A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55652A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Рассмотренные показатели характеризуют эффективность предыдущих выпусков акций акционерного общества.</w:t>
      </w:r>
    </w:p>
    <w:p w:rsidR="0055652A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Оценка характера обращения акций на рынке ценных бумаг связана прежде всего с показателями их рыночной стоимости и ликвидности. Среди этих параметров наиболее важную роль играют следующие (табл. </w:t>
      </w:r>
      <w:r w:rsidR="0055652A" w:rsidRPr="00B41721">
        <w:rPr>
          <w:sz w:val="28"/>
          <w:szCs w:val="28"/>
        </w:rPr>
        <w:t>2.2</w:t>
      </w:r>
      <w:r w:rsidRPr="00B41721">
        <w:rPr>
          <w:sz w:val="28"/>
          <w:szCs w:val="28"/>
        </w:rPr>
        <w:t>).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bCs/>
          <w:sz w:val="28"/>
          <w:szCs w:val="28"/>
        </w:rPr>
      </w:pPr>
    </w:p>
    <w:p w:rsidR="0055652A" w:rsidRPr="00B41721" w:rsidRDefault="00310FB2" w:rsidP="00B17E19">
      <w:pPr>
        <w:pStyle w:val="31"/>
        <w:spacing w:after="0" w:line="360" w:lineRule="auto"/>
        <w:ind w:left="0" w:firstLine="709"/>
        <w:rPr>
          <w:bCs/>
          <w:sz w:val="28"/>
          <w:szCs w:val="28"/>
        </w:rPr>
      </w:pPr>
      <w:r w:rsidRPr="00B41721">
        <w:rPr>
          <w:bCs/>
          <w:sz w:val="28"/>
          <w:szCs w:val="28"/>
        </w:rPr>
        <w:t>Т</w:t>
      </w:r>
      <w:r w:rsidR="0055652A" w:rsidRPr="00B41721">
        <w:rPr>
          <w:bCs/>
          <w:sz w:val="28"/>
          <w:szCs w:val="28"/>
        </w:rPr>
        <w:t>аблица 2.2</w:t>
      </w:r>
    </w:p>
    <w:p w:rsidR="00310FB2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Коэффициенты, определяющие характер обращения акций на организованном рынке ценных бумаг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31"/>
        <w:gridCol w:w="3131"/>
        <w:gridCol w:w="4208"/>
      </w:tblGrid>
      <w:tr w:rsidR="00850900" w:rsidRPr="00B41721" w:rsidTr="00B17E19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bCs/>
                <w:color w:val="000000"/>
                <w:sz w:val="20"/>
                <w:szCs w:val="20"/>
              </w:rPr>
              <w:t>Расчетная формула</w:t>
            </w:r>
          </w:p>
        </w:tc>
      </w:tr>
      <w:tr w:rsidR="00850900" w:rsidRPr="00B41721" w:rsidTr="00B17E19">
        <w:trPr>
          <w:trHeight w:val="8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1. Коэффициент выплаты дивидендов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Характеризует соотношение суммы дивиденда и цены акции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Сумма дивиденда, выплаченного по акции в определенном периоде (руб.), деленная на цену котировки акции на начало рассматриваемого периода (руб.)</w:t>
            </w:r>
          </w:p>
        </w:tc>
      </w:tr>
      <w:tr w:rsidR="00850900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2. Коэффициент соотношения цены и доходности акции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Показывает соотношение между ценой акции и доходом по ней. Чем ниже это соотношение, тем привлекательнее акция для инвестора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Цена акции на начало рассматриваемого периода (руб.), деленная на совокупный доход, полученный по акции в рассматриваемом периоде (руб.)</w:t>
            </w:r>
          </w:p>
        </w:tc>
      </w:tr>
      <w:tr w:rsidR="00850900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3. Коэффициент ликвидности акций на фондовой бирже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Характеризует возможности быстрого превращения акций в деньги в случае необходимости их реализации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Общий объем предложения рассматриваемых акций на биржевых торгах (или по периоду в целом), деленный на общий объем продажи рассматриваемых акций на биржевых торгах (или по всем торгам за период)</w:t>
            </w:r>
          </w:p>
        </w:tc>
      </w:tr>
      <w:tr w:rsidR="00850900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4. Коэффициент соот</w:t>
            </w:r>
            <w:r w:rsidR="00ED028C" w:rsidRPr="00B41721">
              <w:rPr>
                <w:color w:val="000000"/>
                <w:sz w:val="20"/>
                <w:szCs w:val="20"/>
              </w:rPr>
              <w:t>-</w:t>
            </w:r>
            <w:r w:rsidRPr="00B41721">
              <w:rPr>
                <w:color w:val="000000"/>
                <w:sz w:val="20"/>
                <w:szCs w:val="20"/>
              </w:rPr>
              <w:t>ношения котируемых цен предложения и спроса на акцию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Отражает соотношение между ценой предложения и спроса на акцию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Средний уровень цен предложения на торгах, деленный на средний уровень цен спроса на акцию на торгах</w:t>
            </w:r>
          </w:p>
        </w:tc>
      </w:tr>
      <w:tr w:rsidR="00850900" w:rsidRPr="00B41721" w:rsidTr="00B17E19">
        <w:trPr>
          <w:trHeight w:val="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5. Коэффициент обращения акций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Отражает объем их обращения, а также уровень ликвидности по результатам биржевых торгов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900" w:rsidRPr="00B41721" w:rsidRDefault="00850900" w:rsidP="00B17E19">
            <w:pPr>
              <w:spacing w:line="360" w:lineRule="auto"/>
              <w:ind w:firstLine="0"/>
              <w:rPr>
                <w:color w:val="000000"/>
                <w:sz w:val="20"/>
                <w:szCs w:val="20"/>
              </w:rPr>
            </w:pPr>
            <w:r w:rsidRPr="00B41721">
              <w:rPr>
                <w:color w:val="000000"/>
                <w:sz w:val="20"/>
                <w:szCs w:val="20"/>
              </w:rPr>
              <w:t>Общий объем продаж рассматриваемых акций на торгах за период, деленный на общее количество акций фирмы, умноженное на среднюю цену продажи одной акции в рассматриваемом периоде</w:t>
            </w:r>
          </w:p>
        </w:tc>
      </w:tr>
    </w:tbl>
    <w:p w:rsidR="00850900" w:rsidRPr="00B41721" w:rsidRDefault="00850900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По законодательству России установлены жесткие требования к проспекту эмиссии ценных бумаг. Он должен содержать:</w:t>
      </w:r>
      <w:r w:rsidR="00ED028C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сведения об эмитенте;</w:t>
      </w:r>
      <w:r w:rsidR="00ED028C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данные о его финансовом положении;</w:t>
      </w:r>
      <w:r w:rsidR="00ED028C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сведения о предстоящем выпуске эмиссионных ценных бумаг.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Условия размещения выпущенных ценных бумаг следующие:</w:t>
      </w:r>
    </w:p>
    <w:p w:rsidR="00ED028C" w:rsidRPr="00B41721" w:rsidRDefault="00ED028C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эмитент имеет право начинать размещение выпускаемых им ценных бумаг только после регистрации их выпуска;</w:t>
      </w:r>
    </w:p>
    <w:p w:rsidR="00ED028C" w:rsidRPr="00B41721" w:rsidRDefault="00ED028C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количество размещенных ценных бумаг не может превышать их количества, указанного в учредительных документах о выпуске ценных бумаг;</w:t>
      </w:r>
    </w:p>
    <w:p w:rsidR="00ED028C" w:rsidRPr="00B41721" w:rsidRDefault="00ED028C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эмитент вправе разместить меньшее количество ценных бумаг, чем указано в проспекте эмиссии;</w:t>
      </w:r>
    </w:p>
    <w:p w:rsidR="00ED028C" w:rsidRPr="00B41721" w:rsidRDefault="00ED028C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эмитент обязан завершить размещение выпускаемых им ценных бумаг по истечении одного года с даты начала эмиссии, если действующим законодательством России не определены иные сроки их размещения;</w:t>
      </w:r>
    </w:p>
    <w:p w:rsidR="00ED028C" w:rsidRPr="00B41721" w:rsidRDefault="00ED028C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при публичном размещении или обращении выпуска эмиссионных ценных бумаг эмитент не вправе предоставлять преимущество для приобретения этих бумаг одним потенциальным</w:t>
      </w:r>
      <w:r w:rsidRPr="00B41721">
        <w:rPr>
          <w:sz w:val="28"/>
          <w:szCs w:val="28"/>
        </w:rPr>
        <w:t xml:space="preserve"> </w:t>
      </w:r>
      <w:r w:rsidR="00310FB2" w:rsidRPr="00B41721">
        <w:rPr>
          <w:sz w:val="28"/>
          <w:szCs w:val="28"/>
        </w:rPr>
        <w:t>покупателям перед другими.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Итак, оценка условий эмиссии акций является заключительным этапом изучения их инвестиционных качеств. Предметом такого изучения являются: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цена эмиссии;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условия и периодичность выплаты дивидендов;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степень участия отдельных владельцев в управлении акционерным обществом и другие важные для инвестора сведения, содержащиеся в эмиссионном проспекте.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На основе изучения перечисленных параметров, характеризующих текущее финансовое состояние эмитента и перспективы его развития, делается выводе степени его инвестиционной привлекательности.</w:t>
      </w:r>
    </w:p>
    <w:p w:rsidR="00ED028C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Что касается соотношения цена/доход, то данный показатель зависит от рыночной конъюнктуры (курса акций). Поэтому ориентироваться на него следует осторожно, с учетом будущего прогноза рыночных колебаний курса ценных бумаг.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310FB2" w:rsidRPr="00B41721" w:rsidRDefault="00B17E19" w:rsidP="00B17E19">
      <w:pPr>
        <w:pStyle w:val="31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B41721">
        <w:rPr>
          <w:b/>
          <w:sz w:val="28"/>
          <w:szCs w:val="28"/>
        </w:rPr>
        <w:t>3. СНИЖЕНИЕ РИСКОВ ПОРТФЕЛЬНОГО ИНВЕСТИРОВАНИЯ</w:t>
      </w:r>
    </w:p>
    <w:p w:rsidR="00606BBE" w:rsidRPr="00B41721" w:rsidRDefault="00606BBE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606BBE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Фондовый рынок потенциально</w:t>
      </w:r>
      <w:r w:rsidR="00323B70" w:rsidRPr="00B41721">
        <w:rPr>
          <w:sz w:val="28"/>
          <w:szCs w:val="28"/>
        </w:rPr>
        <w:t xml:space="preserve"> остается важным механизмом при</w:t>
      </w:r>
      <w:r w:rsidRPr="00B41721">
        <w:rPr>
          <w:sz w:val="28"/>
          <w:szCs w:val="28"/>
        </w:rPr>
        <w:t>влечения денежных ресурсов в экономику страны, так как у государства и коммерческих банков отсутствуют достаточные средства для вложения их в отрасли хозяйства. Однако любые инвестиционные решения хозяйствующих субъектов связаны с определенным риском. Ожидание потерь, соизмерение их вероятности с предполагаемой выгодой (доходами) составляют основу инвестиционных решений акционерного общества.</w:t>
      </w:r>
    </w:p>
    <w:p w:rsidR="00606BBE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Инвестор вкладывает свободные средства в фондовые инструменты с целью получения определенного дохода в абсолютной величине. Доходность - относительный показатель, измеряемый отношением полученного дохода к вложенному капиталу. Инвестора интересует также будущий доход и оценка риска вложений в ценные бумаги. Данная оценка интуитивно устанавливается с вероятностью отклонения величины дохода от некоторого ожидаемого значения.</w:t>
      </w:r>
    </w:p>
    <w:p w:rsidR="00606BBE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Практика фондового рынка выработала следующее условие — чем больше предполагаемый доход, тем выше риск, связанный с приобретением тех или иных фондовых инструментов. Риски в инвестиционной деятельности выражаются в снижении доходности реальных или портфельных инвестиций против ожидаемых величин, сопровождаются прямыми финансовыми потерями или упущенной выгодой, возникающей при осуществлении финансовых операций в связи с высокой степенью неопределенности их результатов.</w:t>
      </w:r>
    </w:p>
    <w:p w:rsidR="00606BBE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На конечный финансовый результат инвестиционной деятельности влияет множество случайных факторов макро- и микроэкономического характера. Поэтому при осуществлении портфельных инвестиций целесообразно снижать риски, возникающие по зависящим от инвестора (субъективным) причинам (например, его финансовое положение).</w:t>
      </w:r>
    </w:p>
    <w:p w:rsidR="00BB0D09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Финансовая сделка считается рискованной, если ее эффективность (доходность) не полностью известна инвестору в момент ее заключения (эффективность недетерминирована). </w:t>
      </w:r>
    </w:p>
    <w:p w:rsidR="00606BBE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Неизвестность (недетерминированность) эффективности, а следовательно, рискованность </w:t>
      </w:r>
      <w:r w:rsidR="00323B70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свойство любой сделки с куплей-продажей ценных бумаг. 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Для измерения последствий действий инвестора в условиях неопределенности используется коэффициент финансового риска (К</w:t>
      </w:r>
      <w:r w:rsidRPr="00B41721">
        <w:rPr>
          <w:sz w:val="28"/>
          <w:szCs w:val="28"/>
          <w:vertAlign w:val="subscript"/>
        </w:rPr>
        <w:t>фр</w:t>
      </w:r>
      <w:r w:rsidRPr="00B41721">
        <w:rPr>
          <w:sz w:val="28"/>
          <w:szCs w:val="28"/>
        </w:rPr>
        <w:t>)</w:t>
      </w:r>
      <w:r w:rsidR="00323B70" w:rsidRPr="00B41721">
        <w:rPr>
          <w:sz w:val="28"/>
          <w:szCs w:val="28"/>
        </w:rPr>
        <w:t>: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323B70" w:rsidRPr="00B41721" w:rsidRDefault="003465D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33pt" o:allowoverlap="f">
            <v:imagedata r:id="rId7" o:title=""/>
          </v:shape>
        </w:pic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где У </w:t>
      </w:r>
      <w:r w:rsidR="00323B70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максимально возможная сумма убытка; 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С</w:t>
      </w:r>
      <w:r w:rsidRPr="00B41721">
        <w:rPr>
          <w:sz w:val="28"/>
          <w:szCs w:val="28"/>
          <w:vertAlign w:val="subscript"/>
        </w:rPr>
        <w:t>фр</w:t>
      </w:r>
      <w:r w:rsidRPr="00B41721">
        <w:rPr>
          <w:sz w:val="28"/>
          <w:szCs w:val="28"/>
        </w:rPr>
        <w:t xml:space="preserve"> </w:t>
      </w:r>
      <w:r w:rsidR="00323B70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сумма собственных финансовых ресурсов с учетом точно известных поступлений. Данный коэффициент выражает</w:t>
      </w:r>
      <w:r w:rsidR="00323B70" w:rsidRPr="00B41721">
        <w:rPr>
          <w:sz w:val="28"/>
          <w:szCs w:val="28"/>
        </w:rPr>
        <w:t xml:space="preserve"> степень риска, ведущего к банк</w:t>
      </w:r>
      <w:r w:rsidRPr="00B41721">
        <w:rPr>
          <w:color w:val="000000"/>
          <w:sz w:val="28"/>
          <w:szCs w:val="28"/>
        </w:rPr>
        <w:t>ротству: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Кфр = 0,3 - оптимальный, не приводящий к банкротству;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Кфр = 0,31</w:t>
      </w:r>
      <w:r w:rsidR="00323B70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</w:t>
      </w:r>
      <w:r w:rsidR="00323B70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0,69</w:t>
      </w:r>
      <w:r w:rsidR="00323B70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 занимает промежуточное положение;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Кфр = 0,7 и выше - приводит к банкротству инвестора.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Уровень риска инвестиционного портфеля по акционерной компании в целом определяется по формуле:</w:t>
      </w:r>
    </w:p>
    <w:p w:rsidR="00323B70" w:rsidRPr="00B41721" w:rsidRDefault="00E41ACD" w:rsidP="00E41ACD">
      <w:pPr>
        <w:pStyle w:val="31"/>
        <w:spacing w:after="0"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465D2">
        <w:rPr>
          <w:sz w:val="28"/>
          <w:szCs w:val="28"/>
        </w:rPr>
        <w:pict>
          <v:shape id="_x0000_i1026" type="#_x0000_t75" style="width:157.5pt;height:33.75pt" o:allowoverlap="f">
            <v:imagedata r:id="rId8" o:title=""/>
          </v:shape>
        </w:pic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где У</w:t>
      </w:r>
      <w:r w:rsidRPr="00B41721">
        <w:rPr>
          <w:sz w:val="28"/>
          <w:szCs w:val="28"/>
          <w:vertAlign w:val="subscript"/>
        </w:rPr>
        <w:t>рип</w:t>
      </w:r>
      <w:r w:rsidRPr="00B41721">
        <w:rPr>
          <w:sz w:val="28"/>
          <w:szCs w:val="28"/>
        </w:rPr>
        <w:t xml:space="preserve"> </w:t>
      </w:r>
      <w:r w:rsidR="00323B70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уровень риска инвестиционного портфеля в целом, %; </w:t>
      </w:r>
    </w:p>
    <w:p w:rsidR="000338BF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УСР</w:t>
      </w:r>
      <w:r w:rsidR="00323B70" w:rsidRPr="00B41721">
        <w:rPr>
          <w:sz w:val="28"/>
          <w:szCs w:val="28"/>
          <w:vertAlign w:val="subscript"/>
          <w:lang w:val="en-US"/>
        </w:rPr>
        <w:t>i</w:t>
      </w:r>
      <w:r w:rsidRPr="00B41721">
        <w:rPr>
          <w:sz w:val="28"/>
          <w:szCs w:val="28"/>
        </w:rPr>
        <w:t xml:space="preserve"> </w:t>
      </w:r>
      <w:r w:rsidR="00323B70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уровень систематического риска фондовых инструментов 1-го вида, измеряемый с помощью В</w:t>
      </w:r>
      <w:r w:rsidR="000338BF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</w:t>
      </w:r>
      <w:r w:rsidR="000338BF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 xml:space="preserve">коэффициента или в ином порядке, принятом акционерной компанией, %; </w:t>
      </w:r>
    </w:p>
    <w:p w:rsidR="000338BF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УН</w:t>
      </w:r>
      <w:r w:rsidRPr="00B41721">
        <w:rPr>
          <w:sz w:val="28"/>
          <w:szCs w:val="28"/>
          <w:vertAlign w:val="subscript"/>
        </w:rPr>
        <w:t>Рип</w:t>
      </w:r>
      <w:r w:rsidRPr="00B41721">
        <w:rPr>
          <w:sz w:val="28"/>
          <w:szCs w:val="28"/>
        </w:rPr>
        <w:t xml:space="preserve"> </w:t>
      </w:r>
      <w:r w:rsidR="000338BF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уровень несистематического риска инвестиционного портфеля, достигнутый в процессе его диверсификации, %; </w:t>
      </w:r>
    </w:p>
    <w:p w:rsidR="000338BF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У</w:t>
      </w:r>
      <w:r w:rsidRPr="00B41721">
        <w:rPr>
          <w:sz w:val="28"/>
          <w:szCs w:val="28"/>
          <w:vertAlign w:val="subscript"/>
          <w:lang w:val="en-US"/>
        </w:rPr>
        <w:t>i</w:t>
      </w:r>
      <w:r w:rsidR="00310FB2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</w:t>
      </w:r>
      <w:r w:rsidR="00310FB2" w:rsidRPr="00B41721">
        <w:rPr>
          <w:sz w:val="28"/>
          <w:szCs w:val="28"/>
        </w:rPr>
        <w:t xml:space="preserve"> удельный вес фондового инструмента </w:t>
      </w:r>
      <w:r w:rsidR="00310FB2" w:rsidRPr="00B41721">
        <w:rPr>
          <w:sz w:val="28"/>
          <w:szCs w:val="28"/>
          <w:lang w:val="en-US"/>
        </w:rPr>
        <w:t>i</w:t>
      </w:r>
      <w:r w:rsidR="00310FB2" w:rsidRPr="00B41721">
        <w:rPr>
          <w:sz w:val="28"/>
          <w:szCs w:val="28"/>
        </w:rPr>
        <w:t>-</w:t>
      </w:r>
      <w:r w:rsidR="00310FB2" w:rsidRPr="00B41721">
        <w:rPr>
          <w:sz w:val="28"/>
          <w:szCs w:val="28"/>
          <w:lang w:val="en-US"/>
        </w:rPr>
        <w:t>ro</w:t>
      </w:r>
      <w:r w:rsidR="00310FB2" w:rsidRPr="00B41721">
        <w:rPr>
          <w:sz w:val="28"/>
          <w:szCs w:val="28"/>
        </w:rPr>
        <w:t xml:space="preserve"> вида в объеме инвестиционного портфеля, доли единицы;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  <w:lang w:val="en-US"/>
        </w:rPr>
        <w:t>n</w:t>
      </w:r>
      <w:r w:rsidR="00310FB2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</w:t>
      </w:r>
      <w:r w:rsidR="00310FB2" w:rsidRPr="00B41721">
        <w:rPr>
          <w:sz w:val="28"/>
          <w:szCs w:val="28"/>
        </w:rPr>
        <w:t xml:space="preserve"> общее количество видов фондовых инструментов, входящих в портфель (</w:t>
      </w:r>
      <w:r w:rsidR="00310FB2" w:rsidRPr="00B41721">
        <w:rPr>
          <w:sz w:val="28"/>
          <w:szCs w:val="28"/>
          <w:lang w:val="en-US"/>
        </w:rPr>
        <w:t>i</w:t>
      </w:r>
      <w:r w:rsidR="00310FB2" w:rsidRPr="00B41721">
        <w:rPr>
          <w:sz w:val="28"/>
          <w:szCs w:val="28"/>
        </w:rPr>
        <w:t xml:space="preserve"> = 1, 2, 3,</w:t>
      </w:r>
      <w:r w:rsidRPr="00B41721">
        <w:rPr>
          <w:sz w:val="28"/>
          <w:szCs w:val="28"/>
        </w:rPr>
        <w:t xml:space="preserve"> </w:t>
      </w:r>
      <w:r w:rsidR="00310FB2" w:rsidRPr="00B41721">
        <w:rPr>
          <w:sz w:val="28"/>
          <w:szCs w:val="28"/>
        </w:rPr>
        <w:t>...,</w:t>
      </w:r>
      <w:r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  <w:lang w:val="en-US"/>
        </w:rPr>
        <w:t>n</w:t>
      </w:r>
      <w:r w:rsidR="00310FB2" w:rsidRPr="00B41721">
        <w:rPr>
          <w:sz w:val="28"/>
          <w:szCs w:val="28"/>
        </w:rPr>
        <w:t>).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Результатом расчета по данной формуле является оценка того, насколько удалось снизить уровень портфельного риска по отношению к среднерыночному его уровню, при заданной величине доходности инвестиционного портфеля. Данный портфель, полностью отвечающий целям его формирования как по составу, так и по типу включенных в него ценных бумаг, представляет собой сбалансированный инвестиционный портфель (по уровню доходности, ликвидности и безопасности). В отдельных случаях возможна корректировка (реструктуризация) сформированного портфеля под влиянием факторов макро- и микроэкономического характера. К приемам снижения финансового риска относятся: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диверсификация (разнообразие) фондового портфеля;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приобретение дополнительной информации о предмете сделки;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самострахование (создание финансовых резервов для покрытия возможных убытков; для акционерных обществ они формируются в обязательном порядке);</w:t>
      </w:r>
    </w:p>
    <w:p w:rsidR="000338BF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страхование финансовых гарантий;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 xml:space="preserve">хеджирование </w:t>
      </w:r>
      <w:r w:rsidRPr="00B41721">
        <w:rPr>
          <w:sz w:val="28"/>
          <w:szCs w:val="28"/>
        </w:rPr>
        <w:t>-</w:t>
      </w:r>
      <w:r w:rsidR="00310FB2" w:rsidRPr="00B41721">
        <w:rPr>
          <w:sz w:val="28"/>
          <w:szCs w:val="28"/>
        </w:rPr>
        <w:t xml:space="preserve"> страхование контрактов от неблагоприятного изменения цен, что предполагает поставки ценных бумаг в будущем по фиксированным ценам (опционные и фьючерсные контракты)и др.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Эффективность операций по ценным бумагам зависит от трех факторов: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цены покупки;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промежуточных выплат;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- цены продажи.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Итак, совокупность рисков, связанных с вложениями в ценные бумаги, должна учитываться инвестиционными менеджерами в процессе принятия и реализации конкретных управленческих решений.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Для всех инвесторов защита от финансового риска в определенной мере обеспечивается соблюдением типовых правил коммерческой деятельности:</w:t>
      </w:r>
    </w:p>
    <w:p w:rsidR="000338BF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основной капитал желательно финансировать за счет долго срочных займов, чтобы надолго не связывать собственный капитал;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основной капитал должен быть собственным;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погашение долгосрочных займов и процентов по ним целесообразно осуществлять из денежных поступлений по реализуемым инвестиционным проектам;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краткосрочное заемное финансирование должно соответствовать действительной потребности в кредите;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постоянная ориентация на снижение расходов по формированию и управлению инвестиционным портфелем;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наличные денежные поступления часто важнее прибыли, так как обеспечивают финансовую устойчивость предприятия и его инвестиционную привлекательность для инвесторов и кредиторов;</w:t>
      </w:r>
    </w:p>
    <w:p w:rsidR="00323B70" w:rsidRPr="00B41721" w:rsidRDefault="000338BF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- </w:t>
      </w:r>
      <w:r w:rsidR="00310FB2" w:rsidRPr="00B41721">
        <w:rPr>
          <w:sz w:val="28"/>
          <w:szCs w:val="28"/>
        </w:rPr>
        <w:t>ориентация предприятия на будущий денежный поток от инвестиционного проекта в форме инвестируемой им прибыли.</w:t>
      </w:r>
    </w:p>
    <w:p w:rsidR="00323B70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В заключение отметим, что риск </w:t>
      </w:r>
      <w:r w:rsidR="000338BF" w:rsidRPr="00B41721">
        <w:rPr>
          <w:sz w:val="28"/>
          <w:szCs w:val="28"/>
        </w:rPr>
        <w:t>-</w:t>
      </w:r>
      <w:r w:rsidRPr="00B41721">
        <w:rPr>
          <w:sz w:val="28"/>
          <w:szCs w:val="28"/>
        </w:rPr>
        <w:t xml:space="preserve"> нормальная ситуация для деятельности инвестиционного менеджера, который не избегает риска, а, правильно его прогнозируя, стремится снизить до минимального уровня.</w:t>
      </w:r>
    </w:p>
    <w:p w:rsidR="00310FB2" w:rsidRPr="00B41721" w:rsidRDefault="00310FB2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Кто не рискует, тот не может добиться большого успеха в предпринимательской деятельности.</w:t>
      </w:r>
    </w:p>
    <w:p w:rsidR="00BB0D09" w:rsidRDefault="00BB0D09" w:rsidP="00B17E19">
      <w:pPr>
        <w:spacing w:line="360" w:lineRule="auto"/>
        <w:ind w:firstLine="709"/>
        <w:jc w:val="center"/>
        <w:rPr>
          <w:sz w:val="28"/>
          <w:szCs w:val="28"/>
        </w:rPr>
      </w:pPr>
    </w:p>
    <w:p w:rsidR="003E4081" w:rsidRPr="00B41721" w:rsidRDefault="00B17E19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b/>
          <w:sz w:val="28"/>
          <w:szCs w:val="28"/>
        </w:rPr>
        <w:t xml:space="preserve">4. </w:t>
      </w:r>
      <w:r w:rsidR="000F4BC1" w:rsidRPr="00B41721">
        <w:rPr>
          <w:b/>
          <w:sz w:val="28"/>
          <w:szCs w:val="28"/>
        </w:rPr>
        <w:t>ПРАКТИЧЕСКАЯ ЧАСТЬ</w:t>
      </w: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На основе исходных данных, представленных в таблице 1, составить оптимальный портфель компании для ситуаций:</w:t>
      </w:r>
    </w:p>
    <w:p w:rsidR="00CA2577" w:rsidRPr="00B41721" w:rsidRDefault="000F4BC1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а)</w:t>
      </w:r>
      <w:r w:rsidR="00CA2577" w:rsidRPr="00B41721">
        <w:rPr>
          <w:sz w:val="28"/>
          <w:szCs w:val="28"/>
        </w:rPr>
        <w:t xml:space="preserve"> проекты поддаются дроблению;</w:t>
      </w: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б) проекты не поддаются дроблению;</w:t>
      </w: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в) проекты А и С являются взаимоисключающими.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1</w:t>
      </w:r>
    </w:p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1400"/>
        <w:gridCol w:w="1972"/>
        <w:gridCol w:w="1255"/>
        <w:gridCol w:w="565"/>
        <w:gridCol w:w="565"/>
        <w:gridCol w:w="565"/>
        <w:gridCol w:w="565"/>
      </w:tblGrid>
      <w:tr w:rsidR="000F4BC1" w:rsidRPr="00AD0FEA" w:rsidTr="00AD0FEA">
        <w:tc>
          <w:tcPr>
            <w:tcW w:w="0" w:type="auto"/>
            <w:vMerge w:val="restart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Инвестиционные возможности предприятия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Норма дисконта, %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Альтернативные проекты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Инвестиции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Поступления</w:t>
            </w:r>
          </w:p>
        </w:tc>
      </w:tr>
      <w:tr w:rsidR="000F4BC1" w:rsidRPr="00AD0FEA" w:rsidTr="00AD0FEA">
        <w:tc>
          <w:tcPr>
            <w:tcW w:w="0" w:type="auto"/>
            <w:vMerge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1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2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3 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F4BC1" w:rsidRPr="00AD0FEA" w:rsidRDefault="000F4BC1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4 год</w:t>
            </w:r>
          </w:p>
        </w:tc>
      </w:tr>
      <w:tr w:rsidR="009E2DA2" w:rsidRPr="00AD0FEA" w:rsidTr="00AD0FEA">
        <w:tc>
          <w:tcPr>
            <w:tcW w:w="0" w:type="auto"/>
            <w:vMerge w:val="restart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AD0FE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54</w:t>
            </w:r>
          </w:p>
        </w:tc>
      </w:tr>
      <w:tr w:rsidR="009E2DA2" w:rsidRPr="00AD0FEA" w:rsidTr="00AD0FEA"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AD0FEA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27</w:t>
            </w:r>
          </w:p>
        </w:tc>
      </w:tr>
      <w:tr w:rsidR="009E2DA2" w:rsidRPr="00AD0FEA" w:rsidTr="00AD0FEA"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AD0FE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50</w:t>
            </w:r>
          </w:p>
        </w:tc>
      </w:tr>
      <w:tr w:rsidR="009E2DA2" w:rsidRPr="00AD0FEA" w:rsidTr="00AD0FEA"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AD0FE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E2DA2" w:rsidRPr="00AD0FEA" w:rsidRDefault="009E2DA2" w:rsidP="00AD0FEA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AD0FEA">
              <w:rPr>
                <w:sz w:val="20"/>
                <w:szCs w:val="20"/>
              </w:rPr>
              <w:t>36</w:t>
            </w:r>
          </w:p>
        </w:tc>
      </w:tr>
    </w:tbl>
    <w:p w:rsidR="00CA2577" w:rsidRPr="00B41721" w:rsidRDefault="00CA2577" w:rsidP="00B17E19">
      <w:pPr>
        <w:spacing w:line="360" w:lineRule="auto"/>
        <w:ind w:firstLine="709"/>
        <w:rPr>
          <w:sz w:val="28"/>
          <w:szCs w:val="28"/>
        </w:rPr>
      </w:pP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Решение:</w:t>
      </w: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а) проекты поддаются дроблению:</w:t>
      </w: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Рассчитаем чистый приведенный эффект (</w:t>
      </w:r>
      <w:r w:rsidRPr="00B41721">
        <w:rPr>
          <w:sz w:val="28"/>
          <w:szCs w:val="28"/>
          <w:lang w:val="en-US"/>
        </w:rPr>
        <w:t>NPV</w:t>
      </w:r>
      <w:r w:rsidRPr="00B41721">
        <w:rPr>
          <w:sz w:val="28"/>
          <w:szCs w:val="28"/>
        </w:rPr>
        <w:t>) и индекс рентабельности (</w:t>
      </w:r>
      <w:r w:rsidRPr="00B41721">
        <w:rPr>
          <w:sz w:val="28"/>
          <w:szCs w:val="28"/>
          <w:lang w:val="en-US"/>
        </w:rPr>
        <w:t>PI</w:t>
      </w:r>
      <w:r w:rsidRPr="00B41721">
        <w:rPr>
          <w:sz w:val="28"/>
          <w:szCs w:val="28"/>
        </w:rPr>
        <w:t>) для каждого проекта: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9E2DA2" w:rsidRPr="00B41721" w:rsidRDefault="003465D2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7" type="#_x0000_t75" style="width:114.75pt;height:35.25pt">
            <v:imagedata r:id="rId9" o:title=""/>
          </v:shape>
        </w:pict>
      </w:r>
      <w:r w:rsidR="009E2DA2" w:rsidRPr="00B41721">
        <w:rPr>
          <w:sz w:val="28"/>
          <w:szCs w:val="28"/>
        </w:rPr>
        <w:t>,</w:t>
      </w:r>
    </w:p>
    <w:p w:rsidR="00B96695" w:rsidRPr="00B41721" w:rsidRDefault="003465D2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96.75pt;height:35.25pt">
            <v:imagedata r:id="rId10" o:title=""/>
          </v:shape>
        </w:pict>
      </w:r>
      <w:r w:rsidR="00B96695" w:rsidRPr="00B41721">
        <w:rPr>
          <w:sz w:val="28"/>
          <w:szCs w:val="28"/>
        </w:rPr>
        <w:t>,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где </w:t>
      </w:r>
      <w:r w:rsidRPr="00B41721">
        <w:rPr>
          <w:sz w:val="28"/>
          <w:szCs w:val="28"/>
          <w:lang w:val="en-US"/>
        </w:rPr>
        <w:t>P</w:t>
      </w:r>
      <w:r w:rsidRPr="00B41721">
        <w:rPr>
          <w:sz w:val="28"/>
          <w:szCs w:val="28"/>
          <w:vertAlign w:val="subscript"/>
          <w:lang w:val="en-US"/>
        </w:rPr>
        <w:t>k</w:t>
      </w:r>
      <w:r w:rsidRPr="00B41721">
        <w:rPr>
          <w:sz w:val="28"/>
          <w:szCs w:val="28"/>
        </w:rPr>
        <w:t xml:space="preserve"> – результаты реализации инвестиционного проекта в </w:t>
      </w:r>
      <w:r w:rsidRPr="00B41721">
        <w:rPr>
          <w:sz w:val="28"/>
          <w:szCs w:val="28"/>
          <w:lang w:val="en-US"/>
        </w:rPr>
        <w:t>k</w:t>
      </w:r>
      <w:r w:rsidRPr="00B41721">
        <w:rPr>
          <w:sz w:val="28"/>
          <w:szCs w:val="28"/>
        </w:rPr>
        <w:t>-й год;</w:t>
      </w: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  <w:lang w:val="en-US"/>
        </w:rPr>
        <w:t>r</w:t>
      </w:r>
      <w:r w:rsidRPr="00B41721">
        <w:rPr>
          <w:sz w:val="28"/>
          <w:szCs w:val="28"/>
        </w:rPr>
        <w:t xml:space="preserve"> – норма дисконта в долях целого числа;</w:t>
      </w:r>
    </w:p>
    <w:p w:rsidR="009E2DA2" w:rsidRPr="00B41721" w:rsidRDefault="009E2DA2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  <w:lang w:val="en-US"/>
        </w:rPr>
        <w:t>IC</w:t>
      </w:r>
      <w:r w:rsidRPr="00B41721">
        <w:rPr>
          <w:sz w:val="28"/>
          <w:szCs w:val="28"/>
        </w:rPr>
        <w:t xml:space="preserve"> – инвестиции.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9E2DA2" w:rsidRPr="00B41721" w:rsidRDefault="003465D2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9" type="#_x0000_t75" style="width:350.25pt;height:33.75pt">
            <v:imagedata r:id="rId11" o:title=""/>
          </v:shape>
        </w:pict>
      </w:r>
    </w:p>
    <w:p w:rsidR="00B96695" w:rsidRPr="00B41721" w:rsidRDefault="003465D2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30" type="#_x0000_t75" style="width:330pt;height:33.75pt">
            <v:imagedata r:id="rId12" o:title=""/>
          </v:shape>
        </w:pic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Результаты расчетов представлены в таблице 2.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2</w:t>
      </w:r>
    </w:p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Результаты ранжирования инвестиционных проектов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08"/>
        <w:gridCol w:w="666"/>
        <w:gridCol w:w="766"/>
      </w:tblGrid>
      <w:tr w:rsidR="00B96695" w:rsidRPr="00B41721" w:rsidTr="00B17E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Альтернативные проекты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NPV</w:t>
            </w:r>
          </w:p>
        </w:tc>
      </w:tr>
      <w:tr w:rsidR="00B9669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4,038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136,71</w:t>
            </w:r>
          </w:p>
        </w:tc>
      </w:tr>
      <w:tr w:rsidR="00B9669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3,343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138,23</w:t>
            </w:r>
          </w:p>
        </w:tc>
      </w:tr>
      <w:tr w:rsidR="00B9669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3,095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67,05</w:t>
            </w:r>
          </w:p>
        </w:tc>
      </w:tr>
      <w:tr w:rsidR="00B9669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2,268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6695" w:rsidRPr="00B41721" w:rsidRDefault="00B9669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73,55</w:t>
            </w:r>
          </w:p>
        </w:tc>
      </w:tr>
    </w:tbl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</w:p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Таким образом, по убыванию показателя </w:t>
      </w:r>
      <w:r w:rsidRPr="00B41721">
        <w:rPr>
          <w:sz w:val="28"/>
          <w:szCs w:val="28"/>
          <w:lang w:val="en-US"/>
        </w:rPr>
        <w:t>PI</w:t>
      </w:r>
      <w:r w:rsidRPr="00B41721">
        <w:rPr>
          <w:sz w:val="28"/>
          <w:szCs w:val="28"/>
        </w:rPr>
        <w:t xml:space="preserve"> проекты упорядочены следующим образом: </w:t>
      </w:r>
      <w:r w:rsidRPr="00B41721">
        <w:rPr>
          <w:sz w:val="28"/>
          <w:szCs w:val="28"/>
          <w:lang w:val="en-US"/>
        </w:rPr>
        <w:t>A</w:t>
      </w:r>
      <w:r w:rsidRPr="00B41721">
        <w:rPr>
          <w:sz w:val="28"/>
          <w:szCs w:val="28"/>
        </w:rPr>
        <w:t xml:space="preserve">, </w:t>
      </w:r>
      <w:r w:rsidRPr="00B41721">
        <w:rPr>
          <w:sz w:val="28"/>
          <w:szCs w:val="28"/>
          <w:lang w:val="en-US"/>
        </w:rPr>
        <w:t>C</w:t>
      </w:r>
      <w:r w:rsidRPr="00B41721">
        <w:rPr>
          <w:sz w:val="28"/>
          <w:szCs w:val="28"/>
        </w:rPr>
        <w:t xml:space="preserve">, </w:t>
      </w:r>
      <w:r w:rsidRPr="00B41721">
        <w:rPr>
          <w:sz w:val="28"/>
          <w:szCs w:val="28"/>
          <w:lang w:val="en-US"/>
        </w:rPr>
        <w:t>D</w:t>
      </w:r>
      <w:r w:rsidRPr="00B41721">
        <w:rPr>
          <w:sz w:val="28"/>
          <w:szCs w:val="28"/>
        </w:rPr>
        <w:t xml:space="preserve">, </w:t>
      </w:r>
      <w:r w:rsidRPr="00B41721">
        <w:rPr>
          <w:sz w:val="28"/>
          <w:szCs w:val="28"/>
          <w:lang w:val="en-US"/>
        </w:rPr>
        <w:t>B</w:t>
      </w:r>
      <w:r w:rsidRPr="00B41721">
        <w:rPr>
          <w:sz w:val="28"/>
          <w:szCs w:val="28"/>
        </w:rPr>
        <w:t>.</w:t>
      </w:r>
    </w:p>
    <w:p w:rsidR="00621DF3" w:rsidRPr="00B41721" w:rsidRDefault="00EE622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Тогда наиболее оптимальной будет стратегия (таблица 3).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EE6225" w:rsidRPr="00B41721" w:rsidRDefault="00EE622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3</w:t>
      </w:r>
    </w:p>
    <w:p w:rsidR="00EE6225" w:rsidRPr="00B41721" w:rsidRDefault="00EE622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Инвестиционная стратегия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4"/>
        <w:gridCol w:w="1255"/>
        <w:gridCol w:w="4145"/>
        <w:gridCol w:w="766"/>
      </w:tblGrid>
      <w:tr w:rsidR="00EE6225" w:rsidRPr="00B41721" w:rsidTr="00B17E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Проект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Часть инвестиций, включаемая в портфель,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NPV</w:t>
            </w:r>
          </w:p>
        </w:tc>
      </w:tr>
      <w:tr w:rsidR="00EE622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136,71</w:t>
            </w:r>
          </w:p>
        </w:tc>
      </w:tr>
      <w:tr w:rsidR="00EE622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EE6225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138,23</w:t>
            </w:r>
          </w:p>
        </w:tc>
      </w:tr>
      <w:tr w:rsidR="00EE6225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6225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225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4,19</w:t>
            </w:r>
          </w:p>
        </w:tc>
      </w:tr>
      <w:tr w:rsidR="00D40B19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279,13</w:t>
            </w:r>
          </w:p>
        </w:tc>
      </w:tr>
    </w:tbl>
    <w:p w:rsidR="00D40B19" w:rsidRPr="00B41721" w:rsidRDefault="00BB0D09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40B19" w:rsidRPr="00B41721">
        <w:rPr>
          <w:sz w:val="28"/>
          <w:szCs w:val="28"/>
        </w:rPr>
        <w:t xml:space="preserve">Любой другой вариант ухудшает значение </w:t>
      </w:r>
      <w:r w:rsidR="00D40B19" w:rsidRPr="00B41721">
        <w:rPr>
          <w:sz w:val="28"/>
          <w:szCs w:val="28"/>
          <w:lang w:val="en-US"/>
        </w:rPr>
        <w:t>NPV</w:t>
      </w:r>
      <w:r w:rsidR="00D40B19" w:rsidRPr="00B41721">
        <w:rPr>
          <w:sz w:val="28"/>
          <w:szCs w:val="28"/>
        </w:rPr>
        <w:t>, например (таблица 4)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D40B19" w:rsidRPr="00B41721" w:rsidRDefault="00D40B19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4</w:t>
      </w:r>
    </w:p>
    <w:p w:rsidR="00D40B19" w:rsidRPr="00B41721" w:rsidRDefault="00D40B19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Проверка инвестиционной стратегии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34"/>
        <w:gridCol w:w="1255"/>
        <w:gridCol w:w="4145"/>
        <w:gridCol w:w="766"/>
      </w:tblGrid>
      <w:tr w:rsidR="00D40B19" w:rsidRPr="00B41721" w:rsidTr="00B17E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Проект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Часть инвестиций, включаемая в портфель,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NPV</w:t>
            </w:r>
          </w:p>
        </w:tc>
      </w:tr>
      <w:tr w:rsidR="00D40B19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67,05</w:t>
            </w:r>
          </w:p>
        </w:tc>
      </w:tr>
      <w:tr w:rsidR="00D40B19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138,23</w:t>
            </w:r>
          </w:p>
        </w:tc>
      </w:tr>
      <w:tr w:rsidR="00D40B19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45,57</w:t>
            </w:r>
          </w:p>
        </w:tc>
      </w:tr>
      <w:tr w:rsidR="00D40B19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0B19" w:rsidRPr="00B41721" w:rsidRDefault="00D40B19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250,85</w:t>
            </w:r>
          </w:p>
        </w:tc>
      </w:tr>
    </w:tbl>
    <w:p w:rsidR="00B96695" w:rsidRPr="00B41721" w:rsidRDefault="00B96695" w:rsidP="00B17E19">
      <w:pPr>
        <w:spacing w:line="360" w:lineRule="auto"/>
        <w:ind w:firstLine="709"/>
        <w:rPr>
          <w:sz w:val="28"/>
          <w:szCs w:val="28"/>
        </w:rPr>
      </w:pPr>
    </w:p>
    <w:p w:rsidR="00D40B19" w:rsidRPr="00B41721" w:rsidRDefault="00D40B19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Таким образом, стратегия</w:t>
      </w:r>
      <w:r w:rsidR="002B2CC1" w:rsidRPr="00B41721">
        <w:rPr>
          <w:sz w:val="28"/>
          <w:szCs w:val="28"/>
        </w:rPr>
        <w:t xml:space="preserve"> формирования инвестиционного портфеля, представленная в таблице 3, является о</w:t>
      </w:r>
      <w:r w:rsidRPr="00B41721">
        <w:rPr>
          <w:sz w:val="28"/>
          <w:szCs w:val="28"/>
        </w:rPr>
        <w:t>птимальной.</w:t>
      </w:r>
    </w:p>
    <w:p w:rsidR="00840EAC" w:rsidRPr="00B41721" w:rsidRDefault="00840EAC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б) проекты не поддаются дроблению:</w:t>
      </w:r>
    </w:p>
    <w:p w:rsidR="00840EAC" w:rsidRPr="00B41721" w:rsidRDefault="00840EAC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Имеются следующие варианты сочетания проектов в портфеле, удовлетворяющие условию задачи: </w:t>
      </w:r>
      <w:r w:rsidR="000040F4" w:rsidRPr="00B41721">
        <w:rPr>
          <w:sz w:val="28"/>
          <w:szCs w:val="28"/>
          <w:lang w:val="en-US"/>
        </w:rPr>
        <w:t>A</w:t>
      </w:r>
      <w:r w:rsidR="000040F4" w:rsidRPr="00B41721">
        <w:rPr>
          <w:sz w:val="28"/>
          <w:szCs w:val="28"/>
        </w:rPr>
        <w:t>+</w:t>
      </w:r>
      <w:r w:rsidR="000040F4" w:rsidRPr="00B41721">
        <w:rPr>
          <w:sz w:val="28"/>
          <w:szCs w:val="28"/>
          <w:lang w:val="en-US"/>
        </w:rPr>
        <w:t>B</w:t>
      </w:r>
      <w:r w:rsidR="000040F4" w:rsidRPr="00B41721">
        <w:rPr>
          <w:sz w:val="28"/>
          <w:szCs w:val="28"/>
        </w:rPr>
        <w:t xml:space="preserve">; </w:t>
      </w:r>
      <w:r w:rsidR="000040F4" w:rsidRPr="00B41721">
        <w:rPr>
          <w:sz w:val="28"/>
          <w:szCs w:val="28"/>
          <w:lang w:val="en-US"/>
        </w:rPr>
        <w:t>A</w:t>
      </w:r>
      <w:r w:rsidR="000040F4" w:rsidRPr="00B41721">
        <w:rPr>
          <w:sz w:val="28"/>
          <w:szCs w:val="28"/>
        </w:rPr>
        <w:t>+</w:t>
      </w:r>
      <w:r w:rsidR="000040F4" w:rsidRPr="00B41721">
        <w:rPr>
          <w:sz w:val="28"/>
          <w:szCs w:val="28"/>
          <w:lang w:val="en-US"/>
        </w:rPr>
        <w:t>C</w:t>
      </w:r>
      <w:r w:rsidR="000040F4" w:rsidRPr="00B41721">
        <w:rPr>
          <w:sz w:val="28"/>
          <w:szCs w:val="28"/>
        </w:rPr>
        <w:t xml:space="preserve">; </w:t>
      </w:r>
      <w:r w:rsidR="000040F4" w:rsidRPr="00B41721">
        <w:rPr>
          <w:sz w:val="28"/>
          <w:szCs w:val="28"/>
          <w:lang w:val="en-US"/>
        </w:rPr>
        <w:t>A</w:t>
      </w:r>
      <w:r w:rsidR="000040F4" w:rsidRPr="00B41721">
        <w:rPr>
          <w:sz w:val="28"/>
          <w:szCs w:val="28"/>
        </w:rPr>
        <w:t>+</w:t>
      </w:r>
      <w:r w:rsidR="000040F4" w:rsidRPr="00B41721">
        <w:rPr>
          <w:sz w:val="28"/>
          <w:szCs w:val="28"/>
          <w:lang w:val="en-US"/>
        </w:rPr>
        <w:t>D</w:t>
      </w:r>
      <w:r w:rsidR="000040F4" w:rsidRPr="00B41721">
        <w:rPr>
          <w:sz w:val="28"/>
          <w:szCs w:val="28"/>
        </w:rPr>
        <w:t xml:space="preserve">; </w:t>
      </w:r>
      <w:r w:rsidR="000040F4" w:rsidRPr="00B41721">
        <w:rPr>
          <w:sz w:val="28"/>
          <w:szCs w:val="28"/>
          <w:lang w:val="en-US"/>
        </w:rPr>
        <w:t>B</w:t>
      </w:r>
      <w:r w:rsidR="000040F4" w:rsidRPr="00B41721">
        <w:rPr>
          <w:sz w:val="28"/>
          <w:szCs w:val="28"/>
        </w:rPr>
        <w:t>+</w:t>
      </w:r>
      <w:r w:rsidR="000040F4" w:rsidRPr="00B41721">
        <w:rPr>
          <w:sz w:val="28"/>
          <w:szCs w:val="28"/>
          <w:lang w:val="en-US"/>
        </w:rPr>
        <w:t>D</w:t>
      </w:r>
      <w:r w:rsidR="000040F4" w:rsidRPr="00B41721">
        <w:rPr>
          <w:sz w:val="28"/>
          <w:szCs w:val="28"/>
        </w:rPr>
        <w:t xml:space="preserve">; </w:t>
      </w:r>
      <w:r w:rsidR="000040F4" w:rsidRPr="00B41721">
        <w:rPr>
          <w:sz w:val="28"/>
          <w:szCs w:val="28"/>
          <w:lang w:val="en-US"/>
        </w:rPr>
        <w:t>C</w:t>
      </w:r>
      <w:r w:rsidR="000040F4" w:rsidRPr="00B41721">
        <w:rPr>
          <w:sz w:val="28"/>
          <w:szCs w:val="28"/>
        </w:rPr>
        <w:t>+</w:t>
      </w:r>
      <w:r w:rsidR="000040F4" w:rsidRPr="00B41721">
        <w:rPr>
          <w:sz w:val="28"/>
          <w:szCs w:val="28"/>
          <w:lang w:val="en-US"/>
        </w:rPr>
        <w:t>D</w:t>
      </w:r>
      <w:r w:rsidR="000040F4" w:rsidRPr="00B41721">
        <w:rPr>
          <w:sz w:val="28"/>
          <w:szCs w:val="28"/>
        </w:rPr>
        <w:t>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840EAC" w:rsidRPr="00B41721" w:rsidRDefault="00840EAC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5</w:t>
      </w:r>
    </w:p>
    <w:p w:rsidR="00840EAC" w:rsidRPr="00B41721" w:rsidRDefault="00840EAC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Инвестиционная стратегия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29"/>
        <w:gridCol w:w="2274"/>
        <w:gridCol w:w="2162"/>
      </w:tblGrid>
      <w:tr w:rsidR="000040F4" w:rsidRPr="00B41721" w:rsidTr="00B17E1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Вариант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Суммарные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Суммарный NPV</w:t>
            </w:r>
          </w:p>
        </w:tc>
      </w:tr>
      <w:tr w:rsidR="000040F4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A+B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103 (45+58)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210,26 (</w:t>
            </w:r>
            <w:r w:rsidRPr="00B41721">
              <w:rPr>
                <w:sz w:val="20"/>
                <w:szCs w:val="20"/>
                <w:lang w:val="en-US"/>
              </w:rPr>
              <w:t>136,71</w:t>
            </w:r>
            <w:r w:rsidRPr="00B41721">
              <w:rPr>
                <w:sz w:val="20"/>
                <w:szCs w:val="20"/>
              </w:rPr>
              <w:t>+</w:t>
            </w:r>
            <w:r w:rsidRPr="00B41721">
              <w:rPr>
                <w:sz w:val="20"/>
                <w:szCs w:val="20"/>
                <w:lang w:val="en-US"/>
              </w:rPr>
              <w:t>73,55</w:t>
            </w:r>
            <w:r w:rsidRPr="00B41721">
              <w:rPr>
                <w:sz w:val="20"/>
                <w:szCs w:val="20"/>
              </w:rPr>
              <w:t>)</w:t>
            </w:r>
          </w:p>
        </w:tc>
      </w:tr>
      <w:tr w:rsidR="000040F4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A+C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104 (45+59)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274,94 (</w:t>
            </w:r>
            <w:r w:rsidRPr="00B41721">
              <w:rPr>
                <w:sz w:val="20"/>
                <w:szCs w:val="20"/>
                <w:lang w:val="en-US"/>
              </w:rPr>
              <w:t>136,71</w:t>
            </w:r>
            <w:r w:rsidRPr="00B41721">
              <w:rPr>
                <w:sz w:val="20"/>
                <w:szCs w:val="20"/>
              </w:rPr>
              <w:t>+138,23)</w:t>
            </w:r>
          </w:p>
        </w:tc>
      </w:tr>
      <w:tr w:rsidR="000040F4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A+D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77 (45+32)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203,76 (</w:t>
            </w:r>
            <w:r w:rsidRPr="00B41721">
              <w:rPr>
                <w:sz w:val="20"/>
                <w:szCs w:val="20"/>
                <w:lang w:val="en-US"/>
              </w:rPr>
              <w:t>136,71</w:t>
            </w:r>
            <w:r w:rsidRPr="00B41721">
              <w:rPr>
                <w:sz w:val="20"/>
                <w:szCs w:val="20"/>
              </w:rPr>
              <w:t>+</w:t>
            </w:r>
            <w:r w:rsidRPr="00B41721">
              <w:rPr>
                <w:sz w:val="20"/>
                <w:szCs w:val="20"/>
                <w:lang w:val="en-US"/>
              </w:rPr>
              <w:t>67,05</w:t>
            </w:r>
            <w:r w:rsidRPr="00B41721">
              <w:rPr>
                <w:sz w:val="20"/>
                <w:szCs w:val="20"/>
              </w:rPr>
              <w:t>)</w:t>
            </w:r>
          </w:p>
        </w:tc>
      </w:tr>
      <w:tr w:rsidR="000040F4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B+D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90 (58+32)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140,6 (</w:t>
            </w:r>
            <w:r w:rsidRPr="00B41721">
              <w:rPr>
                <w:sz w:val="20"/>
                <w:szCs w:val="20"/>
                <w:lang w:val="en-US"/>
              </w:rPr>
              <w:t>73,55</w:t>
            </w:r>
            <w:r w:rsidRPr="00B41721">
              <w:rPr>
                <w:sz w:val="20"/>
                <w:szCs w:val="20"/>
              </w:rPr>
              <w:t>+</w:t>
            </w:r>
            <w:r w:rsidRPr="00B41721">
              <w:rPr>
                <w:sz w:val="20"/>
                <w:szCs w:val="20"/>
                <w:lang w:val="en-US"/>
              </w:rPr>
              <w:t>67,05</w:t>
            </w:r>
            <w:r w:rsidRPr="00B41721">
              <w:rPr>
                <w:sz w:val="20"/>
                <w:szCs w:val="20"/>
              </w:rPr>
              <w:t>)</w:t>
            </w:r>
          </w:p>
        </w:tc>
      </w:tr>
      <w:tr w:rsidR="000040F4" w:rsidRPr="00B41721" w:rsidTr="00B17E19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C+D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91 (59+32)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40F4" w:rsidRPr="00B41721" w:rsidRDefault="000040F4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205,28 (138,23+</w:t>
            </w:r>
            <w:r w:rsidRPr="00B41721">
              <w:rPr>
                <w:sz w:val="20"/>
                <w:szCs w:val="20"/>
                <w:lang w:val="en-US"/>
              </w:rPr>
              <w:t>67,05</w:t>
            </w:r>
            <w:r w:rsidRPr="00B41721">
              <w:rPr>
                <w:sz w:val="20"/>
                <w:szCs w:val="20"/>
              </w:rPr>
              <w:t>)</w:t>
            </w:r>
          </w:p>
        </w:tc>
      </w:tr>
    </w:tbl>
    <w:p w:rsidR="00840EAC" w:rsidRPr="00B41721" w:rsidRDefault="00840EAC" w:rsidP="00B17E19">
      <w:pPr>
        <w:spacing w:line="360" w:lineRule="auto"/>
        <w:ind w:firstLine="709"/>
        <w:rPr>
          <w:sz w:val="28"/>
          <w:szCs w:val="28"/>
        </w:rPr>
      </w:pPr>
    </w:p>
    <w:p w:rsidR="00BD7090" w:rsidRPr="00B41721" w:rsidRDefault="00BD7090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Таким образом, оптимальным является инвестиционный портфель, включающий проекты А и С.</w:t>
      </w:r>
    </w:p>
    <w:p w:rsidR="00BD7090" w:rsidRPr="00B41721" w:rsidRDefault="00BD7090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в) проекты А и С являются взаимоисключающими.</w:t>
      </w:r>
    </w:p>
    <w:p w:rsidR="002B2CC1" w:rsidRPr="00B41721" w:rsidRDefault="00744AEF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С учетом изложенных ограничений, возможны следующие сочетания проектов в портфеле: </w:t>
      </w:r>
      <w:r w:rsidRPr="00B41721">
        <w:rPr>
          <w:sz w:val="28"/>
          <w:szCs w:val="28"/>
          <w:lang w:val="en-US"/>
        </w:rPr>
        <w:t>A</w:t>
      </w:r>
      <w:r w:rsidRPr="00B41721">
        <w:rPr>
          <w:sz w:val="28"/>
          <w:szCs w:val="28"/>
        </w:rPr>
        <w:t>+</w:t>
      </w:r>
      <w:r w:rsidRPr="00B41721">
        <w:rPr>
          <w:sz w:val="28"/>
          <w:szCs w:val="28"/>
          <w:lang w:val="en-US"/>
        </w:rPr>
        <w:t>B</w:t>
      </w:r>
      <w:r w:rsidRPr="00B41721">
        <w:rPr>
          <w:sz w:val="28"/>
          <w:szCs w:val="28"/>
        </w:rPr>
        <w:t xml:space="preserve">; </w:t>
      </w:r>
      <w:r w:rsidRPr="00B41721">
        <w:rPr>
          <w:sz w:val="28"/>
          <w:szCs w:val="28"/>
          <w:lang w:val="en-US"/>
        </w:rPr>
        <w:t>A</w:t>
      </w:r>
      <w:r w:rsidRPr="00B41721">
        <w:rPr>
          <w:sz w:val="28"/>
          <w:szCs w:val="28"/>
        </w:rPr>
        <w:t>+</w:t>
      </w:r>
      <w:r w:rsidRPr="00B41721">
        <w:rPr>
          <w:sz w:val="28"/>
          <w:szCs w:val="28"/>
          <w:lang w:val="en-US"/>
        </w:rPr>
        <w:t>D</w:t>
      </w:r>
      <w:r w:rsidRPr="00B41721">
        <w:rPr>
          <w:sz w:val="28"/>
          <w:szCs w:val="28"/>
        </w:rPr>
        <w:t xml:space="preserve">; </w:t>
      </w:r>
      <w:r w:rsidRPr="00B41721">
        <w:rPr>
          <w:sz w:val="28"/>
          <w:szCs w:val="28"/>
          <w:lang w:val="en-US"/>
        </w:rPr>
        <w:t>B</w:t>
      </w:r>
      <w:r w:rsidRPr="00B41721">
        <w:rPr>
          <w:sz w:val="28"/>
          <w:szCs w:val="28"/>
        </w:rPr>
        <w:t>+</w:t>
      </w:r>
      <w:r w:rsidRPr="00B41721">
        <w:rPr>
          <w:sz w:val="28"/>
          <w:szCs w:val="28"/>
          <w:lang w:val="en-US"/>
        </w:rPr>
        <w:t>D</w:t>
      </w:r>
      <w:r w:rsidRPr="00B41721">
        <w:rPr>
          <w:sz w:val="28"/>
          <w:szCs w:val="28"/>
        </w:rPr>
        <w:t xml:space="preserve">; </w:t>
      </w:r>
      <w:r w:rsidRPr="00B41721">
        <w:rPr>
          <w:sz w:val="28"/>
          <w:szCs w:val="28"/>
          <w:lang w:val="en-US"/>
        </w:rPr>
        <w:t>C</w:t>
      </w:r>
      <w:r w:rsidRPr="00B41721">
        <w:rPr>
          <w:sz w:val="28"/>
          <w:szCs w:val="28"/>
        </w:rPr>
        <w:t>+</w:t>
      </w:r>
      <w:r w:rsidRPr="00B41721">
        <w:rPr>
          <w:sz w:val="28"/>
          <w:szCs w:val="28"/>
          <w:lang w:val="en-US"/>
        </w:rPr>
        <w:t>D</w:t>
      </w:r>
      <w:r w:rsidRPr="00B41721">
        <w:rPr>
          <w:sz w:val="28"/>
          <w:szCs w:val="28"/>
        </w:rPr>
        <w:t xml:space="preserve">. Суммарный </w:t>
      </w:r>
      <w:r w:rsidRPr="00B41721">
        <w:rPr>
          <w:sz w:val="28"/>
          <w:szCs w:val="28"/>
          <w:lang w:val="en-US"/>
        </w:rPr>
        <w:t>NPV</w:t>
      </w:r>
      <w:r w:rsidRPr="00B41721">
        <w:rPr>
          <w:sz w:val="28"/>
          <w:szCs w:val="28"/>
        </w:rPr>
        <w:t xml:space="preserve"> для каждого варианта представлен в таблице 5. В данном случае оптимальным является вариант </w:t>
      </w:r>
      <w:r w:rsidRPr="00B41721">
        <w:rPr>
          <w:sz w:val="28"/>
          <w:szCs w:val="28"/>
          <w:lang w:val="en-US"/>
        </w:rPr>
        <w:t>A</w:t>
      </w:r>
      <w:r w:rsidRPr="00B41721">
        <w:rPr>
          <w:sz w:val="28"/>
          <w:szCs w:val="28"/>
        </w:rPr>
        <w:t xml:space="preserve"> и </w:t>
      </w:r>
      <w:r w:rsidRPr="00B41721">
        <w:rPr>
          <w:sz w:val="28"/>
          <w:szCs w:val="28"/>
          <w:lang w:val="en-US"/>
        </w:rPr>
        <w:t>B</w:t>
      </w:r>
      <w:r w:rsidRPr="00B41721">
        <w:rPr>
          <w:sz w:val="28"/>
          <w:szCs w:val="28"/>
        </w:rPr>
        <w:t>.</w:t>
      </w:r>
    </w:p>
    <w:p w:rsidR="00EB3DF0" w:rsidRPr="00B41721" w:rsidRDefault="00EB3DF0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При временной оптимизации необходимо рассчитать потери в </w:t>
      </w:r>
      <w:r w:rsidRPr="00B41721">
        <w:rPr>
          <w:sz w:val="28"/>
          <w:szCs w:val="28"/>
          <w:lang w:val="en-US"/>
        </w:rPr>
        <w:t>NPV</w:t>
      </w:r>
      <w:r w:rsidRPr="00B41721">
        <w:rPr>
          <w:sz w:val="28"/>
          <w:szCs w:val="28"/>
        </w:rPr>
        <w:t>, если каждый из анализируемых проектов будет отсрочен к исполнению на год (таблица 6).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EB3DF0" w:rsidRPr="00B41721" w:rsidRDefault="00EB3DF0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6</w:t>
      </w:r>
    </w:p>
    <w:p w:rsidR="00EB3DF0" w:rsidRPr="00B41721" w:rsidRDefault="00EB3DF0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Расчет потерь </w:t>
      </w:r>
      <w:r w:rsidRPr="00B41721">
        <w:rPr>
          <w:sz w:val="28"/>
          <w:szCs w:val="28"/>
          <w:lang w:val="en-US"/>
        </w:rPr>
        <w:t>NPV</w:t>
      </w:r>
      <w:r w:rsidRPr="00B41721">
        <w:rPr>
          <w:sz w:val="28"/>
          <w:szCs w:val="28"/>
        </w:rPr>
        <w:t xml:space="preserve"> в случае отсрочки проекта на год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4"/>
        <w:gridCol w:w="767"/>
        <w:gridCol w:w="1769"/>
        <w:gridCol w:w="767"/>
        <w:gridCol w:w="830"/>
        <w:gridCol w:w="3404"/>
        <w:gridCol w:w="1199"/>
      </w:tblGrid>
      <w:tr w:rsidR="00EB3DF0" w:rsidRPr="00B41721" w:rsidTr="00E41ACD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Проект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 xml:space="preserve">NPV </w:t>
            </w:r>
            <w:r w:rsidRPr="00B41721">
              <w:rPr>
                <w:sz w:val="20"/>
                <w:szCs w:val="20"/>
              </w:rPr>
              <w:t>в году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 xml:space="preserve">Дисконтирующий множитель при </w:t>
            </w:r>
            <w:r w:rsidRPr="00B41721">
              <w:rPr>
                <w:sz w:val="20"/>
                <w:szCs w:val="20"/>
                <w:lang w:val="en-US"/>
              </w:rPr>
              <w:t>r</w:t>
            </w:r>
            <w:r w:rsidRPr="00B41721">
              <w:rPr>
                <w:sz w:val="20"/>
                <w:szCs w:val="20"/>
              </w:rPr>
              <w:t>=14%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 xml:space="preserve">NPV </w:t>
            </w:r>
            <w:r w:rsidRPr="00B41721">
              <w:rPr>
                <w:sz w:val="20"/>
                <w:szCs w:val="20"/>
              </w:rPr>
              <w:t>в году 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 xml:space="preserve">Потеря в </w:t>
            </w:r>
            <w:r w:rsidRPr="00B41721">
              <w:rPr>
                <w:sz w:val="20"/>
                <w:szCs w:val="20"/>
                <w:lang w:val="en-US"/>
              </w:rPr>
              <w:t>NPV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Величина отложенной на год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F0" w:rsidRPr="00B41721" w:rsidRDefault="00EB3DF0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Индекс возможных потерь</w:t>
            </w:r>
          </w:p>
        </w:tc>
      </w:tr>
      <w:tr w:rsidR="00E80593" w:rsidRPr="00B41721" w:rsidTr="00E41AC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B41721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136,71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0,8772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119,92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16,79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0,3731</w:t>
            </w:r>
          </w:p>
        </w:tc>
      </w:tr>
      <w:tr w:rsidR="00E80593" w:rsidRPr="00B41721" w:rsidTr="00E41AC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B41721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73,55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0,8772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64,52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9,03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0,1557</w:t>
            </w:r>
          </w:p>
        </w:tc>
      </w:tr>
      <w:tr w:rsidR="00E80593" w:rsidRPr="00B41721" w:rsidTr="00E41AC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B41721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138,23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0,8772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121,26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16,97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0,2876</w:t>
            </w:r>
          </w:p>
        </w:tc>
      </w:tr>
      <w:tr w:rsidR="00E80593" w:rsidRPr="00B41721" w:rsidTr="00E41ACD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B41721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67,05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0,8772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58,82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8,23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593" w:rsidRPr="00B41721" w:rsidRDefault="00E80593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0,2572</w:t>
            </w:r>
          </w:p>
        </w:tc>
      </w:tr>
    </w:tbl>
    <w:p w:rsidR="00EB3DF0" w:rsidRPr="00B41721" w:rsidRDefault="00EB3DF0" w:rsidP="00B17E19">
      <w:pPr>
        <w:spacing w:line="360" w:lineRule="auto"/>
        <w:ind w:firstLine="709"/>
        <w:rPr>
          <w:sz w:val="28"/>
          <w:szCs w:val="28"/>
        </w:rPr>
      </w:pPr>
    </w:p>
    <w:p w:rsidR="00E80593" w:rsidRPr="00B41721" w:rsidRDefault="004D36DF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Следовательно, наименьшие потери будут в том случае, если отложен к исполнению проект </w:t>
      </w:r>
      <w:r w:rsidRPr="00B41721">
        <w:rPr>
          <w:sz w:val="28"/>
          <w:szCs w:val="28"/>
          <w:lang w:val="en-US"/>
        </w:rPr>
        <w:t>B</w:t>
      </w:r>
      <w:r w:rsidRPr="00B41721">
        <w:rPr>
          <w:sz w:val="28"/>
          <w:szCs w:val="28"/>
        </w:rPr>
        <w:t xml:space="preserve">, затем </w:t>
      </w:r>
      <w:r w:rsidRPr="00B41721">
        <w:rPr>
          <w:sz w:val="28"/>
          <w:szCs w:val="28"/>
          <w:lang w:val="en-US"/>
        </w:rPr>
        <w:t>D</w:t>
      </w:r>
      <w:r w:rsidRPr="00B41721">
        <w:rPr>
          <w:sz w:val="28"/>
          <w:szCs w:val="28"/>
        </w:rPr>
        <w:t xml:space="preserve">, </w:t>
      </w:r>
      <w:r w:rsidRPr="00B41721">
        <w:rPr>
          <w:sz w:val="28"/>
          <w:szCs w:val="28"/>
          <w:lang w:val="en-US"/>
        </w:rPr>
        <w:t>C</w:t>
      </w:r>
      <w:r w:rsidRPr="00B41721">
        <w:rPr>
          <w:sz w:val="28"/>
          <w:szCs w:val="28"/>
        </w:rPr>
        <w:t xml:space="preserve"> и </w:t>
      </w:r>
      <w:r w:rsidRPr="00B41721">
        <w:rPr>
          <w:sz w:val="28"/>
          <w:szCs w:val="28"/>
          <w:lang w:val="en-US"/>
        </w:rPr>
        <w:t>A</w:t>
      </w:r>
      <w:r w:rsidRPr="00B41721">
        <w:rPr>
          <w:sz w:val="28"/>
          <w:szCs w:val="28"/>
        </w:rPr>
        <w:t>.</w:t>
      </w:r>
    </w:p>
    <w:p w:rsidR="004D36DF" w:rsidRPr="00B41721" w:rsidRDefault="004D36DF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 xml:space="preserve">Таким образом, инвестиционный портфель первого года должен включить проекты </w:t>
      </w:r>
      <w:r w:rsidR="004B2835" w:rsidRPr="00B41721">
        <w:rPr>
          <w:sz w:val="28"/>
          <w:szCs w:val="28"/>
        </w:rPr>
        <w:t xml:space="preserve">А и С полностью, а также часть проекта </w:t>
      </w:r>
      <w:r w:rsidR="004B2835" w:rsidRPr="00B41721">
        <w:rPr>
          <w:sz w:val="28"/>
          <w:szCs w:val="28"/>
          <w:lang w:val="en-US"/>
        </w:rPr>
        <w:t>D</w:t>
      </w:r>
      <w:r w:rsidR="004B2835" w:rsidRPr="00B41721">
        <w:rPr>
          <w:sz w:val="28"/>
          <w:szCs w:val="28"/>
        </w:rPr>
        <w:t xml:space="preserve">. Оставшаяся часть проекта </w:t>
      </w:r>
      <w:r w:rsidR="004B2835" w:rsidRPr="00B41721">
        <w:rPr>
          <w:sz w:val="28"/>
          <w:szCs w:val="28"/>
          <w:lang w:val="en-US"/>
        </w:rPr>
        <w:t>D</w:t>
      </w:r>
      <w:r w:rsidR="00B17E19" w:rsidRPr="00B41721">
        <w:rPr>
          <w:sz w:val="28"/>
          <w:szCs w:val="28"/>
        </w:rPr>
        <w:t xml:space="preserve"> </w:t>
      </w:r>
      <w:r w:rsidR="004B2835" w:rsidRPr="00B41721">
        <w:rPr>
          <w:sz w:val="28"/>
          <w:szCs w:val="28"/>
        </w:rPr>
        <w:t>и проект В следует включить в портфель второго года (таблица 7).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4B2835" w:rsidRPr="00B41721" w:rsidRDefault="004B283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Таблица 7</w:t>
      </w:r>
    </w:p>
    <w:p w:rsidR="004B2835" w:rsidRPr="00B41721" w:rsidRDefault="004B2835" w:rsidP="00B17E19">
      <w:pPr>
        <w:spacing w:line="360" w:lineRule="auto"/>
        <w:ind w:firstLine="709"/>
        <w:rPr>
          <w:sz w:val="28"/>
          <w:szCs w:val="28"/>
        </w:rPr>
      </w:pPr>
      <w:r w:rsidRPr="00B41721">
        <w:rPr>
          <w:sz w:val="28"/>
          <w:szCs w:val="28"/>
        </w:rPr>
        <w:t>Инвестиционная стратегия временной оптимизации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5"/>
        <w:gridCol w:w="1255"/>
        <w:gridCol w:w="4145"/>
        <w:gridCol w:w="766"/>
      </w:tblGrid>
      <w:tr w:rsidR="00005687" w:rsidRPr="00B41721" w:rsidTr="00B17E19">
        <w:trPr>
          <w:trHeight w:val="315"/>
        </w:trPr>
        <w:tc>
          <w:tcPr>
            <w:tcW w:w="0" w:type="auto"/>
            <w:noWrap/>
            <w:vAlign w:val="center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Проект</w:t>
            </w:r>
          </w:p>
        </w:tc>
        <w:tc>
          <w:tcPr>
            <w:tcW w:w="0" w:type="auto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Инвестиции</w:t>
            </w:r>
          </w:p>
        </w:tc>
        <w:tc>
          <w:tcPr>
            <w:tcW w:w="0" w:type="auto"/>
            <w:noWrap/>
            <w:vAlign w:val="center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Часть инвестиций, включаемая в портфель, %</w:t>
            </w:r>
          </w:p>
        </w:tc>
        <w:tc>
          <w:tcPr>
            <w:tcW w:w="0" w:type="auto"/>
            <w:vAlign w:val="center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NPV</w:t>
            </w:r>
          </w:p>
        </w:tc>
      </w:tr>
      <w:tr w:rsidR="00005687" w:rsidRPr="00B41721" w:rsidTr="00B17E19">
        <w:trPr>
          <w:trHeight w:val="965"/>
        </w:trPr>
        <w:tc>
          <w:tcPr>
            <w:tcW w:w="0" w:type="auto"/>
            <w:noWrap/>
            <w:vAlign w:val="center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а) инвестиции в году 0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A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C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D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Всего: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б) инвестиции в году 1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  <w:lang w:val="en-US"/>
              </w:rPr>
            </w:pPr>
            <w:r w:rsidRPr="00B41721">
              <w:rPr>
                <w:sz w:val="20"/>
                <w:szCs w:val="20"/>
                <w:lang w:val="en-US"/>
              </w:rPr>
              <w:t>D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  <w:lang w:val="en-US"/>
              </w:rPr>
              <w:t>B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Всего:</w:t>
            </w:r>
          </w:p>
        </w:tc>
        <w:tc>
          <w:tcPr>
            <w:tcW w:w="0" w:type="auto"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45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59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106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30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noWrap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6,25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93,75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100,0</w:t>
            </w:r>
          </w:p>
        </w:tc>
        <w:tc>
          <w:tcPr>
            <w:tcW w:w="0" w:type="auto"/>
            <w:noWrap/>
          </w:tcPr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136,71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138,23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4,19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279,13</w:t>
            </w:r>
          </w:p>
          <w:p w:rsidR="00005687" w:rsidRPr="00B41721" w:rsidRDefault="00005687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</w:p>
          <w:p w:rsidR="00005687" w:rsidRPr="00B41721" w:rsidRDefault="00524E56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55,14</w:t>
            </w:r>
          </w:p>
          <w:p w:rsidR="00524E56" w:rsidRPr="00B41721" w:rsidRDefault="00524E56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64,52</w:t>
            </w:r>
          </w:p>
          <w:p w:rsidR="00524E56" w:rsidRPr="00B41721" w:rsidRDefault="00524E56" w:rsidP="00B17E19">
            <w:pPr>
              <w:spacing w:line="360" w:lineRule="auto"/>
              <w:ind w:firstLine="0"/>
              <w:rPr>
                <w:sz w:val="20"/>
                <w:szCs w:val="20"/>
              </w:rPr>
            </w:pPr>
            <w:r w:rsidRPr="00B41721">
              <w:rPr>
                <w:sz w:val="20"/>
                <w:szCs w:val="20"/>
              </w:rPr>
              <w:t>119,66</w:t>
            </w:r>
          </w:p>
        </w:tc>
      </w:tr>
    </w:tbl>
    <w:p w:rsidR="00005687" w:rsidRPr="00B41721" w:rsidRDefault="00BB0D09" w:rsidP="00B17E1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D3636" w:rsidRPr="00B41721">
        <w:rPr>
          <w:sz w:val="28"/>
          <w:szCs w:val="28"/>
        </w:rPr>
        <w:t xml:space="preserve">Суммарный </w:t>
      </w:r>
      <w:r w:rsidR="004D3636" w:rsidRPr="00B41721">
        <w:rPr>
          <w:sz w:val="28"/>
          <w:szCs w:val="28"/>
          <w:lang w:val="en-US"/>
        </w:rPr>
        <w:t>NPV</w:t>
      </w:r>
      <w:r w:rsidR="004D3636" w:rsidRPr="00B41721">
        <w:rPr>
          <w:sz w:val="28"/>
          <w:szCs w:val="28"/>
        </w:rPr>
        <w:t xml:space="preserve"> при таком формировании портфеля за два года составит 398,79 млн. руб. (279,13 + 119,66), а общие потери составят 16,75 млн. руб. (415,54 – 398,79) и будут минимальны по сравнению с другими вариантами формирования портфелей.</w:t>
      </w:r>
    </w:p>
    <w:p w:rsidR="00B17E19" w:rsidRPr="00B41721" w:rsidRDefault="000338BF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sz w:val="28"/>
          <w:szCs w:val="28"/>
        </w:rPr>
        <w:br w:type="page"/>
      </w:r>
      <w:r w:rsidR="00B17E19" w:rsidRPr="00B41721">
        <w:rPr>
          <w:b/>
          <w:sz w:val="28"/>
          <w:szCs w:val="28"/>
        </w:rPr>
        <w:t>ЗАКЛЮЧЕНИЕ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B17E19" w:rsidRPr="00B41721" w:rsidRDefault="00B17E19" w:rsidP="00B17E19">
      <w:pPr>
        <w:spacing w:line="360" w:lineRule="auto"/>
        <w:ind w:firstLine="709"/>
        <w:rPr>
          <w:color w:val="000000"/>
          <w:sz w:val="28"/>
          <w:szCs w:val="28"/>
        </w:rPr>
      </w:pPr>
      <w:r w:rsidRPr="00B41721">
        <w:rPr>
          <w:color w:val="000000"/>
          <w:sz w:val="28"/>
          <w:szCs w:val="28"/>
        </w:rPr>
        <w:t>Цель инвестирования в финансовые активы зависит от предпочтений каждого вкладчика.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bCs/>
          <w:sz w:val="28"/>
          <w:szCs w:val="28"/>
        </w:rPr>
        <w:t xml:space="preserve">Под инвестиционной привлекательностью </w:t>
      </w:r>
      <w:r w:rsidRPr="00B41721">
        <w:rPr>
          <w:sz w:val="28"/>
          <w:szCs w:val="28"/>
        </w:rPr>
        <w:t>понимается наличие экономического эффекта (дохода) от вложения денег в ценные бумаги (акции) при минимальном уровне риска. Методика основана на использовании детерминированного факторного анализа и предполагает расчет результативных показателей (коэффициентов), их группировку по экономическому содержанию, обоснование полученных значений и оценку текущего финансового состояния акционерного общества и перспектив его развития.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Итогом анализа является заключение о степени инвестиционной привлекательности акционерной компании.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Фондовый рынок потенциально остается важным механизмом привлечения денежных ресурсов в экономику страны, так как у государства и коммерческих банков отсутствуют достаточные средства для вложения их в отрасли хозяйства. Однако любые инвестиционные решения хозяйствующих субъектов связаны с определенным риском. Ожидание потерь, соизмерение их вероятности с предполагаемой выгодой (доходами) составляют основу инвестиционных решений акционерного общества.</w:t>
      </w:r>
    </w:p>
    <w:p w:rsidR="00B17E19" w:rsidRPr="00B41721" w:rsidRDefault="00B17E19" w:rsidP="00B17E19">
      <w:pPr>
        <w:pStyle w:val="31"/>
        <w:spacing w:after="0" w:line="360" w:lineRule="auto"/>
        <w:ind w:left="0" w:firstLine="709"/>
        <w:rPr>
          <w:sz w:val="28"/>
          <w:szCs w:val="28"/>
        </w:rPr>
      </w:pPr>
      <w:r w:rsidRPr="00B41721">
        <w:rPr>
          <w:sz w:val="28"/>
          <w:szCs w:val="28"/>
        </w:rPr>
        <w:t>Практика фондового рынка выработала следующее условие — чем больше предполагаемый доход, тем выше риск, связанный с приобретением тех или иных фондовых инструментов. Риски в инвестиционной деятельности выражаются в снижении доходности реальных или портфельных инвестиций против ожидаемых величин, сопровождаются прямыми финансовыми потерями или упущенной выгодой, возникающей при осуществлении финансовых операций в связи с высокой степенью неопределенности их результатов.</w:t>
      </w:r>
    </w:p>
    <w:p w:rsidR="00B17E19" w:rsidRPr="00B41721" w:rsidRDefault="00B17E19" w:rsidP="00B17E19">
      <w:pPr>
        <w:spacing w:line="360" w:lineRule="auto"/>
        <w:ind w:firstLine="709"/>
        <w:rPr>
          <w:sz w:val="28"/>
          <w:szCs w:val="28"/>
        </w:rPr>
      </w:pPr>
    </w:p>
    <w:p w:rsidR="004D3636" w:rsidRPr="00B41721" w:rsidRDefault="00B17E19" w:rsidP="00B17E1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41721">
        <w:rPr>
          <w:sz w:val="28"/>
          <w:szCs w:val="28"/>
        </w:rPr>
        <w:br w:type="page"/>
      </w:r>
      <w:r w:rsidR="000338BF" w:rsidRPr="00B41721">
        <w:rPr>
          <w:b/>
          <w:sz w:val="28"/>
          <w:szCs w:val="28"/>
        </w:rPr>
        <w:t>СПИСОК ИСПОЛЬЗОВАННОЙ ЛИТЕРАТУРЫ</w:t>
      </w:r>
    </w:p>
    <w:p w:rsidR="000338BF" w:rsidRPr="00B41721" w:rsidRDefault="000338BF" w:rsidP="00B17E19">
      <w:pPr>
        <w:spacing w:line="360" w:lineRule="auto"/>
        <w:ind w:firstLine="709"/>
        <w:rPr>
          <w:sz w:val="28"/>
          <w:szCs w:val="28"/>
        </w:rPr>
      </w:pP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Алехин Б.И. Рынок ценных бумаг.</w:t>
      </w:r>
      <w:r w:rsidR="00B17E19" w:rsidRPr="00B41721">
        <w:rPr>
          <w:sz w:val="28"/>
          <w:szCs w:val="28"/>
        </w:rPr>
        <w:t xml:space="preserve"> </w:t>
      </w:r>
      <w:r w:rsidRPr="00B41721">
        <w:rPr>
          <w:sz w:val="28"/>
          <w:szCs w:val="28"/>
        </w:rPr>
        <w:t>-М: ЮНИТИ-ДАНА, 2004. – 461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Боровкова В.А. Рынок ценных бумаг. - СПб: Питер, 2005. – 320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bCs/>
          <w:color w:val="000000"/>
          <w:sz w:val="28"/>
          <w:szCs w:val="28"/>
        </w:rPr>
        <w:t>Бочаров В. В.</w:t>
      </w:r>
      <w:r w:rsidRPr="00B41721">
        <w:rPr>
          <w:sz w:val="28"/>
          <w:szCs w:val="28"/>
        </w:rPr>
        <w:t xml:space="preserve"> </w:t>
      </w:r>
      <w:r w:rsidRPr="00B41721">
        <w:rPr>
          <w:color w:val="000000"/>
          <w:sz w:val="28"/>
          <w:szCs w:val="28"/>
        </w:rPr>
        <w:t>Инвестиционный менеджмент. - СПб: Питер, 2000. - 160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Большой экономический словарь / Под ред. А. Н. Азрилияна. – М.: Институт новой экономики, 1999. – 1248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Вахрин П. И. Инвестиции. – М.: Издательско-торговая корпорация «Дашков и К</w:t>
      </w:r>
      <w:r w:rsidRPr="00B41721">
        <w:rPr>
          <w:sz w:val="28"/>
          <w:szCs w:val="28"/>
          <w:vertAlign w:val="superscript"/>
        </w:rPr>
        <w:t>о</w:t>
      </w:r>
      <w:r w:rsidRPr="00B41721">
        <w:rPr>
          <w:sz w:val="28"/>
          <w:szCs w:val="28"/>
        </w:rPr>
        <w:t>», 2002. – 384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Игошин Н. В. Инвестиции: организация управления и финансирование. – М.: Финансы, ЮНИТИ, 2002. – 413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Пеньевская И. С. Планирование инвестиций. - Магадан: Изд.МПУ, 1997. –119 с.</w:t>
      </w:r>
    </w:p>
    <w:p w:rsidR="008D370F" w:rsidRPr="00B41721" w:rsidRDefault="008D370F" w:rsidP="00B17E19">
      <w:pPr>
        <w:numPr>
          <w:ilvl w:val="0"/>
          <w:numId w:val="14"/>
        </w:numPr>
        <w:tabs>
          <w:tab w:val="clear" w:pos="720"/>
          <w:tab w:val="num" w:pos="180"/>
          <w:tab w:val="left" w:pos="360"/>
          <w:tab w:val="left" w:pos="1080"/>
        </w:tabs>
        <w:spacing w:line="360" w:lineRule="auto"/>
        <w:ind w:left="0" w:firstLine="0"/>
        <w:jc w:val="left"/>
        <w:rPr>
          <w:color w:val="000000"/>
          <w:sz w:val="28"/>
          <w:szCs w:val="28"/>
        </w:rPr>
      </w:pPr>
      <w:r w:rsidRPr="00B41721">
        <w:rPr>
          <w:sz w:val="28"/>
          <w:szCs w:val="28"/>
        </w:rPr>
        <w:t>Финансовый менеджмент / Под ред. А. М. Ковалевой. – М,: ИНФРА-М, 2002. – 284 с.</w:t>
      </w:r>
      <w:bookmarkStart w:id="0" w:name="_GoBack"/>
      <w:bookmarkEnd w:id="0"/>
    </w:p>
    <w:sectPr w:rsidR="008D370F" w:rsidRPr="00B41721" w:rsidSect="00E41ACD">
      <w:headerReference w:type="even" r:id="rId13"/>
      <w:pgSz w:w="11906" w:h="16838" w:code="9"/>
      <w:pgMar w:top="1134" w:right="851" w:bottom="1134" w:left="1701" w:header="567" w:footer="567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FEA" w:rsidRDefault="00AD0FEA">
      <w:r>
        <w:separator/>
      </w:r>
    </w:p>
  </w:endnote>
  <w:endnote w:type="continuationSeparator" w:id="0">
    <w:p w:rsidR="00AD0FEA" w:rsidRDefault="00AD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FEA" w:rsidRDefault="00AD0FEA">
      <w:r>
        <w:separator/>
      </w:r>
    </w:p>
  </w:footnote>
  <w:footnote w:type="continuationSeparator" w:id="0">
    <w:p w:rsidR="00AD0FEA" w:rsidRDefault="00AD0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300" w:rsidRDefault="004A3BB4" w:rsidP="00FA5F88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19</w:t>
    </w:r>
  </w:p>
  <w:p w:rsidR="00CC2300" w:rsidRDefault="00CC2300" w:rsidP="00CC23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60C7"/>
    <w:multiLevelType w:val="singleLevel"/>
    <w:tmpl w:val="DF267710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3CF7EB3"/>
    <w:multiLevelType w:val="singleLevel"/>
    <w:tmpl w:val="6C1E1E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248A0489"/>
    <w:multiLevelType w:val="singleLevel"/>
    <w:tmpl w:val="ED6CCB02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2A814BA3"/>
    <w:multiLevelType w:val="singleLevel"/>
    <w:tmpl w:val="6C1E1E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B8C56E5"/>
    <w:multiLevelType w:val="singleLevel"/>
    <w:tmpl w:val="C08EADD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431E0CA2"/>
    <w:multiLevelType w:val="singleLevel"/>
    <w:tmpl w:val="C5D64C3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49C24D40"/>
    <w:multiLevelType w:val="singleLevel"/>
    <w:tmpl w:val="6C1E1E42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598F1DD8"/>
    <w:multiLevelType w:val="singleLevel"/>
    <w:tmpl w:val="6D105D9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614B32BF"/>
    <w:multiLevelType w:val="hybridMultilevel"/>
    <w:tmpl w:val="F0904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5B3450E"/>
    <w:multiLevelType w:val="singleLevel"/>
    <w:tmpl w:val="DF26771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>
    <w:nsid w:val="6AB31859"/>
    <w:multiLevelType w:val="hybridMultilevel"/>
    <w:tmpl w:val="4A7E55B2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%1)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</w:num>
  <w:num w:numId="9">
    <w:abstractNumId w:val="0"/>
    <w:lvlOverride w:ilvl="0">
      <w:lvl w:ilvl="0">
        <w:start w:val="3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5"/>
  </w:num>
  <w:num w:numId="12">
    <w:abstractNumId w:val="5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  <w:lvlOverride w:ilvl="0">
      <w:lvl w:ilvl="0">
        <w:start w:val="5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A16"/>
    <w:rsid w:val="000040F4"/>
    <w:rsid w:val="00005687"/>
    <w:rsid w:val="000338BF"/>
    <w:rsid w:val="00040775"/>
    <w:rsid w:val="0009165F"/>
    <w:rsid w:val="000F4BC1"/>
    <w:rsid w:val="0018358E"/>
    <w:rsid w:val="001B2687"/>
    <w:rsid w:val="001B72AE"/>
    <w:rsid w:val="001D3BAB"/>
    <w:rsid w:val="00254822"/>
    <w:rsid w:val="002B2CC1"/>
    <w:rsid w:val="00310FB2"/>
    <w:rsid w:val="00323B70"/>
    <w:rsid w:val="00324FC8"/>
    <w:rsid w:val="003465D2"/>
    <w:rsid w:val="003A1632"/>
    <w:rsid w:val="003E4081"/>
    <w:rsid w:val="004A3BB4"/>
    <w:rsid w:val="004B2835"/>
    <w:rsid w:val="004D3636"/>
    <w:rsid w:val="004D36DF"/>
    <w:rsid w:val="004F0C45"/>
    <w:rsid w:val="00512A19"/>
    <w:rsid w:val="00524E56"/>
    <w:rsid w:val="00531059"/>
    <w:rsid w:val="00532B78"/>
    <w:rsid w:val="00553FC9"/>
    <w:rsid w:val="0055652A"/>
    <w:rsid w:val="00585E1D"/>
    <w:rsid w:val="005C700E"/>
    <w:rsid w:val="005F5119"/>
    <w:rsid w:val="005F7104"/>
    <w:rsid w:val="00606BBE"/>
    <w:rsid w:val="00621DF3"/>
    <w:rsid w:val="006C541B"/>
    <w:rsid w:val="00726255"/>
    <w:rsid w:val="00744AEF"/>
    <w:rsid w:val="00840EAC"/>
    <w:rsid w:val="00850900"/>
    <w:rsid w:val="008D370F"/>
    <w:rsid w:val="00954A16"/>
    <w:rsid w:val="009771F1"/>
    <w:rsid w:val="009A0F42"/>
    <w:rsid w:val="009E2DA2"/>
    <w:rsid w:val="009F7593"/>
    <w:rsid w:val="00A53A32"/>
    <w:rsid w:val="00AD0FEA"/>
    <w:rsid w:val="00AD21C0"/>
    <w:rsid w:val="00B17E19"/>
    <w:rsid w:val="00B41721"/>
    <w:rsid w:val="00B96695"/>
    <w:rsid w:val="00BB0D09"/>
    <w:rsid w:val="00BD7090"/>
    <w:rsid w:val="00C71C9B"/>
    <w:rsid w:val="00CA2577"/>
    <w:rsid w:val="00CB1227"/>
    <w:rsid w:val="00CC2300"/>
    <w:rsid w:val="00D33CD8"/>
    <w:rsid w:val="00D40B19"/>
    <w:rsid w:val="00D83AD2"/>
    <w:rsid w:val="00DF156B"/>
    <w:rsid w:val="00DF588A"/>
    <w:rsid w:val="00E41ACD"/>
    <w:rsid w:val="00E4550A"/>
    <w:rsid w:val="00E80593"/>
    <w:rsid w:val="00EB3DF0"/>
    <w:rsid w:val="00ED028C"/>
    <w:rsid w:val="00EE6225"/>
    <w:rsid w:val="00F21F05"/>
    <w:rsid w:val="00FA09BB"/>
    <w:rsid w:val="00FA426F"/>
    <w:rsid w:val="00FA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chartTrackingRefBased/>
  <w15:docId w15:val="{B233088F-1E81-46C8-8144-A8CCC472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93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7593"/>
    <w:pPr>
      <w:keepNext/>
      <w:spacing w:before="12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F7593"/>
    <w:pPr>
      <w:keepNext/>
      <w:spacing w:before="120" w:after="60"/>
      <w:ind w:firstLine="284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7593"/>
    <w:pPr>
      <w:keepNext/>
      <w:spacing w:before="120" w:after="60"/>
      <w:outlineLvl w:val="2"/>
    </w:pPr>
    <w:rPr>
      <w:rFonts w:cs="Arial"/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3">
    <w:name w:val="Чертежный"/>
    <w:rsid w:val="00531059"/>
    <w:pPr>
      <w:jc w:val="center"/>
    </w:pPr>
    <w:rPr>
      <w:rFonts w:ascii="ISOCPEUR" w:hAnsi="ISOCPEUR"/>
      <w:i/>
      <w:sz w:val="18"/>
      <w:lang w:val="uk-UA"/>
    </w:rPr>
  </w:style>
  <w:style w:type="paragraph" w:customStyle="1" w:styleId="a4">
    <w:name w:val="Нумерация"/>
    <w:basedOn w:val="a3"/>
    <w:rsid w:val="00531059"/>
    <w:pPr>
      <w:framePr w:hSpace="284" w:vSpace="113" w:wrap="around" w:hAnchor="margin" w:xAlign="right" w:yAlign="bottom"/>
      <w:suppressOverlap/>
    </w:pPr>
    <w:rPr>
      <w:b/>
      <w:sz w:val="24"/>
      <w:szCs w:val="18"/>
      <w:lang w:val="ru-RU"/>
    </w:rPr>
  </w:style>
  <w:style w:type="table" w:styleId="a5">
    <w:name w:val="Table Grid"/>
    <w:basedOn w:val="a1"/>
    <w:uiPriority w:val="59"/>
    <w:rsid w:val="00CA2577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23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CC2300"/>
    <w:rPr>
      <w:rFonts w:cs="Times New Roman"/>
    </w:rPr>
  </w:style>
  <w:style w:type="paragraph" w:styleId="a9">
    <w:name w:val="Body Text Indent"/>
    <w:basedOn w:val="a"/>
    <w:link w:val="aa"/>
    <w:uiPriority w:val="99"/>
    <w:rsid w:val="00310FB2"/>
    <w:pPr>
      <w:shd w:val="clear" w:color="auto" w:fill="FFFFFF"/>
      <w:spacing w:before="5" w:line="235" w:lineRule="exact"/>
      <w:ind w:left="10" w:firstLine="698"/>
    </w:pPr>
    <w:rPr>
      <w:color w:val="000000"/>
      <w:spacing w:val="-6"/>
      <w:szCs w:val="23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310F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4A3B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B17E1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B17E1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3642</Words>
  <Characters>20765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ЧАСТЬ</vt:lpstr>
    </vt:vector>
  </TitlesOfParts>
  <Company>Home</Company>
  <LinksUpToDate>false</LinksUpToDate>
  <CharactersWithSpaces>24359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ЧАСТЬ</dc:title>
  <dc:subject/>
  <dc:creator>Jane</dc:creator>
  <cp:keywords/>
  <dc:description/>
  <cp:lastModifiedBy>admin</cp:lastModifiedBy>
  <cp:revision>2</cp:revision>
  <cp:lastPrinted>2007-02-11T01:50:00Z</cp:lastPrinted>
  <dcterms:created xsi:type="dcterms:W3CDTF">2014-03-23T00:28:00Z</dcterms:created>
  <dcterms:modified xsi:type="dcterms:W3CDTF">2014-03-23T00:28:00Z</dcterms:modified>
</cp:coreProperties>
</file>