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3E" w:rsidRDefault="00232120">
      <w:pPr>
        <w:jc w:val="center"/>
        <w:rPr>
          <w:b/>
          <w:bCs/>
          <w:caps/>
          <w:sz w:val="26"/>
          <w:vertAlign w:val="subscript"/>
        </w:rPr>
      </w:pPr>
      <w:r>
        <w:rPr>
          <w:b/>
          <w:bCs/>
          <w:sz w:val="26"/>
          <w:lang w:val="uk-UA"/>
        </w:rPr>
        <w:t>Електропровідність та оптичне поглинання стекол системи ZnSe-Ga</w:t>
      </w:r>
      <w:r>
        <w:rPr>
          <w:b/>
          <w:bCs/>
          <w:sz w:val="26"/>
          <w:vertAlign w:val="subscript"/>
          <w:lang w:val="uk-UA"/>
        </w:rPr>
        <w:t>2</w:t>
      </w:r>
      <w:r>
        <w:rPr>
          <w:b/>
          <w:bCs/>
          <w:sz w:val="26"/>
          <w:lang w:val="uk-UA"/>
        </w:rPr>
        <w:t>Se</w:t>
      </w:r>
      <w:r>
        <w:rPr>
          <w:b/>
          <w:bCs/>
          <w:sz w:val="26"/>
          <w:vertAlign w:val="subscript"/>
          <w:lang w:val="uk-UA"/>
        </w:rPr>
        <w:t>3</w:t>
      </w:r>
      <w:r>
        <w:rPr>
          <w:b/>
          <w:bCs/>
          <w:sz w:val="26"/>
          <w:lang w:val="uk-UA"/>
        </w:rPr>
        <w:t>-SnSe</w:t>
      </w:r>
      <w:r>
        <w:rPr>
          <w:b/>
          <w:bCs/>
          <w:sz w:val="26"/>
          <w:vertAlign w:val="subscript"/>
          <w:lang w:val="uk-UA"/>
        </w:rPr>
        <w:t>2</w:t>
      </w:r>
    </w:p>
    <w:p w:rsidR="00B86E3E" w:rsidRDefault="00B86E3E">
      <w:pPr>
        <w:pStyle w:val="a3"/>
        <w:tabs>
          <w:tab w:val="clear" w:pos="4536"/>
          <w:tab w:val="clear" w:pos="9072"/>
        </w:tabs>
      </w:pPr>
    </w:p>
    <w:p w:rsidR="00B86E3E" w:rsidRDefault="00B86E3E">
      <w:pPr>
        <w:jc w:val="center"/>
        <w:rPr>
          <w:lang w:val="en-US"/>
        </w:rPr>
      </w:pPr>
    </w:p>
    <w:p w:rsidR="00B86E3E" w:rsidRDefault="00232120">
      <w:pPr>
        <w:tabs>
          <w:tab w:val="left" w:pos="-3828"/>
          <w:tab w:val="left" w:pos="-241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Вступ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80-90-і рр. ХХ ст. відрізняються інтенсивним розвитком експериментальних і теоретичних досліджень в області некристалічних матеріалів. Тепер можна стверджувати, що наступний виток розвитку мікроелектроніки відбудеться на базі аморфних напівпровідників.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Метою праці було дослідження спектрального розподілу коефіцієнта поглинання в області довжин хвиль 500-2500 нм і питомої електропровідності стекол систем ZnSe-Ga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-SnSe</w:t>
      </w:r>
      <w:r>
        <w:rPr>
          <w:vertAlign w:val="subscript"/>
          <w:lang w:val="uk-UA"/>
        </w:rPr>
        <w:t>2</w:t>
      </w:r>
      <w:r>
        <w:rPr>
          <w:lang w:val="uk-UA"/>
        </w:rPr>
        <w:t>.</w:t>
      </w:r>
    </w:p>
    <w:p w:rsidR="00B86E3E" w:rsidRDefault="00B86E3E">
      <w:pPr>
        <w:pStyle w:val="20"/>
        <w:widowControl/>
        <w:tabs>
          <w:tab w:val="left" w:pos="-3828"/>
          <w:tab w:val="left" w:pos="-2410"/>
        </w:tabs>
        <w:spacing w:line="240" w:lineRule="auto"/>
        <w:ind w:firstLine="567"/>
        <w:rPr>
          <w:bCs/>
          <w:snapToGrid/>
          <w:lang w:val="uk-UA"/>
        </w:rPr>
      </w:pPr>
    </w:p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jc w:val="center"/>
        <w:rPr>
          <w:bCs/>
          <w:snapToGrid/>
          <w:lang w:val="uk-UA"/>
        </w:rPr>
      </w:pPr>
      <w:r>
        <w:rPr>
          <w:b/>
          <w:bCs/>
          <w:lang w:val="uk-UA"/>
        </w:rPr>
        <w:t>Матеріали та методи</w:t>
      </w:r>
    </w:p>
    <w:p w:rsidR="00B86E3E" w:rsidRDefault="00232120">
      <w:pPr>
        <w:pStyle w:val="20"/>
        <w:widowControl/>
        <w:spacing w:line="240" w:lineRule="auto"/>
        <w:ind w:firstLine="567"/>
        <w:rPr>
          <w:lang w:val="uk-UA"/>
        </w:rPr>
      </w:pPr>
      <w:r>
        <w:rPr>
          <w:snapToGrid/>
          <w:lang w:val="uk-UA"/>
        </w:rPr>
        <w:t xml:space="preserve">Синтез склоподібних сплавів квазіпотрійних систем </w:t>
      </w:r>
      <w:r>
        <w:rPr>
          <w:lang w:val="uk-UA"/>
        </w:rPr>
        <w:t>ZnSe-Ga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-SnSe</w:t>
      </w:r>
      <w:r>
        <w:rPr>
          <w:vertAlign w:val="subscript"/>
          <w:lang w:val="uk-UA"/>
        </w:rPr>
        <w:t>2</w:t>
      </w:r>
      <w:r>
        <w:rPr>
          <w:snapToGrid/>
          <w:lang w:val="uk-UA"/>
        </w:rPr>
        <w:t xml:space="preserve"> проводився з елементарних компонентів (для систем </w:t>
      </w:r>
      <w:r>
        <w:rPr>
          <w:lang w:val="uk-UA"/>
        </w:rPr>
        <w:t>ZnSe-Ga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-SnSe</w:t>
      </w:r>
      <w:r>
        <w:rPr>
          <w:vertAlign w:val="subscript"/>
          <w:lang w:val="uk-UA"/>
        </w:rPr>
        <w:t>2</w:t>
      </w:r>
      <w:r>
        <w:rPr>
          <w:snapToGrid/>
          <w:lang w:val="uk-UA"/>
        </w:rPr>
        <w:t>) у вакуумованих контейнерах з тонкостінного кварцу. Режим синтезу при нагріванні до максимальної температури аналогічний до режиму для систем певного класу. Після витримування при максимальній температурі протягом 10 годин проводилося її пониження з метою, щоб вона була на</w:t>
      </w:r>
      <w:r>
        <w:rPr>
          <w:lang w:val="uk-UA"/>
        </w:rPr>
        <w:t>100-150 К вищою за температуру плавлення цього сплаву. Витримування при цій температурі складало 10 годин, після чого сплави загартовували в 25 %-ному водному розчині NaCl. Для запобігання розбризкування розплаву в об’ємі контейнера, а також зменшення втрат на конденсацію з парової фази по стінках останнього, застосовувалося максимальне зменшення величини ампули та збільшення температури в її верхній частині за рахунок теплоізоляції шнуровим азбестом.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Склоподібний стан сплавів контролювався рентгенофазовим (дифрактометр        ДРОН-3М) та мікроструктурним (мікроскоп ММУ-3) аналізами. В межі областей склоутворення вносилися тільки ті склади сплавів, для яких методи контролю не виявили кристалічних включень. Одержані стекла являли собою монолітні злитки чорного кольору з характерним блиском. У деяких сплавах, відразу після гарту,відбувалося розтріскування, яке пов’язане, скоріш за все, зі збільшенням внутрішніх напруг внаслідок поступового переходу від напруг стиснення у зовнішніх шарах, до напруг розтягу – у внутрішніх.</w:t>
      </w:r>
    </w:p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ind w:firstLine="567"/>
        <w:rPr>
          <w:lang w:val="uk-UA"/>
        </w:rPr>
      </w:pPr>
      <w:r>
        <w:rPr>
          <w:lang w:val="uk-UA"/>
        </w:rPr>
        <w:t>Приналежність певного сплаву до стекол перевіряли за дифрактограмами, які знімали на рентгенівському дифрактометрі ДРОН-3М (CuKa</w:t>
      </w:r>
      <w:r>
        <w:rPr>
          <w:vertAlign w:val="subscript"/>
          <w:lang w:val="uk-UA"/>
        </w:rPr>
        <w:sym w:font="Symbol" w:char="F061"/>
      </w:r>
      <w:r>
        <w:rPr>
          <w:lang w:val="uk-UA"/>
        </w:rPr>
        <w:t>-випромінювання). Дифракційну картину в неперервному режимі реєстрували на стрічку самописця. Швидкість руху стрічки – 0,72 м/год, лічильника – 2 град./хв, величина діаграми – 0,25 та 0,5 мм. На дифрактограмах склоподібних зразків спостерігалися характерні “галло”, наявність яких свідчить про відсутність дальнього порядку в структурі сплаву.</w:t>
      </w:r>
    </w:p>
    <w:bookmarkStart w:id="0" w:name="_MON_1032079661"/>
    <w:bookmarkStart w:id="1" w:name="_MON_1032079736"/>
    <w:bookmarkStart w:id="2" w:name="_MON_1032079776"/>
    <w:bookmarkStart w:id="3" w:name="_MON_1032079835"/>
    <w:bookmarkStart w:id="4" w:name="_MON_1032079868"/>
    <w:bookmarkStart w:id="5" w:name="_MON_1032080047"/>
    <w:bookmarkStart w:id="6" w:name="_MON_1032080078"/>
    <w:bookmarkStart w:id="7" w:name="_MON_1053845940"/>
    <w:bookmarkStart w:id="8" w:name="_MON_1067703053"/>
    <w:bookmarkStart w:id="9" w:name="_MON_1067712613"/>
    <w:bookmarkStart w:id="10" w:name="_MON_107459705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032079624"/>
    <w:bookmarkEnd w:id="11"/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jc w:val="center"/>
        <w:rPr>
          <w:sz w:val="28"/>
          <w:lang w:val="en-US"/>
        </w:rPr>
      </w:pPr>
      <w:r>
        <w:rPr>
          <w:sz w:val="28"/>
        </w:rPr>
        <w:object w:dxaOrig="3368" w:dyaOrig="5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238.5pt" o:ole="" fillcolor="window">
            <v:imagedata r:id="rId5" o:title=""/>
          </v:shape>
          <o:OLEObject Type="Embed" ProgID="Word.Picture.8" ShapeID="_x0000_i1025" DrawAspect="Content" ObjectID="_1469384058" r:id="rId6"/>
        </w:objec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sz w:val="28"/>
        </w:rPr>
        <w:br w:type="page"/>
      </w:r>
      <w:r>
        <w:rPr>
          <w:lang w:val="uk-UA"/>
        </w:rPr>
        <w:t>Для оптичних вимірювань проводилася шліфовка зразків абразивним порошком і поліровка алмазними пастами механічним способом. Зразки виготовлялись у формі паралелепіпедів розмірами 3x1x2,3 мм та пластинок товщиною  завтовшки 0,1 мм.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Для електричних вимірювань зразки приклеювалися до слюдяної підложки, а електричні контакти до зразків виконувалися за іскророзрядним методом.</w:t>
      </w:r>
    </w:p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ind w:firstLine="567"/>
      </w:pPr>
      <w:r>
        <w:rPr>
          <w:lang w:val="uk-UA"/>
        </w:rPr>
        <w:t>Вимірювання спектрів поглинання проводилося за стандартним методом із синхродетектуванням.</w:t>
      </w:r>
    </w:p>
    <w:p w:rsidR="00B86E3E" w:rsidRDefault="00B86E3E">
      <w:pPr>
        <w:pStyle w:val="20"/>
        <w:widowControl/>
        <w:tabs>
          <w:tab w:val="left" w:pos="-3828"/>
          <w:tab w:val="left" w:pos="-2410"/>
        </w:tabs>
        <w:spacing w:line="240" w:lineRule="auto"/>
        <w:ind w:firstLine="567"/>
      </w:pPr>
    </w:p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Результати експерименту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У таблиці 1 подано енергії оптичної іонізації та термічної енергії активації для зразків ZnSe-Ga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-SnSe</w:t>
      </w:r>
      <w:r>
        <w:rPr>
          <w:vertAlign w:val="subscript"/>
          <w:lang w:val="uk-UA"/>
        </w:rPr>
        <w:t>2</w:t>
      </w:r>
      <w:r>
        <w:rPr>
          <w:lang w:val="uk-UA"/>
        </w:rPr>
        <w:t>.</w:t>
      </w:r>
    </w:p>
    <w:p w:rsidR="00B86E3E" w:rsidRDefault="00B86E3E">
      <w:pPr>
        <w:ind w:firstLine="567"/>
        <w:jc w:val="both"/>
        <w:rPr>
          <w:sz w:val="10"/>
          <w:lang w:val="uk-UA"/>
        </w:rPr>
      </w:pPr>
    </w:p>
    <w:p w:rsidR="00B86E3E" w:rsidRDefault="00232120">
      <w:pPr>
        <w:jc w:val="right"/>
        <w:rPr>
          <w:i/>
          <w:iCs/>
          <w:lang w:val="uk-UA"/>
        </w:rPr>
      </w:pPr>
      <w:r>
        <w:rPr>
          <w:i/>
          <w:iCs/>
          <w:lang w:val="uk-UA"/>
        </w:rPr>
        <w:t>Таблиця 1</w:t>
      </w:r>
    </w:p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Залежність енергії іонізації (активації) від компонентного складу зразків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1361"/>
        <w:gridCol w:w="1361"/>
        <w:gridCol w:w="1361"/>
        <w:gridCol w:w="1362"/>
      </w:tblGrid>
      <w:tr w:rsidR="00B86E3E">
        <w:trPr>
          <w:trHeight w:val="931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Компонента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rPr>
                <w:snapToGrid w:val="0"/>
                <w:color w:val="000000"/>
                <w:vertAlign w:val="subscript"/>
                <w:lang w:val="uk-UA"/>
              </w:rPr>
            </w:pPr>
            <w:r>
              <w:rPr>
                <w:snapToGrid w:val="0"/>
                <w:color w:val="000000"/>
              </w:rPr>
              <w:t>80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</w:rPr>
              <w:t xml:space="preserve">% </w:t>
            </w:r>
            <w:r>
              <w:rPr>
                <w:snapToGrid w:val="0"/>
                <w:color w:val="000000"/>
                <w:lang w:val="en-US"/>
              </w:rPr>
              <w:t>SnSe</w:t>
            </w:r>
            <w:r>
              <w:rPr>
                <w:snapToGrid w:val="0"/>
                <w:color w:val="000000"/>
                <w:vertAlign w:val="subscript"/>
              </w:rPr>
              <w:t>2</w:t>
            </w:r>
          </w:p>
          <w:p w:rsidR="00B86E3E" w:rsidRDefault="00232120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</w:rPr>
              <w:t xml:space="preserve">% </w:t>
            </w:r>
            <w:r>
              <w:rPr>
                <w:snapToGrid w:val="0"/>
                <w:color w:val="000000"/>
                <w:lang w:val="en-US"/>
              </w:rPr>
              <w:t>Ga</w:t>
            </w:r>
            <w:r>
              <w:rPr>
                <w:snapToGrid w:val="0"/>
                <w:color w:val="000000"/>
                <w:vertAlign w:val="subscript"/>
              </w:rPr>
              <w:t>2</w:t>
            </w:r>
            <w:r>
              <w:rPr>
                <w:snapToGrid w:val="0"/>
                <w:color w:val="000000"/>
                <w:lang w:val="en-US"/>
              </w:rPr>
              <w:t>Se</w:t>
            </w:r>
            <w:r>
              <w:rPr>
                <w:snapToGrid w:val="0"/>
                <w:color w:val="000000"/>
                <w:vertAlign w:val="subscript"/>
              </w:rPr>
              <w:t>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rPr>
                <w:snapToGrid w:val="0"/>
                <w:color w:val="000000"/>
                <w:lang w:val="uk-UA"/>
              </w:rPr>
            </w:pPr>
            <w:r>
              <w:rPr>
                <w:snapToGrid w:val="0"/>
                <w:color w:val="000000"/>
                <w:lang w:val="en-US"/>
              </w:rPr>
              <w:t>77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% SnSe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2</w:t>
            </w:r>
          </w:p>
          <w:p w:rsidR="00B86E3E" w:rsidRDefault="00232120">
            <w:pPr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23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% Ga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2</w:t>
            </w:r>
            <w:r>
              <w:rPr>
                <w:snapToGrid w:val="0"/>
                <w:color w:val="000000"/>
                <w:lang w:val="en-US"/>
              </w:rPr>
              <w:t>Se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rPr>
                <w:snapToGrid w:val="0"/>
                <w:color w:val="000000"/>
                <w:vertAlign w:val="subscript"/>
                <w:lang w:val="uk-UA"/>
              </w:rPr>
            </w:pPr>
            <w:r>
              <w:rPr>
                <w:snapToGrid w:val="0"/>
                <w:color w:val="000000"/>
                <w:lang w:val="en-US"/>
              </w:rPr>
              <w:t>75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% SnSe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2</w:t>
            </w:r>
          </w:p>
          <w:p w:rsidR="00B86E3E" w:rsidRDefault="00232120">
            <w:pPr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25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% Ga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2</w:t>
            </w:r>
            <w:r>
              <w:rPr>
                <w:snapToGrid w:val="0"/>
                <w:color w:val="000000"/>
                <w:lang w:val="en-US"/>
              </w:rPr>
              <w:t>Se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rPr>
                <w:snapToGrid w:val="0"/>
                <w:color w:val="000000"/>
                <w:lang w:val="uk-UA"/>
              </w:rPr>
            </w:pPr>
            <w:r>
              <w:rPr>
                <w:snapToGrid w:val="0"/>
                <w:color w:val="000000"/>
                <w:lang w:val="en-US"/>
              </w:rPr>
              <w:t>1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 xml:space="preserve">% ZnSe </w:t>
            </w:r>
          </w:p>
          <w:p w:rsidR="00B86E3E" w:rsidRDefault="00232120">
            <w:pPr>
              <w:rPr>
                <w:snapToGrid w:val="0"/>
                <w:color w:val="000000"/>
                <w:lang w:val="uk-UA"/>
              </w:rPr>
            </w:pPr>
            <w:r>
              <w:rPr>
                <w:snapToGrid w:val="0"/>
                <w:color w:val="000000"/>
                <w:lang w:val="en-US"/>
              </w:rPr>
              <w:t>75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% SnSe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2</w:t>
            </w:r>
            <w:r>
              <w:rPr>
                <w:snapToGrid w:val="0"/>
                <w:color w:val="000000"/>
                <w:lang w:val="en-US"/>
              </w:rPr>
              <w:t xml:space="preserve"> </w:t>
            </w:r>
          </w:p>
          <w:p w:rsidR="00B86E3E" w:rsidRDefault="00232120">
            <w:pPr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24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% Ga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2</w:t>
            </w:r>
            <w:r>
              <w:rPr>
                <w:snapToGrid w:val="0"/>
                <w:color w:val="000000"/>
                <w:lang w:val="en-US"/>
              </w:rPr>
              <w:t>Se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rPr>
                <w:snapToGrid w:val="0"/>
                <w:color w:val="000000"/>
                <w:lang w:val="uk-UA"/>
              </w:rPr>
            </w:pPr>
            <w:r>
              <w:rPr>
                <w:snapToGrid w:val="0"/>
                <w:color w:val="000000"/>
                <w:lang w:val="en-US"/>
              </w:rPr>
              <w:t>1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 xml:space="preserve">% ZnSe </w:t>
            </w:r>
          </w:p>
          <w:p w:rsidR="00B86E3E" w:rsidRDefault="00232120">
            <w:pPr>
              <w:rPr>
                <w:snapToGrid w:val="0"/>
                <w:color w:val="000000"/>
                <w:lang w:val="uk-UA"/>
              </w:rPr>
            </w:pPr>
            <w:r>
              <w:rPr>
                <w:snapToGrid w:val="0"/>
                <w:color w:val="000000"/>
                <w:lang w:val="en-US"/>
              </w:rPr>
              <w:t>77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% SnSe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2</w:t>
            </w:r>
            <w:r>
              <w:rPr>
                <w:snapToGrid w:val="0"/>
                <w:color w:val="000000"/>
                <w:lang w:val="en-US"/>
              </w:rPr>
              <w:t xml:space="preserve"> </w:t>
            </w:r>
          </w:p>
          <w:p w:rsidR="00B86E3E" w:rsidRDefault="00232120">
            <w:pPr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22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% Ga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2</w:t>
            </w:r>
            <w:r>
              <w:rPr>
                <w:snapToGrid w:val="0"/>
                <w:color w:val="000000"/>
                <w:lang w:val="en-US"/>
              </w:rPr>
              <w:t>Se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rPr>
                <w:snapToGrid w:val="0"/>
                <w:color w:val="000000"/>
                <w:lang w:val="uk-UA"/>
              </w:rPr>
            </w:pPr>
            <w:r>
              <w:rPr>
                <w:snapToGrid w:val="0"/>
                <w:color w:val="000000"/>
                <w:lang w:val="en-US"/>
              </w:rPr>
              <w:t>82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% SnSe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2</w:t>
            </w:r>
            <w:r>
              <w:rPr>
                <w:snapToGrid w:val="0"/>
                <w:color w:val="000000"/>
                <w:lang w:val="en-US"/>
              </w:rPr>
              <w:t xml:space="preserve"> </w:t>
            </w:r>
          </w:p>
          <w:p w:rsidR="00B86E3E" w:rsidRDefault="00232120">
            <w:pPr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18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% Ga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2</w:t>
            </w:r>
            <w:r>
              <w:rPr>
                <w:snapToGrid w:val="0"/>
                <w:color w:val="000000"/>
                <w:lang w:val="en-US"/>
              </w:rPr>
              <w:t>Se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3</w:t>
            </w:r>
          </w:p>
        </w:tc>
      </w:tr>
      <w:tr w:rsidR="00B86E3E">
        <w:trPr>
          <w:trHeight w:val="25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Номер</w:t>
            </w:r>
            <w:r>
              <w:rPr>
                <w:snapToGrid w:val="0"/>
                <w:color w:val="000000"/>
                <w:lang w:val="en-US"/>
              </w:rPr>
              <w:t xml:space="preserve"> </w:t>
            </w:r>
            <w:r>
              <w:rPr>
                <w:snapToGrid w:val="0"/>
                <w:color w:val="000000"/>
              </w:rPr>
              <w:t>зразка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№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№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№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№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№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№</w:t>
            </w:r>
            <w:r>
              <w:rPr>
                <w:snapToGrid w:val="0"/>
                <w:color w:val="000000"/>
                <w:lang w:val="uk-UA"/>
              </w:rPr>
              <w:t xml:space="preserve"> </w:t>
            </w:r>
            <w:r>
              <w:rPr>
                <w:snapToGrid w:val="0"/>
                <w:color w:val="000000"/>
                <w:lang w:val="en-US"/>
              </w:rPr>
              <w:t>20</w:t>
            </w:r>
          </w:p>
        </w:tc>
      </w:tr>
      <w:tr w:rsidR="00B86E3E">
        <w:trPr>
          <w:trHeight w:val="25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3E" w:rsidRDefault="00232120">
            <w:pPr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g</w:t>
            </w:r>
            <w:r>
              <w:rPr>
                <w:snapToGrid w:val="0"/>
                <w:color w:val="000000"/>
                <w:lang w:val="en-US"/>
              </w:rPr>
              <w:t>, eV</w:t>
            </w:r>
          </w:p>
          <w:p w:rsidR="00B86E3E" w:rsidRDefault="00232120">
            <w:pPr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(T=300K)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1,45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1,45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1,45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1,72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1,52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1,52</w:t>
            </w:r>
          </w:p>
        </w:tc>
      </w:tr>
      <w:tr w:rsidR="00B86E3E">
        <w:trPr>
          <w:trHeight w:val="25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3E" w:rsidRDefault="00232120">
            <w:pPr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g</w:t>
            </w:r>
            <w:r>
              <w:rPr>
                <w:snapToGrid w:val="0"/>
                <w:color w:val="000000"/>
                <w:lang w:val="en-US"/>
              </w:rPr>
              <w:t>, eV</w:t>
            </w:r>
          </w:p>
          <w:p w:rsidR="00B86E3E" w:rsidRDefault="00232120">
            <w:pPr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(T=77K)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1,72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1,72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1,78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1,72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1,72</w:t>
            </w:r>
          </w:p>
        </w:tc>
      </w:tr>
      <w:tr w:rsidR="00B86E3E">
        <w:trPr>
          <w:trHeight w:val="25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3E" w:rsidRDefault="00232120">
            <w:pPr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E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gt</w:t>
            </w:r>
            <w:r>
              <w:rPr>
                <w:snapToGrid w:val="0"/>
                <w:color w:val="000000"/>
                <w:lang w:val="en-US"/>
              </w:rPr>
              <w:t>, eV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0,44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0,4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0,44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0,5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0,59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E3E" w:rsidRDefault="00232120">
            <w:pPr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0,39</w:t>
            </w:r>
          </w:p>
        </w:tc>
      </w:tr>
    </w:tbl>
    <w:p w:rsidR="00B86E3E" w:rsidRDefault="00B86E3E">
      <w:pPr>
        <w:pStyle w:val="20"/>
        <w:widowControl/>
        <w:tabs>
          <w:tab w:val="left" w:pos="-3828"/>
          <w:tab w:val="left" w:pos="-2410"/>
        </w:tabs>
        <w:spacing w:line="240" w:lineRule="auto"/>
        <w:jc w:val="center"/>
        <w:rPr>
          <w:bCs/>
          <w:snapToGrid/>
          <w:sz w:val="10"/>
          <w:lang w:val="uk-UA"/>
        </w:rPr>
      </w:pPr>
    </w:p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ind w:firstLine="567"/>
        <w:rPr>
          <w:lang w:val="uk-UA"/>
        </w:rPr>
      </w:pPr>
      <w:r>
        <w:rPr>
          <w:lang w:val="uk-UA"/>
        </w:rPr>
        <w:t>На малюнку 2 подано графічну залежність енергії оптичної іонізації та термічної енергії активації від компонентного складу зразків.</w:t>
      </w:r>
    </w:p>
    <w:bookmarkStart w:id="12" w:name="_MON_1032075963"/>
    <w:bookmarkStart w:id="13" w:name="_MON_1032076706"/>
    <w:bookmarkStart w:id="14" w:name="_MON_1032076747"/>
    <w:bookmarkStart w:id="15" w:name="_MON_1032076776"/>
    <w:bookmarkStart w:id="16" w:name="_MON_1032076798"/>
    <w:bookmarkStart w:id="17" w:name="_MON_1032076943"/>
    <w:bookmarkStart w:id="18" w:name="_MON_1032076980"/>
    <w:bookmarkStart w:id="19" w:name="_MON_1032077062"/>
    <w:bookmarkStart w:id="20" w:name="_MON_1032077136"/>
    <w:bookmarkStart w:id="21" w:name="_MON_1032077218"/>
    <w:bookmarkStart w:id="22" w:name="_MON_1032077256"/>
    <w:bookmarkStart w:id="23" w:name="_MON_1032079021"/>
    <w:bookmarkStart w:id="24" w:name="_MON_1032336443"/>
    <w:bookmarkStart w:id="25" w:name="_MON_1053846207"/>
    <w:bookmarkStart w:id="26" w:name="_MON_1067703031"/>
    <w:bookmarkStart w:id="27" w:name="_MON_1067712614"/>
    <w:bookmarkStart w:id="28" w:name="_MON_1074597228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Start w:id="29" w:name="_MON_1032075929"/>
    <w:bookmarkEnd w:id="29"/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ind w:left="-142"/>
        <w:jc w:val="center"/>
        <w:rPr>
          <w:sz w:val="28"/>
          <w:lang w:val="uk-UA"/>
        </w:rPr>
      </w:pPr>
      <w:r>
        <w:rPr>
          <w:sz w:val="28"/>
        </w:rPr>
        <w:object w:dxaOrig="9037" w:dyaOrig="5700">
          <v:shape id="_x0000_i1026" type="#_x0000_t75" style="width:376.5pt;height:237.75pt" o:ole="" fillcolor="window">
            <v:imagedata r:id="rId7" o:title=""/>
          </v:shape>
          <o:OLEObject Type="Embed" ProgID="Word.Picture.8" ShapeID="_x0000_i1026" DrawAspect="Content" ObjectID="_1469384059" r:id="rId8"/>
        </w:object>
      </w:r>
    </w:p>
    <w:p w:rsidR="00B86E3E" w:rsidRDefault="00B86E3E">
      <w:pPr>
        <w:pStyle w:val="20"/>
        <w:widowControl/>
        <w:tabs>
          <w:tab w:val="left" w:pos="-3828"/>
          <w:tab w:val="left" w:pos="-2410"/>
        </w:tabs>
        <w:spacing w:line="240" w:lineRule="auto"/>
        <w:ind w:left="-142"/>
        <w:jc w:val="center"/>
        <w:rPr>
          <w:sz w:val="2"/>
          <w:lang w:val="uk-UA"/>
        </w:rPr>
      </w:pPr>
    </w:p>
    <w:p w:rsidR="00B86E3E" w:rsidRDefault="00232120">
      <w:pPr>
        <w:pStyle w:val="a4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На рисунку 3, 4 показано спектральний розподіл коефіцієнта поглинання стекол системи ZnSe-Ga</w:t>
      </w:r>
      <w:r>
        <w:rPr>
          <w:sz w:val="24"/>
          <w:vertAlign w:val="subscript"/>
          <w:lang w:val="uk-UA"/>
        </w:rPr>
        <w:t>2</w:t>
      </w:r>
      <w:r>
        <w:rPr>
          <w:sz w:val="24"/>
          <w:lang w:val="uk-UA"/>
        </w:rPr>
        <w:t>Se</w:t>
      </w:r>
      <w:r>
        <w:rPr>
          <w:sz w:val="24"/>
          <w:vertAlign w:val="subscript"/>
          <w:lang w:val="uk-UA"/>
        </w:rPr>
        <w:t>3</w:t>
      </w:r>
      <w:r>
        <w:rPr>
          <w:sz w:val="24"/>
          <w:lang w:val="uk-UA"/>
        </w:rPr>
        <w:t>-SnSe</w:t>
      </w:r>
      <w:r>
        <w:rPr>
          <w:sz w:val="24"/>
          <w:vertAlign w:val="subscript"/>
          <w:lang w:val="uk-UA"/>
        </w:rPr>
        <w:t>2</w:t>
      </w:r>
      <w:r>
        <w:rPr>
          <w:sz w:val="24"/>
          <w:lang w:val="uk-UA"/>
        </w:rPr>
        <w:t xml:space="preserve"> при Т=77К та Т=300К. Як видно з отриманих залежностей, при обох температурах оптична енергія іонізації залежить від компонентного складу. З наведених залежностей видно, що край фундаментального поглинання зміщується в короткохвильову область при пониженні температури від кімнатної до температури рідкого азоту приблизно на 0,15 еВ.</w:t>
      </w:r>
    </w:p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ind w:firstLine="567"/>
        <w:rPr>
          <w:lang w:val="uk-UA"/>
        </w:rPr>
      </w:pPr>
      <w:r>
        <w:rPr>
          <w:lang w:val="uk-UA"/>
        </w:rPr>
        <w:t>На рисунку 5 подано температурні залежності питомої електропровідності для стекол системи ZnSe-Ga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-SnSe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в інтервалі температур 0-150 </w:t>
      </w:r>
      <w:r>
        <w:rPr>
          <w:vertAlign w:val="superscript"/>
          <w:lang w:val="uk-UA"/>
        </w:rPr>
        <w:t>0</w:t>
      </w:r>
      <w:r>
        <w:rPr>
          <w:lang w:val="uk-UA"/>
        </w:rPr>
        <w:t>С. Для потрійної системи ZnSe-Ga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-SnSe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(рис. 5) добре розділяються два нахили температурної залежності, причому при Т&gt;355 К електропровідність значно швидше зростає з підвищенням температури і термічна енергія активації становить 0,5 еВ для стекол 1 % ZnSe – 75 % SnSe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24 % 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та 0,59 еВ для 1 % ZnSe – 77 % SnSe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22 % 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.</w:t>
      </w:r>
    </w:p>
    <w:p w:rsidR="00B86E3E" w:rsidRDefault="00B86E3E">
      <w:pPr>
        <w:pStyle w:val="20"/>
        <w:widowControl/>
        <w:tabs>
          <w:tab w:val="left" w:pos="-3828"/>
          <w:tab w:val="left" w:pos="-2410"/>
        </w:tabs>
        <w:spacing w:line="240" w:lineRule="auto"/>
        <w:ind w:firstLine="567"/>
        <w:rPr>
          <w:lang w:val="uk-UA"/>
        </w:rPr>
      </w:pPr>
    </w:p>
    <w:bookmarkStart w:id="30" w:name="_MON_1032078009"/>
    <w:bookmarkStart w:id="31" w:name="_MON_1053846261"/>
    <w:bookmarkStart w:id="32" w:name="_MON_1067702991"/>
    <w:bookmarkStart w:id="33" w:name="_MON_1067712615"/>
    <w:bookmarkStart w:id="34" w:name="_MON_1074597678"/>
    <w:bookmarkEnd w:id="30"/>
    <w:bookmarkEnd w:id="31"/>
    <w:bookmarkEnd w:id="32"/>
    <w:bookmarkEnd w:id="33"/>
    <w:bookmarkEnd w:id="34"/>
    <w:bookmarkStart w:id="35" w:name="_MON_1032077805"/>
    <w:bookmarkEnd w:id="35"/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jc w:val="center"/>
        <w:rPr>
          <w:sz w:val="28"/>
          <w:lang w:val="uk-UA"/>
        </w:rPr>
      </w:pPr>
      <w:r>
        <w:rPr>
          <w:sz w:val="28"/>
        </w:rPr>
        <w:object w:dxaOrig="9036" w:dyaOrig="6157">
          <v:shape id="_x0000_i1027" type="#_x0000_t75" style="width:378pt;height:257.25pt" o:ole="" fillcolor="window">
            <v:imagedata r:id="rId9" o:title=""/>
          </v:shape>
          <o:OLEObject Type="Embed" ProgID="Word.Picture.8" ShapeID="_x0000_i1027" DrawAspect="Content" ObjectID="_1469384060" r:id="rId10"/>
        </w:object>
      </w:r>
    </w:p>
    <w:p w:rsidR="00B86E3E" w:rsidRDefault="00B86E3E">
      <w:pPr>
        <w:pStyle w:val="20"/>
        <w:widowControl/>
        <w:tabs>
          <w:tab w:val="left" w:pos="-3828"/>
          <w:tab w:val="left" w:pos="-2410"/>
        </w:tabs>
        <w:spacing w:line="240" w:lineRule="auto"/>
        <w:ind w:left="-142"/>
        <w:jc w:val="center"/>
        <w:rPr>
          <w:sz w:val="28"/>
          <w:lang w:val="uk-UA"/>
        </w:rPr>
      </w:pPr>
    </w:p>
    <w:p w:rsidR="00B86E3E" w:rsidRDefault="00B86E3E">
      <w:pPr>
        <w:pStyle w:val="20"/>
        <w:widowControl/>
        <w:tabs>
          <w:tab w:val="left" w:pos="-3828"/>
          <w:tab w:val="left" w:pos="-2410"/>
        </w:tabs>
        <w:spacing w:line="240" w:lineRule="auto"/>
        <w:ind w:left="-142"/>
        <w:jc w:val="center"/>
        <w:rPr>
          <w:sz w:val="28"/>
          <w:lang w:val="uk-UA"/>
        </w:rPr>
      </w:pPr>
    </w:p>
    <w:bookmarkStart w:id="36" w:name="_MON_1032078149"/>
    <w:bookmarkStart w:id="37" w:name="_MON_1053846297"/>
    <w:bookmarkStart w:id="38" w:name="_MON_1067703109"/>
    <w:bookmarkStart w:id="39" w:name="_MON_1074597686"/>
    <w:bookmarkEnd w:id="36"/>
    <w:bookmarkEnd w:id="37"/>
    <w:bookmarkEnd w:id="38"/>
    <w:bookmarkEnd w:id="39"/>
    <w:bookmarkStart w:id="40" w:name="_MON_1032078077"/>
    <w:bookmarkEnd w:id="40"/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jc w:val="center"/>
        <w:rPr>
          <w:sz w:val="28"/>
          <w:lang w:val="uk-UA"/>
        </w:rPr>
      </w:pPr>
      <w:r>
        <w:rPr>
          <w:sz w:val="28"/>
        </w:rPr>
        <w:object w:dxaOrig="9037" w:dyaOrig="6197">
          <v:shape id="_x0000_i1028" type="#_x0000_t75" style="width:375pt;height:257.25pt" o:ole="" fillcolor="window">
            <v:imagedata r:id="rId11" o:title=""/>
          </v:shape>
          <o:OLEObject Type="Embed" ProgID="Word.Picture.8" ShapeID="_x0000_i1028" DrawAspect="Content" ObjectID="_1469384061" r:id="rId12"/>
        </w:object>
      </w:r>
    </w:p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jc w:val="center"/>
        <w:rPr>
          <w:sz w:val="28"/>
          <w:lang w:val="uk-UA"/>
        </w:rPr>
      </w:pPr>
      <w:r>
        <w:rPr>
          <w:bCs/>
          <w:snapToGrid/>
          <w:lang w:val="uk-UA"/>
        </w:rPr>
        <w:br w:type="page"/>
      </w:r>
      <w:bookmarkStart w:id="41" w:name="_MON_1032769629"/>
      <w:bookmarkStart w:id="42" w:name="_MON_1032769711"/>
      <w:bookmarkStart w:id="43" w:name="_MON_1032769957"/>
      <w:bookmarkStart w:id="44" w:name="_MON_1032770040"/>
      <w:bookmarkStart w:id="45" w:name="_MON_1032770188"/>
      <w:bookmarkStart w:id="46" w:name="_MON_1032770911"/>
      <w:bookmarkStart w:id="47" w:name="_MON_1032771031"/>
      <w:bookmarkStart w:id="48" w:name="_MON_1033555263"/>
      <w:bookmarkStart w:id="49" w:name="_MON_1034408766"/>
      <w:bookmarkStart w:id="50" w:name="_MON_1034408854"/>
      <w:bookmarkStart w:id="51" w:name="_MON_1053846325"/>
      <w:bookmarkStart w:id="52" w:name="_MON_1067703245"/>
      <w:bookmarkStart w:id="53" w:name="_MON_1067712617"/>
      <w:bookmarkStart w:id="54" w:name="_MON_1067841981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Start w:id="55" w:name="_MON_1032769527"/>
      <w:bookmarkEnd w:id="55"/>
      <w:r>
        <w:rPr>
          <w:sz w:val="28"/>
        </w:rPr>
        <w:object w:dxaOrig="8686" w:dyaOrig="6901">
          <v:shape id="_x0000_i1029" type="#_x0000_t75" style="width:356.25pt;height:257.25pt" o:ole="" fillcolor="window">
            <v:imagedata r:id="rId13" o:title=""/>
          </v:shape>
          <o:OLEObject Type="Embed" ProgID="Word.Picture.8" ShapeID="_x0000_i1029" DrawAspect="Content" ObjectID="_1469384062" r:id="rId14"/>
        </w:object>
      </w:r>
    </w:p>
    <w:p w:rsidR="00B86E3E" w:rsidRDefault="00232120">
      <w:pPr>
        <w:pStyle w:val="2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Обговорення результатів експерименту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Для густини станів в аморфних напівпровідниках діють такі механізми провідності, які можна виявити у відповідних інтервалах температур [1].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І. Для високих температур провідність зумовлена носіями заряду, збуджених за край рухливості в нелокалізовані стани з енергією, більшою Е</w:t>
      </w:r>
      <w:r>
        <w:rPr>
          <w:vertAlign w:val="subscript"/>
          <w:lang w:val="uk-UA"/>
        </w:rPr>
        <w:t>с</w:t>
      </w:r>
      <w:r>
        <w:rPr>
          <w:lang w:val="uk-UA"/>
        </w:rPr>
        <w:t xml:space="preserve">. Провідність тоді має вигляд: </w:t>
      </w:r>
    </w:p>
    <w:p w:rsidR="00B86E3E" w:rsidRDefault="00232120">
      <w:pPr>
        <w:jc w:val="center"/>
        <w:rPr>
          <w:lang w:val="uk-UA"/>
        </w:rPr>
      </w:pPr>
      <w:r>
        <w:rPr>
          <w:position w:val="-32"/>
          <w:lang w:val="uk-UA"/>
        </w:rPr>
        <w:object w:dxaOrig="3000" w:dyaOrig="780">
          <v:shape id="_x0000_i1030" type="#_x0000_t75" style="width:150pt;height:39pt" o:ole="" fillcolor="window">
            <v:imagedata r:id="rId15" o:title=""/>
          </v:shape>
          <o:OLEObject Type="Embed" ProgID="Equation.3" ShapeID="_x0000_i1030" DrawAspect="Content" ObjectID="_1469384063" r:id="rId16"/>
        </w:object>
      </w:r>
      <w:r>
        <w:rPr>
          <w:lang w:val="uk-UA"/>
        </w:rPr>
        <w:t>,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lang w:val="uk-UA"/>
        </w:rPr>
        <w:sym w:font="Symbol" w:char="F073"/>
      </w:r>
      <w:r>
        <w:rPr>
          <w:vertAlign w:val="subscript"/>
          <w:lang w:val="uk-UA"/>
        </w:rPr>
        <w:t>мін</w:t>
      </w:r>
      <w:r>
        <w:rPr>
          <w:lang w:val="uk-UA"/>
        </w:rPr>
        <w:t xml:space="preserve"> – мінімальна металічна провідність при нульовій температурі (Е=Е</w:t>
      </w:r>
      <w:r>
        <w:rPr>
          <w:vertAlign w:val="subscript"/>
          <w:lang w:val="uk-UA"/>
        </w:rPr>
        <w:t>С</w:t>
      </w:r>
      <w:r>
        <w:rPr>
          <w:lang w:val="uk-UA"/>
        </w:rPr>
        <w:t>). Величина (Е</w:t>
      </w:r>
      <w:r>
        <w:rPr>
          <w:vertAlign w:val="subscript"/>
          <w:lang w:val="uk-UA"/>
        </w:rPr>
        <w:t>C</w:t>
      </w:r>
      <w:r>
        <w:rPr>
          <w:lang w:val="uk-UA"/>
        </w:rPr>
        <w:t>-Е</w:t>
      </w:r>
      <w:r>
        <w:rPr>
          <w:vertAlign w:val="subscript"/>
          <w:lang w:val="uk-UA"/>
        </w:rPr>
        <w:t>F</w:t>
      </w:r>
      <w:r>
        <w:rPr>
          <w:lang w:val="uk-UA"/>
        </w:rPr>
        <w:t xml:space="preserve">) </w:t>
      </w:r>
      <w:r>
        <w:t>–</w:t>
      </w:r>
      <w:r>
        <w:rPr>
          <w:lang w:val="uk-UA"/>
        </w:rPr>
        <w:t xml:space="preserve"> лінійна функція від Т для високих температур, тому графіком залежності ln</w:t>
      </w:r>
      <w:r>
        <w:rPr>
          <w:lang w:val="uk-UA"/>
        </w:rPr>
        <w:sym w:font="Symbol" w:char="F073"/>
      </w:r>
      <w:r>
        <w:rPr>
          <w:lang w:val="uk-UA"/>
        </w:rPr>
        <w:t xml:space="preserve"> від 1/Т повинна бути пряма лінія.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II. Провідність пов’язана з носіями, збудженими в локалізовані стани біля країв зон. Ця провідність має стрибковий характер з енергіями поблизу Е</w:t>
      </w:r>
      <w:r>
        <w:rPr>
          <w:vertAlign w:val="subscript"/>
          <w:lang w:val="uk-UA"/>
        </w:rPr>
        <w:t>А</w:t>
      </w:r>
      <w:r>
        <w:rPr>
          <w:lang w:val="uk-UA"/>
        </w:rPr>
        <w:t>. Для такого процесу маємо:</w:t>
      </w:r>
    </w:p>
    <w:p w:rsidR="00B86E3E" w:rsidRDefault="00232120">
      <w:pPr>
        <w:jc w:val="center"/>
        <w:rPr>
          <w:lang w:val="uk-UA"/>
        </w:rPr>
      </w:pPr>
      <w:r>
        <w:rPr>
          <w:position w:val="-32"/>
          <w:lang w:val="uk-UA"/>
        </w:rPr>
        <w:object w:dxaOrig="3300" w:dyaOrig="780">
          <v:shape id="_x0000_i1031" type="#_x0000_t75" style="width:165pt;height:39pt" o:ole="" fillcolor="window">
            <v:imagedata r:id="rId17" o:title=""/>
          </v:shape>
          <o:OLEObject Type="Embed" ProgID="Equation.3" ShapeID="_x0000_i1031" DrawAspect="Content" ObjectID="_1469384064" r:id="rId18"/>
        </w:object>
      </w:r>
      <w:r>
        <w:rPr>
          <w:lang w:val="uk-UA"/>
        </w:rPr>
        <w:t>,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lang w:val="uk-UA"/>
        </w:rPr>
        <w:sym w:font="Symbol" w:char="F073"/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– енергія активації стрибка, Е</w:t>
      </w:r>
      <w:r>
        <w:rPr>
          <w:vertAlign w:val="subscript"/>
          <w:lang w:val="uk-UA"/>
        </w:rPr>
        <w:t>А</w:t>
      </w:r>
      <w:r>
        <w:rPr>
          <w:lang w:val="uk-UA"/>
        </w:rPr>
        <w:t xml:space="preserve"> – енергія носіїв у “хвості” локалізованих станів, Е</w:t>
      </w:r>
      <w:r>
        <w:rPr>
          <w:vertAlign w:val="subscript"/>
          <w:lang w:val="uk-UA"/>
        </w:rPr>
        <w:t>F</w:t>
      </w:r>
      <w:r>
        <w:rPr>
          <w:lang w:val="uk-UA"/>
        </w:rPr>
        <w:t xml:space="preserve"> – енергія Фермі. Енергія </w:t>
      </w:r>
      <w:r>
        <w:rPr>
          <w:lang w:val="uk-UA"/>
        </w:rPr>
        <w:sym w:font="Symbol" w:char="F073"/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при пониженні температури зменшується, тому що при цьому змінюється довжина стрибка. Але оскільки основний вклад у провідність вносить член, який відповідає за активацію носіїв у нелокалізованих станах, ми маємо знову лінійну залежність ln</w:t>
      </w:r>
      <w:r>
        <w:rPr>
          <w:lang w:val="uk-UA"/>
        </w:rPr>
        <w:sym w:font="Symbol" w:char="F073"/>
      </w:r>
      <w:r>
        <w:rPr>
          <w:lang w:val="uk-UA"/>
        </w:rPr>
        <w:t xml:space="preserve"> від 1/Т, тільки з іншим нахилом. Величина </w:t>
      </w:r>
      <w:r>
        <w:rPr>
          <w:lang w:val="uk-UA"/>
        </w:rPr>
        <w:sym w:font="Symbol" w:char="F073"/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менша ніж </w:t>
      </w:r>
      <w:r>
        <w:rPr>
          <w:lang w:val="uk-UA"/>
        </w:rPr>
        <w:sym w:font="Symbol" w:char="F073"/>
      </w:r>
      <w:r>
        <w:rPr>
          <w:vertAlign w:val="subscript"/>
          <w:lang w:val="uk-UA"/>
        </w:rPr>
        <w:t>мін</w:t>
      </w:r>
      <w:r>
        <w:rPr>
          <w:lang w:val="uk-UA"/>
        </w:rPr>
        <w:t xml:space="preserve"> через меншу густину станів поблизу енергії Е</w:t>
      </w:r>
      <w:r>
        <w:rPr>
          <w:vertAlign w:val="subscript"/>
          <w:lang w:val="uk-UA"/>
        </w:rPr>
        <w:t>А</w:t>
      </w:r>
      <w:r>
        <w:rPr>
          <w:lang w:val="uk-UA"/>
        </w:rPr>
        <w:t xml:space="preserve"> (“хвоста” локалізованих станів носіїв зарядів) та через меншу рухливість носіїв заряду.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III. Якщо густина станів на рівні Фермі Е</w:t>
      </w:r>
      <w:r>
        <w:rPr>
          <w:vertAlign w:val="subscript"/>
          <w:lang w:val="uk-UA"/>
        </w:rPr>
        <w:t>F</w:t>
      </w:r>
      <w:r>
        <w:rPr>
          <w:lang w:val="uk-UA"/>
        </w:rPr>
        <w:t xml:space="preserve"> скінченна, то у провідність будуть вносити вклад носії заряду з енергією поблизу Е</w:t>
      </w:r>
      <w:r>
        <w:rPr>
          <w:vertAlign w:val="subscript"/>
          <w:lang w:val="uk-UA"/>
        </w:rPr>
        <w:t>F</w:t>
      </w:r>
      <w:r>
        <w:rPr>
          <w:lang w:val="uk-UA"/>
        </w:rPr>
        <w:t>. Ці носії можуть здійснювати стрибки між локалізованими станами. Цей вклад у провідність можна записати так:</w:t>
      </w:r>
    </w:p>
    <w:p w:rsidR="00B86E3E" w:rsidRDefault="00232120">
      <w:pPr>
        <w:jc w:val="center"/>
        <w:rPr>
          <w:lang w:val="uk-UA"/>
        </w:rPr>
      </w:pPr>
      <w:r>
        <w:rPr>
          <w:position w:val="-32"/>
          <w:lang w:val="uk-UA"/>
        </w:rPr>
        <w:object w:dxaOrig="2200" w:dyaOrig="780">
          <v:shape id="_x0000_i1032" type="#_x0000_t75" style="width:110.25pt;height:39pt" o:ole="" fillcolor="window">
            <v:imagedata r:id="rId19" o:title=""/>
          </v:shape>
          <o:OLEObject Type="Embed" ProgID="Equation.3" ShapeID="_x0000_i1032" DrawAspect="Content" ObjectID="_1469384065" r:id="rId20"/>
        </w:object>
      </w:r>
      <w:r>
        <w:rPr>
          <w:lang w:val="uk-UA"/>
        </w:rPr>
        <w:t>,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 xml:space="preserve">де - </w:t>
      </w:r>
      <w:r>
        <w:rPr>
          <w:lang w:val="uk-UA"/>
        </w:rPr>
        <w:sym w:font="Symbol" w:char="F073"/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&lt; </w:t>
      </w:r>
      <w:r>
        <w:rPr>
          <w:lang w:val="uk-UA"/>
        </w:rPr>
        <w:sym w:font="Symbol" w:char="F073"/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та </w:t>
      </w:r>
      <w:r>
        <w:rPr>
          <w:lang w:val="uk-UA"/>
        </w:rPr>
        <w:sym w:font="Symbol" w:char="F073"/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енергія активації стрибка, значення якої дорівнює приблизно половині ширини зони локалізованих станів.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Повна провідність, з урахуванням усіх перерахованих процесів, визначається як інтеграл за всіма можливими енергетичними станами.</w:t>
      </w:r>
    </w:p>
    <w:p w:rsidR="00B86E3E" w:rsidRDefault="00232120">
      <w:pPr>
        <w:ind w:firstLine="567"/>
        <w:jc w:val="both"/>
        <w:rPr>
          <w:spacing w:val="-4"/>
          <w:lang w:val="uk-UA"/>
        </w:rPr>
      </w:pPr>
      <w:r>
        <w:rPr>
          <w:spacing w:val="-4"/>
          <w:lang w:val="uk-UA"/>
        </w:rPr>
        <w:t>Для зразків ZnSe-Ga</w:t>
      </w:r>
      <w:r>
        <w:rPr>
          <w:spacing w:val="-4"/>
          <w:vertAlign w:val="subscript"/>
          <w:lang w:val="uk-UA"/>
        </w:rPr>
        <w:t>2</w:t>
      </w:r>
      <w:r>
        <w:rPr>
          <w:spacing w:val="-4"/>
          <w:lang w:val="uk-UA"/>
        </w:rPr>
        <w:t>Se</w:t>
      </w:r>
      <w:r>
        <w:rPr>
          <w:spacing w:val="-4"/>
          <w:vertAlign w:val="subscript"/>
          <w:lang w:val="uk-UA"/>
        </w:rPr>
        <w:t>3</w:t>
      </w:r>
      <w:r>
        <w:rPr>
          <w:spacing w:val="-4"/>
          <w:lang w:val="uk-UA"/>
        </w:rPr>
        <w:t>-SnSe</w:t>
      </w:r>
      <w:r>
        <w:rPr>
          <w:spacing w:val="-4"/>
          <w:vertAlign w:val="subscript"/>
          <w:lang w:val="uk-UA"/>
        </w:rPr>
        <w:t>2</w:t>
      </w:r>
      <w:r>
        <w:rPr>
          <w:spacing w:val="-4"/>
          <w:lang w:val="uk-UA"/>
        </w:rPr>
        <w:t xml:space="preserve"> з різним компонентним складом спостерігаємо меншу питому провідність, ніж у зразків Ga</w:t>
      </w:r>
      <w:r>
        <w:rPr>
          <w:spacing w:val="-4"/>
          <w:vertAlign w:val="subscript"/>
          <w:lang w:val="uk-UA"/>
        </w:rPr>
        <w:t>2</w:t>
      </w:r>
      <w:r>
        <w:rPr>
          <w:spacing w:val="-4"/>
          <w:lang w:val="uk-UA"/>
        </w:rPr>
        <w:t>Se</w:t>
      </w:r>
      <w:r>
        <w:rPr>
          <w:spacing w:val="-4"/>
          <w:vertAlign w:val="subscript"/>
          <w:lang w:val="uk-UA"/>
        </w:rPr>
        <w:t>3</w:t>
      </w:r>
      <w:r>
        <w:rPr>
          <w:spacing w:val="-4"/>
          <w:lang w:val="uk-UA"/>
        </w:rPr>
        <w:t>-SnSe</w:t>
      </w:r>
      <w:r>
        <w:rPr>
          <w:spacing w:val="-4"/>
          <w:vertAlign w:val="subscript"/>
          <w:lang w:val="uk-UA"/>
        </w:rPr>
        <w:t xml:space="preserve">2 </w:t>
      </w:r>
      <w:r>
        <w:rPr>
          <w:spacing w:val="-4"/>
          <w:lang w:val="uk-UA"/>
        </w:rPr>
        <w:t>(без компоненти ZnSe). Причому в стеклах ZnSe-Ga</w:t>
      </w:r>
      <w:r>
        <w:rPr>
          <w:spacing w:val="-4"/>
          <w:vertAlign w:val="subscript"/>
          <w:lang w:val="uk-UA"/>
        </w:rPr>
        <w:t>2</w:t>
      </w:r>
      <w:r>
        <w:rPr>
          <w:spacing w:val="-4"/>
          <w:lang w:val="uk-UA"/>
        </w:rPr>
        <w:t>Se</w:t>
      </w:r>
      <w:r>
        <w:rPr>
          <w:spacing w:val="-4"/>
          <w:vertAlign w:val="subscript"/>
          <w:lang w:val="uk-UA"/>
        </w:rPr>
        <w:t>3</w:t>
      </w:r>
      <w:r>
        <w:rPr>
          <w:spacing w:val="-4"/>
          <w:lang w:val="uk-UA"/>
        </w:rPr>
        <w:t>-SnSe</w:t>
      </w:r>
      <w:r>
        <w:rPr>
          <w:spacing w:val="-4"/>
          <w:vertAlign w:val="subscript"/>
          <w:lang w:val="uk-UA"/>
        </w:rPr>
        <w:t>2</w:t>
      </w:r>
      <w:r>
        <w:rPr>
          <w:spacing w:val="-4"/>
          <w:lang w:val="uk-UA"/>
        </w:rPr>
        <w:t xml:space="preserve"> при вищій температурі провідність зумовлена носіями заряду, збудженими в нелокалізовані стани (І випадок). З пониженням температури настає провідність за рахунок носіїв, які збуджені в локалізовані стани, тому наявний менший нахил провідності (ІІ випадок). Для зразків Ga</w:t>
      </w:r>
      <w:r>
        <w:rPr>
          <w:spacing w:val="-4"/>
          <w:vertAlign w:val="subscript"/>
          <w:lang w:val="uk-UA"/>
        </w:rPr>
        <w:t>2</w:t>
      </w:r>
      <w:r>
        <w:rPr>
          <w:spacing w:val="-4"/>
          <w:lang w:val="uk-UA"/>
        </w:rPr>
        <w:t>Se</w:t>
      </w:r>
      <w:r>
        <w:rPr>
          <w:spacing w:val="-4"/>
          <w:vertAlign w:val="subscript"/>
          <w:lang w:val="uk-UA"/>
        </w:rPr>
        <w:t>3</w:t>
      </w:r>
      <w:r>
        <w:rPr>
          <w:spacing w:val="-4"/>
          <w:lang w:val="uk-UA"/>
        </w:rPr>
        <w:t>-SnSe</w:t>
      </w:r>
      <w:r>
        <w:rPr>
          <w:spacing w:val="-4"/>
          <w:vertAlign w:val="subscript"/>
          <w:lang w:val="uk-UA"/>
        </w:rPr>
        <w:t>2</w:t>
      </w:r>
      <w:r>
        <w:rPr>
          <w:spacing w:val="-4"/>
          <w:lang w:val="uk-UA"/>
        </w:rPr>
        <w:t>, як видно з графіка, провідність описується законом І.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>Зменшення провідності при введенні в систему 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-SnSe</w:t>
      </w:r>
      <w:r>
        <w:rPr>
          <w:vertAlign w:val="subscript"/>
          <w:lang w:val="uk-UA"/>
        </w:rPr>
        <w:t xml:space="preserve">2 </w:t>
      </w:r>
      <w:r>
        <w:rPr>
          <w:lang w:val="uk-UA"/>
        </w:rPr>
        <w:t>компоненти ZnSe можна пояснити зміною хімічної будови стекол цієї системи. Елемент Se як склоутворювач займає виняткове становище серед усіх елементів Періодичної системи. Він сам існує у вигляді стабільного скла і легко утворює як бінарні, так і складні стекла в широкій області сполук. Стекла створюються в тому випадку, коли в розплавах початкових речовин існують зв’язки, які допускають зміну валентних кутів і довжин [2]. При введенні в скло 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-SnSe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сполуки ZnSe  відбувається варіація ковалентних радіусів і кутів, що в свою чергу змінює вигляд енергетичних зон. Атоми Zn, внаслідок меншого ковалентного радіуса ніж Sn та Se, заповнюють різного роду вакантні місця і незавершені ковалентні зв’язки, що, у свою чергу, веде до вирівнювання флуктуацій потенціалу поблизу країв зон стекол системи ZnSe-Ga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-SnSe</w:t>
      </w:r>
      <w:r>
        <w:rPr>
          <w:vertAlign w:val="subscript"/>
          <w:lang w:val="uk-UA"/>
        </w:rPr>
        <w:t>2</w:t>
      </w:r>
      <w:r>
        <w:rPr>
          <w:lang w:val="uk-UA"/>
        </w:rPr>
        <w:t>. У зв’язку з цим енергія активації носіїв заряду в нелокалізовані стани з енергією Е</w:t>
      </w:r>
      <w:r>
        <w:rPr>
          <w:vertAlign w:val="subscript"/>
          <w:lang w:val="uk-UA"/>
        </w:rPr>
        <w:t>С</w:t>
      </w:r>
      <w:r>
        <w:rPr>
          <w:lang w:val="uk-UA"/>
        </w:rPr>
        <w:t xml:space="preserve"> збільшується, а провідність зменшується. При нижчих температурах, домінуючим стає провідність, пов’язана з активацією носіїв у локалізовані стани з енергією Е</w:t>
      </w:r>
      <w:r>
        <w:rPr>
          <w:vertAlign w:val="subscript"/>
          <w:lang w:val="uk-UA"/>
        </w:rPr>
        <w:t>А</w:t>
      </w:r>
      <w:r>
        <w:rPr>
          <w:lang w:val="uk-UA"/>
        </w:rPr>
        <w:t>, тому на графіку ми спостерігаємо зміну нахилу прямої провідності (зразок № 13, 14).</w:t>
      </w:r>
    </w:p>
    <w:p w:rsidR="00B86E3E" w:rsidRDefault="00232120">
      <w:pPr>
        <w:ind w:firstLine="567"/>
        <w:jc w:val="both"/>
        <w:rPr>
          <w:lang w:val="uk-UA"/>
        </w:rPr>
      </w:pPr>
      <w:r>
        <w:rPr>
          <w:lang w:val="uk-UA"/>
        </w:rPr>
        <w:t xml:space="preserve">Із аналізу результатів за дослідженням коефіцієнта поглинання було встановлено, що край поглинання описується експонентою, яка відповідає емпіричному правилу Урбаха. Було досліджено край поглинання у довгохвильовій частині оптичного “хвоста”, який сильно залежить від чистоти і досконалості структури, та експоненціальний оптичний “хвіст”. Ділянка, де коефіцієнт поглинання описується законом </w:t>
      </w:r>
      <w:r>
        <w:rPr>
          <w:lang w:val="uk-UA"/>
        </w:rPr>
        <w:sym w:font="Symbol" w:char="F061"/>
      </w:r>
      <w:r>
        <w:rPr>
          <w:lang w:val="uk-UA"/>
        </w:rPr>
        <w:t>~(h</w:t>
      </w:r>
      <w:r>
        <w:rPr>
          <w:lang w:val="uk-UA"/>
        </w:rPr>
        <w:sym w:font="Symbol" w:char="F06E"/>
      </w:r>
      <w:r>
        <w:rPr>
          <w:lang w:val="uk-UA"/>
        </w:rPr>
        <w:t>-E</w:t>
      </w:r>
      <w:r>
        <w:rPr>
          <w:vertAlign w:val="subscript"/>
          <w:lang w:val="uk-UA"/>
        </w:rPr>
        <w:t>g</w:t>
      </w:r>
      <w:r>
        <w:rPr>
          <w:lang w:val="uk-UA"/>
        </w:rPr>
        <w:t>), не досліджена у зв’язку з тим, що неможливо було виготовити зразки достатньо тонкими. Слід відмітити, що край зміщується в короткохвильову область при переході до температури азоту приблизно на 0,15 еВ (для всіх зразків). Зсув краю поглинання стекол ZnSe-Ga</w:t>
      </w:r>
      <w:r>
        <w:rPr>
          <w:vertAlign w:val="subscript"/>
          <w:lang w:val="uk-UA"/>
        </w:rPr>
        <w:t>2</w:t>
      </w:r>
      <w:r>
        <w:rPr>
          <w:lang w:val="uk-UA"/>
        </w:rPr>
        <w:t>Se</w:t>
      </w:r>
      <w:r>
        <w:rPr>
          <w:vertAlign w:val="subscript"/>
          <w:lang w:val="uk-UA"/>
        </w:rPr>
        <w:t>3</w:t>
      </w:r>
      <w:r>
        <w:rPr>
          <w:lang w:val="uk-UA"/>
        </w:rPr>
        <w:t>-SnSe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при зміні компонентного складу, в межах похибки експерименту, не спостерігався.</w:t>
      </w:r>
    </w:p>
    <w:p w:rsidR="00B86E3E" w:rsidRDefault="00B86E3E">
      <w:pPr>
        <w:ind w:firstLine="567"/>
        <w:jc w:val="both"/>
        <w:rPr>
          <w:sz w:val="22"/>
          <w:lang w:val="uk-UA"/>
        </w:rPr>
      </w:pPr>
    </w:p>
    <w:p w:rsidR="00B86E3E" w:rsidRDefault="00232120">
      <w:pPr>
        <w:pStyle w:val="111"/>
        <w:rPr>
          <w:lang w:val="ru-RU"/>
        </w:rPr>
      </w:pPr>
      <w:r>
        <w:rPr>
          <w:lang w:val="ru-RU"/>
        </w:rPr>
        <w:t>Висновки</w:t>
      </w:r>
    </w:p>
    <w:p w:rsidR="00B86E3E" w:rsidRDefault="00232120">
      <w:pPr>
        <w:pStyle w:val="20"/>
        <w:widowControl/>
        <w:tabs>
          <w:tab w:val="left" w:pos="-3828"/>
          <w:tab w:val="left" w:pos="-2410"/>
        </w:tabs>
        <w:spacing w:line="240" w:lineRule="auto"/>
        <w:ind w:firstLine="567"/>
        <w:rPr>
          <w:lang w:val="uk-UA"/>
        </w:rPr>
      </w:pPr>
      <w:r>
        <w:rPr>
          <w:lang w:val="uk-UA"/>
        </w:rPr>
        <w:t xml:space="preserve">Таким чином, у цій статті було досліджено питому електропровідність у діапазоні температур 0-150 </w:t>
      </w:r>
      <w:r>
        <w:rPr>
          <w:vertAlign w:val="superscript"/>
          <w:lang w:val="uk-UA"/>
        </w:rPr>
        <w:t>0</w:t>
      </w:r>
      <w:r>
        <w:rPr>
          <w:lang w:val="uk-UA"/>
        </w:rPr>
        <w:t>С та спектральний розподіл коефіцієнта поглинання в області довжин хвиль 500-2500 нм. Дано пояснення зміни провідності зразків на основі зміни хімічної будови стекол залежно від компонентного складу. Тому для пояснення природи оптичних і електричних властивостей необхідно проводити подальші пошуки як експериментального, так і теоретичного плану.</w:t>
      </w:r>
    </w:p>
    <w:p w:rsidR="00B86E3E" w:rsidRDefault="00B86E3E">
      <w:pPr>
        <w:pStyle w:val="20"/>
        <w:widowControl/>
        <w:tabs>
          <w:tab w:val="left" w:pos="-3828"/>
          <w:tab w:val="left" w:pos="-2410"/>
        </w:tabs>
        <w:spacing w:line="240" w:lineRule="auto"/>
        <w:ind w:firstLine="567"/>
        <w:rPr>
          <w:bCs/>
          <w:snapToGrid/>
          <w:sz w:val="22"/>
          <w:lang w:val="uk-UA"/>
        </w:rPr>
      </w:pPr>
    </w:p>
    <w:p w:rsidR="00B86E3E" w:rsidRDefault="00232120">
      <w:pPr>
        <w:pStyle w:val="20"/>
        <w:widowControl/>
        <w:tabs>
          <w:tab w:val="left" w:pos="-3828"/>
          <w:tab w:val="left" w:pos="-2410"/>
        </w:tabs>
        <w:jc w:val="center"/>
        <w:rPr>
          <w:b/>
          <w:snapToGrid/>
          <w:sz w:val="22"/>
          <w:lang w:val="uk-UA"/>
        </w:rPr>
      </w:pPr>
      <w:r>
        <w:rPr>
          <w:b/>
          <w:snapToGrid/>
          <w:sz w:val="22"/>
          <w:lang w:val="uk-UA"/>
        </w:rPr>
        <w:t>Література</w:t>
      </w:r>
    </w:p>
    <w:p w:rsidR="00B86E3E" w:rsidRDefault="00232120" w:rsidP="00232120">
      <w:pPr>
        <w:pStyle w:val="FR1"/>
        <w:numPr>
          <w:ilvl w:val="0"/>
          <w:numId w:val="1"/>
        </w:numPr>
        <w:tabs>
          <w:tab w:val="num" w:pos="927"/>
        </w:tabs>
        <w:spacing w:line="240" w:lineRule="auto"/>
        <w:ind w:left="284" w:right="0" w:hanging="284"/>
        <w:jc w:val="both"/>
        <w:rPr>
          <w:i/>
          <w:iCs/>
          <w:color w:val="000000"/>
          <w:sz w:val="22"/>
          <w:lang w:val="uk-UA"/>
        </w:rPr>
      </w:pPr>
      <w:r>
        <w:rPr>
          <w:i/>
          <w:iCs/>
          <w:color w:val="000000"/>
          <w:sz w:val="22"/>
          <w:lang w:val="uk-UA"/>
        </w:rPr>
        <w:t>Мотт Н., Девис Э. Электронные процессы в некристалических веществах: Т.1. Пер. с англ.– М.: Мир, 1974.</w:t>
      </w:r>
    </w:p>
    <w:p w:rsidR="00B86E3E" w:rsidRDefault="00232120" w:rsidP="00232120">
      <w:pPr>
        <w:pStyle w:val="FR1"/>
        <w:numPr>
          <w:ilvl w:val="0"/>
          <w:numId w:val="1"/>
        </w:numPr>
        <w:tabs>
          <w:tab w:val="num" w:pos="927"/>
        </w:tabs>
        <w:spacing w:line="240" w:lineRule="auto"/>
        <w:ind w:left="284" w:right="0" w:hanging="284"/>
        <w:jc w:val="both"/>
        <w:rPr>
          <w:i/>
          <w:iCs/>
          <w:sz w:val="22"/>
          <w:lang w:val="ru-RU"/>
        </w:rPr>
      </w:pPr>
      <w:r>
        <w:rPr>
          <w:i/>
          <w:iCs/>
          <w:sz w:val="22"/>
          <w:lang w:val="ru-RU"/>
        </w:rPr>
        <w:t>Кокорина В.Ф. О необходимых и достаточных условиях стеклообразования // Физ. и хим. стек-ла.– 1999.– Т.25.– №2.</w:t>
      </w:r>
    </w:p>
    <w:p w:rsidR="00B86E3E" w:rsidRDefault="00B86E3E">
      <w:pPr>
        <w:jc w:val="both"/>
        <w:rPr>
          <w:bCs/>
          <w:sz w:val="22"/>
          <w:lang w:val="uk-UA"/>
        </w:rPr>
      </w:pPr>
    </w:p>
    <w:p w:rsidR="00B86E3E" w:rsidRDefault="00B86E3E">
      <w:bookmarkStart w:id="56" w:name="_GoBack"/>
      <w:bookmarkEnd w:id="56"/>
    </w:p>
    <w:sectPr w:rsidR="00B8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287"/>
    <w:multiLevelType w:val="hybridMultilevel"/>
    <w:tmpl w:val="E0B05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120"/>
    <w:rsid w:val="00232120"/>
    <w:rsid w:val="00B86E3E"/>
    <w:rsid w:val="00D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F10029F9-5D35-4405-9E41-72548E30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">
    <w:name w:val="Body Text Indent 2"/>
    <w:basedOn w:val="a"/>
    <w:semiHidden/>
    <w:pPr>
      <w:ind w:firstLine="567"/>
      <w:jc w:val="both"/>
    </w:pPr>
    <w:rPr>
      <w:sz w:val="20"/>
      <w:szCs w:val="20"/>
      <w:lang w:val="uk-UA"/>
    </w:rPr>
  </w:style>
  <w:style w:type="paragraph" w:styleId="20">
    <w:name w:val="Body Text 2"/>
    <w:basedOn w:val="a"/>
    <w:semiHidden/>
    <w:pPr>
      <w:widowControl w:val="0"/>
      <w:spacing w:line="360" w:lineRule="auto"/>
      <w:jc w:val="both"/>
    </w:pPr>
    <w:rPr>
      <w:snapToGrid w:val="0"/>
      <w:szCs w:val="20"/>
    </w:rPr>
  </w:style>
  <w:style w:type="paragraph" w:styleId="a4">
    <w:name w:val="Body Text"/>
    <w:basedOn w:val="a"/>
    <w:semiHidden/>
    <w:pPr>
      <w:widowControl w:val="0"/>
    </w:pPr>
    <w:rPr>
      <w:sz w:val="20"/>
      <w:szCs w:val="20"/>
    </w:rPr>
  </w:style>
  <w:style w:type="paragraph" w:customStyle="1" w:styleId="111">
    <w:name w:val="111"/>
    <w:basedOn w:val="a"/>
    <w:autoRedefine/>
    <w:pPr>
      <w:spacing w:line="360" w:lineRule="auto"/>
      <w:jc w:val="center"/>
    </w:pPr>
    <w:rPr>
      <w:b/>
      <w:bCs/>
      <w:szCs w:val="20"/>
      <w:lang w:val="en-US"/>
    </w:rPr>
  </w:style>
  <w:style w:type="paragraph" w:customStyle="1" w:styleId="FR1">
    <w:name w:val="FR1"/>
    <w:pPr>
      <w:widowControl w:val="0"/>
      <w:spacing w:line="300" w:lineRule="auto"/>
      <w:ind w:left="1000" w:right="1200"/>
      <w:jc w:val="center"/>
    </w:pPr>
    <w:rPr>
      <w:snapToGrid w:val="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Електропровідність та оптичне поглинання стекол системи ZnSe-Ga2Se3-SnSe2</vt:lpstr>
    </vt:vector>
  </TitlesOfParts>
  <Manager>Точні науки</Manager>
  <Company>Точні науки</Company>
  <LinksUpToDate>false</LinksUpToDate>
  <CharactersWithSpaces>9654</CharactersWithSpaces>
  <SharedDoc>false</SharedDoc>
  <HyperlinkBase>Точні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Точні науки</dc:subject>
  <dc:creator>Точні науки</dc:creator>
  <cp:keywords>Точні науки</cp:keywords>
  <dc:description>Точні науки</dc:description>
  <cp:lastModifiedBy>Irina</cp:lastModifiedBy>
  <cp:revision>2</cp:revision>
  <dcterms:created xsi:type="dcterms:W3CDTF">2014-08-12T18:28:00Z</dcterms:created>
  <dcterms:modified xsi:type="dcterms:W3CDTF">2014-08-12T18:28:00Z</dcterms:modified>
  <cp:category>Точні науки</cp:category>
</cp:coreProperties>
</file>