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9B9" w:rsidRPr="00CE4F69" w:rsidRDefault="004F7FBA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Зміст</w:t>
      </w:r>
    </w:p>
    <w:p w:rsidR="00956F0E" w:rsidRPr="00CE4F69" w:rsidRDefault="00956F0E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9423BF" w:rsidRPr="00CE4F69" w:rsidRDefault="004F7FBA" w:rsidP="004F7FBA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Завдання</w:t>
      </w:r>
    </w:p>
    <w:p w:rsidR="009423BF" w:rsidRPr="00CE4F69" w:rsidRDefault="004F7FBA" w:rsidP="004F7FBA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Заліковий модуль І. </w:t>
      </w:r>
      <w:r w:rsidR="009423BF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«Загальні засади організації фінансової роботи на підприємствах»</w:t>
      </w:r>
    </w:p>
    <w:p w:rsidR="00D269B9" w:rsidRPr="00CE4F69" w:rsidRDefault="009423BF" w:rsidP="004F7FBA">
      <w:pPr>
        <w:pStyle w:val="a3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Місцеві податки та збори. Порядок встановлення та сплати</w:t>
      </w:r>
      <w:r w:rsidR="0091252B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</w:t>
      </w:r>
    </w:p>
    <w:p w:rsidR="009423BF" w:rsidRPr="00CE4F69" w:rsidRDefault="00D269B9" w:rsidP="004F7FBA">
      <w:pPr>
        <w:pStyle w:val="a3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Відповіді на тестові </w:t>
      </w:r>
      <w:r w:rsidR="004F7FBA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завдання</w:t>
      </w:r>
    </w:p>
    <w:p w:rsidR="004F7FBA" w:rsidRPr="00CE4F69" w:rsidRDefault="004F7FBA" w:rsidP="004F7FBA">
      <w:pPr>
        <w:pStyle w:val="a3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Розкрити сутність категорій</w:t>
      </w:r>
    </w:p>
    <w:p w:rsidR="00D269B9" w:rsidRPr="00CE4F69" w:rsidRDefault="004F7FBA" w:rsidP="004F7FBA">
      <w:pPr>
        <w:pStyle w:val="a3"/>
        <w:numPr>
          <w:ilvl w:val="1"/>
          <w:numId w:val="22"/>
        </w:numPr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Задача</w:t>
      </w:r>
    </w:p>
    <w:p w:rsidR="00D269B9" w:rsidRPr="00CE4F69" w:rsidRDefault="004F7FBA" w:rsidP="004F7FBA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Заліковий модуль </w:t>
      </w:r>
      <w:r w:rsidR="00D269B9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ІІ</w:t>
      </w: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. </w:t>
      </w:r>
      <w:r w:rsidR="00D269B9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«Формування, використання та оцінка ефективності фінансових ресурсів підприємства»</w:t>
      </w:r>
    </w:p>
    <w:p w:rsidR="00B87B28" w:rsidRPr="00CE4F69" w:rsidRDefault="00B87B28" w:rsidP="004F7FBA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2.1</w:t>
      </w:r>
      <w:r w:rsidR="004F7FBA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</w:t>
      </w: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Характеристика наявності, стану, руху та використання основних</w:t>
      </w:r>
      <w:r w:rsidR="004F7FBA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</w:t>
      </w: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засобів підприємства</w:t>
      </w:r>
    </w:p>
    <w:p w:rsidR="008F454F" w:rsidRPr="00CE4F69" w:rsidRDefault="008F454F" w:rsidP="004F7FBA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2.2</w:t>
      </w:r>
      <w:r w:rsidR="004F7FBA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</w:t>
      </w: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Відповіді на тестові завдання</w:t>
      </w:r>
    </w:p>
    <w:p w:rsidR="007E0A68" w:rsidRPr="00CE4F69" w:rsidRDefault="007E0A68" w:rsidP="004F7FBA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2.3</w:t>
      </w:r>
      <w:r w:rsidR="004F7FBA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</w:t>
      </w: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Розкрити сутність категорій</w:t>
      </w:r>
      <w:r w:rsidR="0091252B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</w:t>
      </w:r>
    </w:p>
    <w:p w:rsidR="008F454F" w:rsidRPr="00CE4F69" w:rsidRDefault="007E0A68" w:rsidP="004F7FBA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2.4</w:t>
      </w:r>
      <w:r w:rsidR="004F7FBA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</w:t>
      </w:r>
      <w:r w:rsidR="008F454F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Задача</w:t>
      </w:r>
    </w:p>
    <w:p w:rsidR="008F454F" w:rsidRPr="00CE4F69" w:rsidRDefault="004F7FBA" w:rsidP="004F7FBA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Список використаної літератури</w:t>
      </w:r>
    </w:p>
    <w:p w:rsidR="008F454F" w:rsidRPr="00CE4F69" w:rsidRDefault="008F454F" w:rsidP="004F7FB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4F7FBA" w:rsidRPr="00CE4F69" w:rsidRDefault="004F7FBA">
      <w:pPr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br w:type="page"/>
      </w:r>
    </w:p>
    <w:p w:rsidR="008F454F" w:rsidRPr="00CE4F69" w:rsidRDefault="004F7FBA" w:rsidP="004F7FB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Завдання</w:t>
      </w:r>
    </w:p>
    <w:p w:rsidR="004F7FBA" w:rsidRPr="00CE4F69" w:rsidRDefault="004F7FBA" w:rsidP="004F7FB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4F7FBA" w:rsidRPr="00CE4F69" w:rsidRDefault="00D87DD0" w:rsidP="004F7FB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ЗАЛІКОВИЙ МОДУЛЬ І</w:t>
      </w:r>
    </w:p>
    <w:p w:rsidR="00D87DD0" w:rsidRPr="00CE4F69" w:rsidRDefault="00D87DD0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«Загальні засади організації фінансової роботи на підприємствах»</w:t>
      </w:r>
    </w:p>
    <w:p w:rsidR="00D87DD0" w:rsidRPr="00CE4F69" w:rsidRDefault="00D87DD0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1. Дати письмову відповідь на наступне питання:</w:t>
      </w:r>
    </w:p>
    <w:p w:rsidR="00D87DD0" w:rsidRPr="00CE4F69" w:rsidRDefault="00D87DD0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Місцеві податки та збори. Порядок встановлення та сплати.</w:t>
      </w:r>
    </w:p>
    <w:p w:rsidR="00D87DD0" w:rsidRPr="00CE4F69" w:rsidRDefault="00D87DD0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2. Дати відповіді на тести:</w:t>
      </w:r>
    </w:p>
    <w:p w:rsidR="00D87DD0" w:rsidRPr="00CE4F69" w:rsidRDefault="00D87DD0" w:rsidP="004F7FBA">
      <w:pPr>
        <w:pStyle w:val="1"/>
        <w:keepNext w:val="0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4F69">
        <w:rPr>
          <w:noProof/>
          <w:color w:val="000000"/>
          <w:sz w:val="28"/>
          <w:szCs w:val="28"/>
        </w:rPr>
        <w:t>1 Назвіть об’єкт оподаткування для обчислення ПДВ на вироблену продукцію:</w:t>
      </w:r>
    </w:p>
    <w:p w:rsidR="00D87DD0" w:rsidRPr="00CE4F69" w:rsidRDefault="00D87DD0" w:rsidP="004F7FBA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собівартість продукції;</w:t>
      </w:r>
    </w:p>
    <w:p w:rsidR="00D87DD0" w:rsidRPr="00CE4F69" w:rsidRDefault="00D87DD0" w:rsidP="004F7FBA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вартість продукції в оптових цінах;</w:t>
      </w:r>
    </w:p>
    <w:p w:rsidR="00D87DD0" w:rsidRPr="00CE4F69" w:rsidRDefault="00D87DD0" w:rsidP="004F7FBA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відпускна ціна, включаючи акцизний збір;</w:t>
      </w:r>
    </w:p>
    <w:p w:rsidR="00D87DD0" w:rsidRPr="00CE4F69" w:rsidRDefault="00D87DD0" w:rsidP="004F7FBA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відпускна ціна, включаючи акцизний збір і ПДВ.</w:t>
      </w:r>
    </w:p>
    <w:p w:rsidR="00D87DD0" w:rsidRPr="00CE4F69" w:rsidRDefault="00D87DD0" w:rsidP="004F7FBA">
      <w:pPr>
        <w:pStyle w:val="1"/>
        <w:keepNext w:val="0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4F69">
        <w:rPr>
          <w:noProof/>
          <w:color w:val="000000"/>
          <w:sz w:val="28"/>
          <w:szCs w:val="28"/>
        </w:rPr>
        <w:t>2</w:t>
      </w:r>
      <w:r w:rsidR="004F7FBA" w:rsidRPr="00CE4F69">
        <w:rPr>
          <w:noProof/>
          <w:color w:val="000000"/>
          <w:sz w:val="28"/>
          <w:szCs w:val="28"/>
        </w:rPr>
        <w:t xml:space="preserve"> </w:t>
      </w:r>
      <w:r w:rsidRPr="00CE4F69">
        <w:rPr>
          <w:noProof/>
          <w:color w:val="000000"/>
          <w:sz w:val="28"/>
          <w:szCs w:val="28"/>
        </w:rPr>
        <w:t>Контроль за цільовим використанням кредиту здійснюється:</w:t>
      </w:r>
    </w:p>
    <w:p w:rsidR="00D87DD0" w:rsidRPr="00CE4F69" w:rsidRDefault="00D87DD0" w:rsidP="004F7FBA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Національним банком;</w:t>
      </w:r>
    </w:p>
    <w:p w:rsidR="00D87DD0" w:rsidRPr="00CE4F69" w:rsidRDefault="00D87DD0" w:rsidP="004F7FBA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комерційними банками;</w:t>
      </w:r>
    </w:p>
    <w:p w:rsidR="00D87DD0" w:rsidRPr="00CE4F69" w:rsidRDefault="00D87DD0" w:rsidP="004F7FBA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підприємствами;</w:t>
      </w:r>
    </w:p>
    <w:p w:rsidR="00D87DD0" w:rsidRPr="00CE4F69" w:rsidRDefault="00D87DD0" w:rsidP="004F7FBA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контрольно-ревізійними управліннями.</w:t>
      </w:r>
    </w:p>
    <w:p w:rsidR="00D87DD0" w:rsidRPr="00CE4F69" w:rsidRDefault="00D87DD0" w:rsidP="004F7FBA">
      <w:pPr>
        <w:pStyle w:val="1"/>
        <w:keepNext w:val="0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4F69">
        <w:rPr>
          <w:noProof/>
          <w:color w:val="000000"/>
          <w:sz w:val="28"/>
          <w:szCs w:val="28"/>
        </w:rPr>
        <w:t>3 До складу власних і прирівняних до власних джерел фінансових ресурсів входять:</w:t>
      </w:r>
    </w:p>
    <w:p w:rsidR="00D87DD0" w:rsidRPr="00CE4F69" w:rsidRDefault="00D87DD0" w:rsidP="004F7FBA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статутний капітал;</w:t>
      </w:r>
    </w:p>
    <w:p w:rsidR="00D87DD0" w:rsidRPr="00CE4F69" w:rsidRDefault="00D87DD0" w:rsidP="004F7FBA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цільові внески юридичних і фізичних осіб;</w:t>
      </w:r>
    </w:p>
    <w:p w:rsidR="00D87DD0" w:rsidRPr="00CE4F69" w:rsidRDefault="00D87DD0" w:rsidP="004F7FBA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короткострокові кредити банків;</w:t>
      </w:r>
    </w:p>
    <w:p w:rsidR="00D87DD0" w:rsidRPr="00CE4F69" w:rsidRDefault="00D87DD0" w:rsidP="004F7FBA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субсидії бюджетні;</w:t>
      </w:r>
    </w:p>
    <w:p w:rsidR="00D87DD0" w:rsidRPr="00CE4F69" w:rsidRDefault="00D87DD0" w:rsidP="004F7FBA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страхові відшкодування.</w:t>
      </w:r>
    </w:p>
    <w:p w:rsidR="004F7FBA" w:rsidRPr="00CE4F69" w:rsidRDefault="00F00010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3. Розкрити сутність наступних категорій:</w:t>
      </w:r>
    </w:p>
    <w:p w:rsidR="00F00010" w:rsidRPr="00CE4F69" w:rsidRDefault="00F00010" w:rsidP="004F7FB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Кредитування, власний капітал, самофінансування, фіксована ціна</w:t>
      </w:r>
    </w:p>
    <w:p w:rsidR="00F00010" w:rsidRPr="00CE4F69" w:rsidRDefault="00F00010" w:rsidP="004F7FBA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Задача</w:t>
      </w:r>
    </w:p>
    <w:p w:rsidR="004F7FBA" w:rsidRPr="00CE4F69" w:rsidRDefault="004F7FBA">
      <w:pPr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br w:type="page"/>
      </w:r>
    </w:p>
    <w:p w:rsidR="00F00010" w:rsidRPr="00CE4F69" w:rsidRDefault="00F00010" w:rsidP="004F7FBA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Розрахувати відсутні елементи в графіку погашення кредиту: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461"/>
        <w:gridCol w:w="2109"/>
        <w:gridCol w:w="2109"/>
        <w:gridCol w:w="1784"/>
        <w:gridCol w:w="2108"/>
      </w:tblGrid>
      <w:tr w:rsidR="004F7FBA" w:rsidRPr="00ED00DA" w:rsidTr="00ED00DA">
        <w:trPr>
          <w:trHeight w:val="23"/>
        </w:trPr>
        <w:tc>
          <w:tcPr>
            <w:tcW w:w="763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Термін погашення кредиту, квартали</w:t>
            </w: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Сума основного боргу на початок періоду, грн.</w:t>
            </w: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Сума відсотків за даний період, грн.</w:t>
            </w:r>
          </w:p>
        </w:tc>
        <w:tc>
          <w:tcPr>
            <w:tcW w:w="93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Сума виплати боргу, грн.</w:t>
            </w: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Сума погашення основного боргу, грн.</w:t>
            </w:r>
          </w:p>
        </w:tc>
      </w:tr>
      <w:tr w:rsidR="00F00010" w:rsidRPr="00ED00DA" w:rsidTr="00ED00DA">
        <w:trPr>
          <w:trHeight w:val="23"/>
        </w:trPr>
        <w:tc>
          <w:tcPr>
            <w:tcW w:w="763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1</w:t>
            </w: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18000.00</w:t>
            </w:r>
          </w:p>
        </w:tc>
        <w:tc>
          <w:tcPr>
            <w:tcW w:w="93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61008.78</w:t>
            </w: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</w:tr>
      <w:tr w:rsidR="00F00010" w:rsidRPr="00ED00DA" w:rsidTr="00ED00DA">
        <w:trPr>
          <w:trHeight w:val="23"/>
        </w:trPr>
        <w:tc>
          <w:tcPr>
            <w:tcW w:w="763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2</w:t>
            </w: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93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</w:tr>
      <w:tr w:rsidR="00F00010" w:rsidRPr="00ED00DA" w:rsidTr="00ED00DA">
        <w:trPr>
          <w:trHeight w:val="23"/>
        </w:trPr>
        <w:tc>
          <w:tcPr>
            <w:tcW w:w="763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3</w:t>
            </w: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93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</w:tr>
      <w:tr w:rsidR="00F00010" w:rsidRPr="00ED00DA" w:rsidTr="00ED00DA">
        <w:trPr>
          <w:trHeight w:val="23"/>
        </w:trPr>
        <w:tc>
          <w:tcPr>
            <w:tcW w:w="763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4</w:t>
            </w: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93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</w:tr>
      <w:tr w:rsidR="00F00010" w:rsidRPr="00ED00DA" w:rsidTr="00ED00DA">
        <w:trPr>
          <w:trHeight w:val="23"/>
        </w:trPr>
        <w:tc>
          <w:tcPr>
            <w:tcW w:w="763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5</w:t>
            </w: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93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</w:tr>
      <w:tr w:rsidR="00F00010" w:rsidRPr="00ED00DA" w:rsidTr="00ED00DA">
        <w:trPr>
          <w:trHeight w:val="23"/>
        </w:trPr>
        <w:tc>
          <w:tcPr>
            <w:tcW w:w="763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6</w:t>
            </w: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93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</w:tr>
      <w:tr w:rsidR="00F00010" w:rsidRPr="00ED00DA" w:rsidTr="00ED00DA">
        <w:trPr>
          <w:trHeight w:val="23"/>
        </w:trPr>
        <w:tc>
          <w:tcPr>
            <w:tcW w:w="763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Разом</w:t>
            </w: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</w:p>
        </w:tc>
        <w:tc>
          <w:tcPr>
            <w:tcW w:w="93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366052.68</w:t>
            </w:r>
          </w:p>
        </w:tc>
        <w:tc>
          <w:tcPr>
            <w:tcW w:w="1102" w:type="pct"/>
            <w:shd w:val="clear" w:color="auto" w:fill="auto"/>
          </w:tcPr>
          <w:p w:rsidR="00F00010" w:rsidRPr="00ED00DA" w:rsidRDefault="00F00010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300000.00</w:t>
            </w:r>
          </w:p>
        </w:tc>
      </w:tr>
    </w:tbl>
    <w:p w:rsidR="004F7FBA" w:rsidRPr="00CE4F69" w:rsidRDefault="004F7FBA" w:rsidP="004F7FBA">
      <w:pPr>
        <w:autoSpaceDE w:val="0"/>
        <w:autoSpaceDN w:val="0"/>
        <w:adjustRightInd w:val="0"/>
        <w:spacing w:after="0" w:line="360" w:lineRule="auto"/>
        <w:ind w:left="454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D87DD0" w:rsidRPr="00CE4F69" w:rsidRDefault="00D87DD0" w:rsidP="004F7FB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ЗАЛІКОВИЙ МОДУЛЬ ІІ</w:t>
      </w:r>
    </w:p>
    <w:p w:rsidR="00D87DD0" w:rsidRPr="00CE4F69" w:rsidRDefault="00D87DD0" w:rsidP="004F7FB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«Формування, використання та оцінка ефективності фінансових ресурсів підприємства»</w:t>
      </w:r>
    </w:p>
    <w:p w:rsidR="004F7FBA" w:rsidRPr="00CE4F69" w:rsidRDefault="00D87DD0" w:rsidP="004F7FB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1. Дати письмову відповідь на наступні питання:</w:t>
      </w:r>
    </w:p>
    <w:p w:rsidR="004F7FBA" w:rsidRPr="00CE4F69" w:rsidRDefault="00D87DD0" w:rsidP="004F7FB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Характеристика наявності, стану, руху та використання основних засобів підприємства.</w:t>
      </w:r>
    </w:p>
    <w:p w:rsidR="00D87DD0" w:rsidRPr="00CE4F69" w:rsidRDefault="00D87DD0" w:rsidP="004F7FB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2. Дати відповідь на тести:</w:t>
      </w:r>
    </w:p>
    <w:p w:rsidR="00D87DD0" w:rsidRPr="00CE4F69" w:rsidRDefault="00D87DD0" w:rsidP="004F7FBA">
      <w:pPr>
        <w:pStyle w:val="1"/>
        <w:keepNext w:val="0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4F69">
        <w:rPr>
          <w:noProof/>
          <w:color w:val="000000"/>
          <w:sz w:val="28"/>
          <w:szCs w:val="28"/>
        </w:rPr>
        <w:t>1 Який з показників не характеризує ефективності використання оборотних коштів:</w:t>
      </w:r>
    </w:p>
    <w:p w:rsidR="00D87DD0" w:rsidRPr="00CE4F69" w:rsidRDefault="00D87DD0" w:rsidP="004F7FBA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фондовіддача;</w:t>
      </w:r>
    </w:p>
    <w:p w:rsidR="00D87DD0" w:rsidRPr="00CE4F69" w:rsidRDefault="00D87DD0" w:rsidP="004F7FBA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коефіцієнт обертання;</w:t>
      </w:r>
    </w:p>
    <w:p w:rsidR="00D87DD0" w:rsidRPr="00CE4F69" w:rsidRDefault="00D87DD0" w:rsidP="004F7FBA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тривалість обороту;</w:t>
      </w:r>
    </w:p>
    <w:p w:rsidR="00D87DD0" w:rsidRPr="00CE4F69" w:rsidRDefault="00D87DD0" w:rsidP="004F7FBA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коефіцієнт завантаження.</w:t>
      </w:r>
    </w:p>
    <w:p w:rsidR="00D87DD0" w:rsidRPr="00CE4F69" w:rsidRDefault="00D87DD0" w:rsidP="004F7FBA">
      <w:pPr>
        <w:pStyle w:val="1"/>
        <w:keepNext w:val="0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4F69">
        <w:rPr>
          <w:noProof/>
          <w:color w:val="000000"/>
          <w:sz w:val="28"/>
          <w:szCs w:val="28"/>
        </w:rPr>
        <w:t>2</w:t>
      </w:r>
      <w:r w:rsidR="004F7FBA" w:rsidRPr="00CE4F69">
        <w:rPr>
          <w:noProof/>
          <w:color w:val="000000"/>
          <w:sz w:val="28"/>
          <w:szCs w:val="28"/>
        </w:rPr>
        <w:t xml:space="preserve"> </w:t>
      </w:r>
      <w:r w:rsidRPr="00CE4F69">
        <w:rPr>
          <w:noProof/>
          <w:color w:val="000000"/>
          <w:sz w:val="28"/>
          <w:szCs w:val="28"/>
        </w:rPr>
        <w:t>Які напрямки розміщення оборотних коштів можна віднести до високоліквідних активів:</w:t>
      </w:r>
    </w:p>
    <w:p w:rsidR="00D87DD0" w:rsidRPr="00CE4F69" w:rsidRDefault="00D87DD0" w:rsidP="004F7FBA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матеріальні оборотні активи;</w:t>
      </w:r>
    </w:p>
    <w:p w:rsidR="00D87DD0" w:rsidRPr="00CE4F69" w:rsidRDefault="00D87DD0" w:rsidP="004F7FBA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товари відвантажені;</w:t>
      </w:r>
    </w:p>
    <w:p w:rsidR="00D87DD0" w:rsidRPr="00CE4F69" w:rsidRDefault="00D87DD0" w:rsidP="004F7FBA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дебіторська заборгованість;</w:t>
      </w:r>
    </w:p>
    <w:p w:rsidR="00D87DD0" w:rsidRPr="00CE4F69" w:rsidRDefault="00D87DD0" w:rsidP="004F7FBA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гроші на банківських рахунках і в касі підприємства.</w:t>
      </w:r>
    </w:p>
    <w:p w:rsidR="00D87DD0" w:rsidRPr="00CE4F69" w:rsidRDefault="00D87DD0" w:rsidP="004F7FBA">
      <w:pPr>
        <w:pStyle w:val="1"/>
        <w:keepNext w:val="0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4F69">
        <w:rPr>
          <w:noProof/>
          <w:color w:val="000000"/>
          <w:sz w:val="28"/>
          <w:szCs w:val="28"/>
        </w:rPr>
        <w:t>3.</w:t>
      </w:r>
      <w:r w:rsidR="004F7FBA" w:rsidRPr="00CE4F69">
        <w:rPr>
          <w:noProof/>
          <w:color w:val="000000"/>
          <w:sz w:val="28"/>
          <w:szCs w:val="28"/>
        </w:rPr>
        <w:t xml:space="preserve"> </w:t>
      </w:r>
      <w:r w:rsidRPr="00CE4F69">
        <w:rPr>
          <w:noProof/>
          <w:color w:val="000000"/>
          <w:sz w:val="28"/>
          <w:szCs w:val="28"/>
        </w:rPr>
        <w:t>За участю у виробничому процесі основні виробничі фонди поділяють на:</w:t>
      </w:r>
    </w:p>
    <w:p w:rsidR="00D87DD0" w:rsidRPr="00CE4F69" w:rsidRDefault="00D87DD0" w:rsidP="004F7FBA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власні та орендовані;</w:t>
      </w:r>
    </w:p>
    <w:p w:rsidR="00D87DD0" w:rsidRPr="00CE4F69" w:rsidRDefault="00D87DD0" w:rsidP="004F7FBA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пасивні та активні;</w:t>
      </w:r>
    </w:p>
    <w:p w:rsidR="00D87DD0" w:rsidRPr="00CE4F69" w:rsidRDefault="00D87DD0" w:rsidP="004F7FBA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виробничі й невиробничі;</w:t>
      </w:r>
    </w:p>
    <w:p w:rsidR="00D87DD0" w:rsidRPr="00CE4F69" w:rsidRDefault="00D87DD0" w:rsidP="004F7FBA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 xml:space="preserve">діяльні та бездіяльні. </w:t>
      </w:r>
    </w:p>
    <w:p w:rsidR="004F7FBA" w:rsidRPr="00CE4F69" w:rsidRDefault="00D87DD0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3. Розкрити сутність наступних категорій:</w:t>
      </w:r>
    </w:p>
    <w:p w:rsidR="00D87DD0" w:rsidRPr="00CE4F69" w:rsidRDefault="00D87DD0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Група основних фондів, дебітор, актив, норма оборотних коштів</w:t>
      </w:r>
    </w:p>
    <w:p w:rsidR="00D87DD0" w:rsidRPr="00CE4F69" w:rsidRDefault="00D87DD0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Задача</w:t>
      </w:r>
    </w:p>
    <w:p w:rsidR="00D87DD0" w:rsidRPr="00CE4F69" w:rsidRDefault="00D87DD0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Визначити норму амортизації і суму річних амортизаційних відрахувань для будівлі, якщо його вартість 8,5 тис. грн.</w:t>
      </w:r>
    </w:p>
    <w:p w:rsidR="00D87DD0" w:rsidRPr="00CE4F69" w:rsidRDefault="00D87DD0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4F7FBA" w:rsidRPr="00CE4F69" w:rsidRDefault="004F7FBA">
      <w:pPr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br w:type="page"/>
      </w:r>
    </w:p>
    <w:p w:rsidR="00D87DD0" w:rsidRPr="00CE4F69" w:rsidRDefault="004F7FBA" w:rsidP="004F7FB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ЗАЛІКОВИЙ МОДУЛЬ І. </w:t>
      </w:r>
      <w:r w:rsidR="00351562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Теоретичне питання</w:t>
      </w:r>
    </w:p>
    <w:p w:rsidR="004F7FBA" w:rsidRPr="00CE4F69" w:rsidRDefault="004F7FBA" w:rsidP="004F7FB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351562" w:rsidRPr="00CE4F69" w:rsidRDefault="00351562" w:rsidP="004F7FBA">
      <w:pPr>
        <w:pStyle w:val="a3"/>
        <w:numPr>
          <w:ilvl w:val="1"/>
          <w:numId w:val="16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Характеристика наявності, стану, руху та використанн</w:t>
      </w:r>
      <w:r w:rsidR="004F7FBA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я основних засобів підприємства</w:t>
      </w:r>
    </w:p>
    <w:p w:rsidR="004F7FBA" w:rsidRPr="00CE4F69" w:rsidRDefault="004F7FBA" w:rsidP="004F7FBA">
      <w:pPr>
        <w:pStyle w:val="Style13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</w:p>
    <w:p w:rsidR="00351562" w:rsidRPr="00CE4F69" w:rsidRDefault="00351562" w:rsidP="004F7FBA">
      <w:pPr>
        <w:pStyle w:val="Style13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Суб'єкти господарювання беруть участь у формуванні фінансових ресурсів місцевих органів влади, сплачуючи місцеві додатки і збори. Це має важливе значення для розвитку місцевої інфраструктури, яка забезпечує реалізацію соціальної та економічної політики держави.</w:t>
      </w:r>
    </w:p>
    <w:p w:rsidR="00351562" w:rsidRPr="00CE4F69" w:rsidRDefault="00351562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Сплачуючи місцеві податки і збори, суб'єкти господарювання убезпечують наповнення бюджетів місцевих, селищних і сільсь</w:t>
      </w:r>
      <w:r w:rsidR="00FB035C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ки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х рад фінансовими ресурсами, що, своєю чергою, справляє поставний вплив на діяльність підприємств.</w:t>
      </w:r>
    </w:p>
    <w:p w:rsidR="00351562" w:rsidRPr="00CE4F69" w:rsidRDefault="00351562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Перелік та порядок обчислення і сплати місцевих податків і зборів </w:t>
      </w:r>
      <w:r w:rsidRPr="00CE4F69">
        <w:rPr>
          <w:rStyle w:val="FontStyle18"/>
          <w:noProof/>
          <w:color w:val="000000"/>
          <w:sz w:val="28"/>
          <w:szCs w:val="28"/>
          <w:vertAlign w:val="subscript"/>
          <w:lang w:val="uk-UA" w:eastAsia="uk-UA"/>
        </w:rPr>
        <w:t>в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Україні було визначено Декретом Кабінету Міністрів від 20 трав</w:t>
      </w:r>
      <w:r w:rsidR="00FB035C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ня</w:t>
      </w:r>
      <w:r w:rsidRPr="00CE4F69">
        <w:rPr>
          <w:rStyle w:val="FontStyle15"/>
          <w:noProof/>
          <w:color w:val="000000"/>
          <w:sz w:val="28"/>
          <w:szCs w:val="28"/>
          <w:lang w:val="uk-UA" w:eastAsia="uk-UA"/>
        </w:rPr>
        <w:t xml:space="preserve">(і 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1993 року «Про місцеві податки і збори». Було встановлено 17 ви-</w:t>
      </w:r>
      <w:r w:rsidRPr="00CE4F69">
        <w:rPr>
          <w:rStyle w:val="FontStyle15"/>
          <w:noProof/>
          <w:color w:val="000000"/>
          <w:sz w:val="28"/>
          <w:szCs w:val="28"/>
          <w:lang w:val="uk-UA" w:eastAsia="uk-UA"/>
        </w:rPr>
        <w:t xml:space="preserve">діР 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платежів у місцеві бюджети для юридичних і фізичних осіб.</w:t>
      </w:r>
    </w:p>
    <w:p w:rsidR="00351562" w:rsidRPr="00CE4F69" w:rsidRDefault="00351562" w:rsidP="004F7FBA">
      <w:pPr>
        <w:pStyle w:val="Style1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Місцеві податки:</w:t>
      </w:r>
    </w:p>
    <w:p w:rsidR="00351562" w:rsidRPr="00CE4F69" w:rsidRDefault="00734411" w:rsidP="004F7FBA">
      <w:pPr>
        <w:pStyle w:val="Style6"/>
        <w:widowControl/>
        <w:tabs>
          <w:tab w:val="left" w:pos="442"/>
        </w:tabs>
        <w:spacing w:line="360" w:lineRule="auto"/>
        <w:ind w:firstLine="709"/>
        <w:jc w:val="both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-</w:t>
      </w:r>
      <w:r w:rsidR="004F7FBA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</w:t>
      </w:r>
      <w:r w:rsidR="00351562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комунальний податок;</w:t>
      </w:r>
    </w:p>
    <w:p w:rsidR="00351562" w:rsidRPr="00CE4F69" w:rsidRDefault="00734411" w:rsidP="004F7FBA">
      <w:pPr>
        <w:pStyle w:val="Style7"/>
        <w:widowControl/>
        <w:tabs>
          <w:tab w:val="left" w:pos="442"/>
        </w:tabs>
        <w:spacing w:line="360" w:lineRule="auto"/>
        <w:ind w:firstLine="709"/>
        <w:jc w:val="both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- </w:t>
      </w:r>
      <w:r w:rsidR="00351562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пода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ток на рекламу. Місцеві збори:</w:t>
      </w:r>
      <w:r w:rsidR="004F7FBA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-</w:t>
      </w:r>
      <w:r w:rsidR="004F7FBA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</w:t>
      </w:r>
      <w:r w:rsidR="00351562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ринковий збір;</w:t>
      </w:r>
    </w:p>
    <w:p w:rsidR="00351562" w:rsidRPr="00CE4F69" w:rsidRDefault="00734411" w:rsidP="004F7FBA">
      <w:pPr>
        <w:pStyle w:val="Style6"/>
        <w:widowControl/>
        <w:tabs>
          <w:tab w:val="left" w:pos="350"/>
        </w:tabs>
        <w:spacing w:line="360" w:lineRule="auto"/>
        <w:ind w:firstLine="709"/>
        <w:jc w:val="both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-</w:t>
      </w:r>
      <w:r w:rsidR="004F7FBA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</w:t>
      </w:r>
      <w:r w:rsidR="00351562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готельний збір;</w:t>
      </w:r>
    </w:p>
    <w:p w:rsidR="00734411" w:rsidRPr="00CE4F69" w:rsidRDefault="00734411" w:rsidP="004F7FBA">
      <w:pPr>
        <w:pStyle w:val="Style9"/>
        <w:widowControl/>
        <w:tabs>
          <w:tab w:val="left" w:pos="398"/>
        </w:tabs>
        <w:spacing w:line="360" w:lineRule="auto"/>
        <w:ind w:firstLine="709"/>
        <w:jc w:val="both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-</w:t>
      </w:r>
      <w:r w:rsidR="004F7FBA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</w:t>
      </w:r>
      <w:r w:rsidR="00351562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за право використання місцевої символіки; </w:t>
      </w:r>
    </w:p>
    <w:p w:rsidR="00351562" w:rsidRPr="00CE4F69" w:rsidRDefault="00734411" w:rsidP="004F7FBA">
      <w:pPr>
        <w:pStyle w:val="Style9"/>
        <w:widowControl/>
        <w:tabs>
          <w:tab w:val="left" w:pos="398"/>
        </w:tabs>
        <w:spacing w:line="360" w:lineRule="auto"/>
        <w:ind w:firstLine="709"/>
        <w:jc w:val="both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-</w:t>
      </w:r>
      <w:r w:rsidR="004F7FBA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</w:t>
      </w:r>
      <w:r w:rsidR="00351562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за паркування автотранспорту;</w:t>
      </w:r>
    </w:p>
    <w:p w:rsidR="00734411" w:rsidRPr="00CE4F69" w:rsidRDefault="00734411" w:rsidP="004F7FBA">
      <w:pPr>
        <w:pStyle w:val="Style8"/>
        <w:widowControl/>
        <w:tabs>
          <w:tab w:val="left" w:pos="418"/>
        </w:tabs>
        <w:spacing w:line="360" w:lineRule="auto"/>
        <w:ind w:firstLine="709"/>
        <w:jc w:val="both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-</w:t>
      </w:r>
      <w:r w:rsidR="004F7FBA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</w:t>
      </w:r>
      <w:r w:rsidR="00351562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за видачу дозволу на розміщення 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об’єктів</w:t>
      </w:r>
      <w:r w:rsidR="00351562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торгівлі та сфери послуг; </w:t>
      </w:r>
    </w:p>
    <w:p w:rsidR="00351562" w:rsidRPr="00CE4F69" w:rsidRDefault="00734411" w:rsidP="004F7FBA">
      <w:pPr>
        <w:pStyle w:val="Style8"/>
        <w:widowControl/>
        <w:tabs>
          <w:tab w:val="left" w:pos="418"/>
        </w:tabs>
        <w:spacing w:line="360" w:lineRule="auto"/>
        <w:ind w:firstLine="709"/>
        <w:jc w:val="both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-</w:t>
      </w:r>
      <w:r w:rsidR="004F7FBA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</w:t>
      </w:r>
      <w:r w:rsidR="00351562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за дозвіл на проведення місцевих аукціонів, конкурсного розпродажу і</w:t>
      </w:r>
      <w:r w:rsidR="004F7FBA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</w:t>
      </w:r>
      <w:r w:rsidR="00351562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лотерей;</w:t>
      </w:r>
    </w:p>
    <w:p w:rsidR="00351562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-</w:t>
      </w:r>
      <w:r w:rsidR="004F7FBA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</w:t>
      </w:r>
      <w:r w:rsidR="00351562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за право проведення 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кіно </w:t>
      </w:r>
      <w:r w:rsidR="00351562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і телезнімань;</w:t>
      </w:r>
    </w:p>
    <w:p w:rsidR="00351562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-</w:t>
      </w:r>
      <w:r w:rsidR="004F7FBA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</w:t>
      </w:r>
      <w:r w:rsidR="00351562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за проїзд по території прикордонних областей автотранспортом, що слідує</w:t>
      </w:r>
      <w:r w:rsidR="004F7FBA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</w:t>
      </w:r>
      <w:r w:rsidR="00351562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за кордон, та ін.</w:t>
      </w:r>
    </w:p>
    <w:p w:rsidR="004F7FBA" w:rsidRPr="00CE4F69" w:rsidRDefault="00351562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Особливості їх стягнення і впливу на фінансово-господарську діяльність суб'єктів господарювання полягають у такому:</w:t>
      </w:r>
    </w:p>
    <w:p w:rsidR="00351562" w:rsidRPr="00CE4F69" w:rsidRDefault="00351562" w:rsidP="004F7FBA">
      <w:pPr>
        <w:pStyle w:val="Style8"/>
        <w:widowControl/>
        <w:numPr>
          <w:ilvl w:val="0"/>
          <w:numId w:val="17"/>
        </w:numPr>
        <w:tabs>
          <w:tab w:val="left" w:pos="509"/>
        </w:tabs>
        <w:spacing w:line="360" w:lineRule="auto"/>
        <w:ind w:firstLine="709"/>
        <w:jc w:val="both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Місцеві податки і збори включають до складу валових витрат, що вираховуються зі скоригованого валового доходу, а отже, зменшують суму оподатковуваного прибутку.</w:t>
      </w:r>
    </w:p>
    <w:p w:rsidR="00351562" w:rsidRPr="00CE4F69" w:rsidRDefault="00546C0B" w:rsidP="004F7FBA">
      <w:pPr>
        <w:pStyle w:val="Style8"/>
        <w:widowControl/>
        <w:tabs>
          <w:tab w:val="left" w:pos="418"/>
        </w:tabs>
        <w:spacing w:line="360" w:lineRule="auto"/>
        <w:ind w:firstLine="709"/>
        <w:jc w:val="both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2.</w:t>
      </w:r>
      <w:r w:rsidR="004F7FBA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</w:t>
      </w:r>
      <w:r w:rsidR="00351562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Місцеві податки і збори суб'єкти господарювання відносять на витрати діяльності, що впливає на формування їх бухгалтерського прибутку.</w:t>
      </w:r>
    </w:p>
    <w:p w:rsidR="00351562" w:rsidRPr="00CE4F69" w:rsidRDefault="00351562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Органи місцевого самоврядування мають право:</w:t>
      </w:r>
    </w:p>
    <w:p w:rsidR="00351562" w:rsidRPr="00CE4F69" w:rsidRDefault="00351562" w:rsidP="004F7FBA">
      <w:pPr>
        <w:pStyle w:val="Style2"/>
        <w:widowControl/>
        <w:numPr>
          <w:ilvl w:val="0"/>
          <w:numId w:val="18"/>
        </w:numPr>
        <w:tabs>
          <w:tab w:val="left" w:pos="658"/>
        </w:tabs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запроваджувати тільки ті податки і збори, що передбачені законодавчими актами;</w:t>
      </w:r>
    </w:p>
    <w:p w:rsidR="00351562" w:rsidRPr="00CE4F69" w:rsidRDefault="00351562" w:rsidP="004F7FBA">
      <w:pPr>
        <w:pStyle w:val="Style8"/>
        <w:widowControl/>
        <w:numPr>
          <w:ilvl w:val="0"/>
          <w:numId w:val="18"/>
        </w:numPr>
        <w:tabs>
          <w:tab w:val="left" w:pos="418"/>
        </w:tabs>
        <w:spacing w:line="360" w:lineRule="auto"/>
        <w:ind w:firstLine="709"/>
        <w:jc w:val="both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установлювати ставки, що не перевищують граничних розмірів, передбачених законодавчими актами;</w:t>
      </w:r>
    </w:p>
    <w:p w:rsidR="00734411" w:rsidRPr="00CE4F69" w:rsidRDefault="00734411" w:rsidP="004F7FBA">
      <w:pPr>
        <w:pStyle w:val="Style8"/>
        <w:widowControl/>
        <w:numPr>
          <w:ilvl w:val="0"/>
          <w:numId w:val="18"/>
        </w:numPr>
        <w:tabs>
          <w:tab w:val="left" w:pos="418"/>
        </w:tabs>
        <w:spacing w:line="360" w:lineRule="auto"/>
        <w:ind w:firstLine="709"/>
        <w:jc w:val="both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установлювати додаткові пільги для окремих платників податків (визначення ставки, нижчої за мінімальну, або повне звільнення від податку</w:t>
      </w:r>
    </w:p>
    <w:p w:rsidR="00546C0B" w:rsidRPr="00CE4F69" w:rsidRDefault="00546C0B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7"/>
          <w:b w:val="0"/>
          <w:i w:val="0"/>
          <w:noProof/>
          <w:color w:val="000000"/>
          <w:sz w:val="28"/>
          <w:szCs w:val="28"/>
          <w:lang w:val="uk-UA" w:eastAsia="uk-UA"/>
        </w:rPr>
        <w:t>Комунальний податок.</w:t>
      </w:r>
      <w:r w:rsidRPr="00CE4F69">
        <w:rPr>
          <w:rStyle w:val="FontStyle17"/>
          <w:b w:val="0"/>
          <w:noProof/>
          <w:color w:val="000000"/>
          <w:sz w:val="28"/>
          <w:szCs w:val="28"/>
          <w:lang w:val="uk-UA" w:eastAsia="uk-UA"/>
        </w:rPr>
        <w:t xml:space="preserve"> 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Платниками податку згідно з декретом було визначено юридичних осіб усіх форм власності, що функціонують на території України.</w:t>
      </w:r>
    </w:p>
    <w:p w:rsidR="00546C0B" w:rsidRPr="00CE4F69" w:rsidRDefault="00546C0B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Об'єктом для розрахунку податку є фонд оплати праці, обчислений множенням середньоспискової кількості працівників на місячний неоподатковуваний мінімум доходів громадян. Граничний розмір ставки податку визначено у розмірі 10 % від об'єкта оподаткування (розрахункової величини фонду оплати праці). Податок сплачується щомісяця виходячи із суми об'єкта оподаткування за попередній місяць.</w:t>
      </w:r>
    </w:p>
    <w:p w:rsidR="00546C0B" w:rsidRPr="00CE4F69" w:rsidRDefault="00546C0B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7"/>
          <w:b w:val="0"/>
          <w:i w:val="0"/>
          <w:noProof/>
          <w:color w:val="000000"/>
          <w:sz w:val="28"/>
          <w:szCs w:val="28"/>
          <w:lang w:val="uk-UA" w:eastAsia="uk-UA"/>
        </w:rPr>
        <w:t>Податок з реклами</w:t>
      </w:r>
      <w:r w:rsidRPr="00CE4F69">
        <w:rPr>
          <w:rStyle w:val="FontStyle17"/>
          <w:b w:val="0"/>
          <w:noProof/>
          <w:color w:val="000000"/>
          <w:sz w:val="28"/>
          <w:szCs w:val="28"/>
          <w:lang w:val="uk-UA" w:eastAsia="uk-UA"/>
        </w:rPr>
        <w:t xml:space="preserve">. 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Платниками цього податку є суб'єкти підприємницької діяльності, їхні філії, відділення, представництва, постійні представництва нерезидентів, замовники реклами (рекламодавці), виробники і розповсюджувачі реклами.</w:t>
      </w:r>
    </w:p>
    <w:p w:rsidR="00546C0B" w:rsidRPr="00CE4F69" w:rsidRDefault="00546C0B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Податок з реклами стягується з усіх видів комерційних оголошень і повідомлень, що поширюються з допомогою засобів масової інформації (радіо, телебачення, преса), афіш, плакатів, рекламних щитів (на вулицях, магістралях, площах, будинках, на транспорті); або друкуються на спортивному одязі чи майні.</w:t>
      </w:r>
    </w:p>
    <w:p w:rsidR="00546C0B" w:rsidRPr="00CE4F69" w:rsidRDefault="00546C0B" w:rsidP="004F7FBA">
      <w:pPr>
        <w:pStyle w:val="Style2"/>
        <w:widowControl/>
        <w:spacing w:line="360" w:lineRule="auto"/>
        <w:ind w:firstLine="709"/>
        <w:rPr>
          <w:rStyle w:val="FontStyle19"/>
          <w:b w:val="0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За </w:t>
      </w:r>
      <w:r w:rsidRPr="00CE4F69">
        <w:rPr>
          <w:rStyle w:val="FontStyle18"/>
          <w:i/>
          <w:noProof/>
          <w:color w:val="000000"/>
          <w:sz w:val="28"/>
          <w:szCs w:val="28"/>
          <w:lang w:val="uk-UA" w:eastAsia="uk-UA"/>
        </w:rPr>
        <w:t>об'єкт оподаткування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беруть вартість послуг за встановлення і розміщення реклами. Ставки податку встановлюються місцевими органами самоврядування.</w:t>
      </w:r>
    </w:p>
    <w:p w:rsidR="00734411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9"/>
          <w:b w:val="0"/>
          <w:noProof/>
          <w:color w:val="000000"/>
          <w:sz w:val="28"/>
          <w:szCs w:val="28"/>
          <w:lang w:val="uk-UA" w:eastAsia="uk-UA"/>
        </w:rPr>
        <w:t xml:space="preserve">Збір за право за використання місцевої символіки. 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Об'єктом оподаткування є товари, роботи, послуги, виготовлені, виконані та надані з використанням місцевої символіки. База </w:t>
      </w:r>
      <w:r w:rsidR="00546C0B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оподаткування —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це їх вартість. Дозвіл на використання місцевої символіки видається сільськими, селищними та міськими радами.</w:t>
      </w:r>
    </w:p>
    <w:p w:rsidR="00734411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Платниками податку є суб'єкти підприємницької діяльності, які використовують місцеву символіку з метою одержання прибутку.</w:t>
      </w:r>
    </w:p>
    <w:p w:rsidR="00734411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9"/>
          <w:b w:val="0"/>
          <w:noProof/>
          <w:color w:val="000000"/>
          <w:sz w:val="28"/>
          <w:szCs w:val="28"/>
          <w:lang w:val="uk-UA" w:eastAsia="uk-UA"/>
        </w:rPr>
        <w:t xml:space="preserve">Ринковий збір. 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Платниками цього збору є юридичні особи всіх форм власності, їхні філії, представництва, установи, що не </w:t>
      </w:r>
      <w:r w:rsidRPr="00CE4F69">
        <w:rPr>
          <w:rStyle w:val="FontStyle19"/>
          <w:b w:val="0"/>
          <w:noProof/>
          <w:color w:val="000000"/>
          <w:sz w:val="28"/>
          <w:szCs w:val="28"/>
          <w:lang w:val="uk-UA" w:eastAsia="uk-UA"/>
        </w:rPr>
        <w:t xml:space="preserve">є 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юридичними особами, фізичні особи, які реалізують сільськогосподарську, промислову продукцію, інші товари на ринках усіх форм власності.</w:t>
      </w:r>
    </w:p>
    <w:p w:rsidR="00734411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Не справляється ринковий збір зі стаціонарних пунктів торгівлі чи надання послуг, які одержали дозвіл на розміщення своїх об'єктів, та здійснення діяльності на ринках.</w:t>
      </w:r>
    </w:p>
    <w:p w:rsidR="00734411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Ставки ринкового збору розраховують самостійно адміністрації ринків і переказують до місцевого бюджету.</w:t>
      </w:r>
    </w:p>
    <w:p w:rsidR="004F7FBA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Ставки збору диференційовано залежно від:</w:t>
      </w:r>
    </w:p>
    <w:p w:rsidR="00734411" w:rsidRPr="00CE4F69" w:rsidRDefault="00546C0B" w:rsidP="004F7FBA">
      <w:pPr>
        <w:pStyle w:val="Style2"/>
        <w:widowControl/>
        <w:tabs>
          <w:tab w:val="left" w:pos="658"/>
        </w:tabs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-</w:t>
      </w:r>
      <w:r w:rsidR="00734411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ab/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</w:t>
      </w:r>
      <w:r w:rsidR="00734411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виду сільськогосподарської та промислової продукції, що реалізується;</w:t>
      </w:r>
    </w:p>
    <w:p w:rsidR="004F7FBA" w:rsidRPr="00CE4F69" w:rsidRDefault="00734411" w:rsidP="004F7FBA">
      <w:pPr>
        <w:pStyle w:val="Style2"/>
        <w:widowControl/>
        <w:numPr>
          <w:ilvl w:val="0"/>
          <w:numId w:val="21"/>
        </w:numPr>
        <w:tabs>
          <w:tab w:val="left" w:pos="691"/>
        </w:tabs>
        <w:spacing w:line="360" w:lineRule="auto"/>
        <w:ind w:left="0"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категорії ринку, благоустрою торговельного місця;</w:t>
      </w:r>
    </w:p>
    <w:p w:rsidR="00734411" w:rsidRPr="00CE4F69" w:rsidRDefault="00546C0B" w:rsidP="004F7FBA">
      <w:pPr>
        <w:pStyle w:val="Style2"/>
        <w:widowControl/>
        <w:tabs>
          <w:tab w:val="left" w:pos="691"/>
        </w:tabs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-</w:t>
      </w:r>
      <w:r w:rsidR="004F7FBA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</w:t>
      </w:r>
      <w:r w:rsidR="00734411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статусу торговця (юридична чи фізична особа).</w:t>
      </w:r>
    </w:p>
    <w:p w:rsidR="00734411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9"/>
          <w:b w:val="0"/>
          <w:noProof/>
          <w:color w:val="000000"/>
          <w:sz w:val="28"/>
          <w:szCs w:val="28"/>
          <w:lang w:val="uk-UA" w:eastAsia="uk-UA"/>
        </w:rPr>
        <w:t xml:space="preserve">Збір за видачу дозволу на розміщення об'єктів торгівлі та сфери послуг. 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Об'єктом оподаткування є дозвіл на розміщення об'єктів торгівлі та сфери послуг. Платниками збору є юридичні й фізичні особи, які отримують такий дозвіл.</w:t>
      </w:r>
    </w:p>
    <w:p w:rsidR="00734411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Для визначення розміру ставки передбачається враховувати площу торговельного місця, його територіальне розміщення, вид продукції чи послуг.</w:t>
      </w:r>
    </w:p>
    <w:p w:rsidR="00734411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У 1998—1999 рр. було підготовлено два варіанти проекту закону «Про місцеві податки і збори». Вони передбачали зменшення загальної кількості таких податків і зборів, але водночас і запровадження кількох нових.</w:t>
      </w:r>
    </w:p>
    <w:p w:rsidR="00734411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Згідно з Законами України від 20.03.2004 р. № 641-IV «Про внесення змін в Декрет Кабінету Міністрів України "Про місцеві податки і збори"» та від3.04.2003 р. № 703-IV «Про внесення змін в деякі закони України» з 1.01.2004 внесено зміни в систему місцевих податків і зборів.</w:t>
      </w:r>
    </w:p>
    <w:p w:rsidR="00734411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1. Скасовано готельний збір та збір за проїзд по території прикордонних областей автотранспорту, що проїжджає за кордон.</w:t>
      </w:r>
    </w:p>
    <w:p w:rsidR="00734411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0"/>
          <w:noProof/>
          <w:color w:val="000000"/>
          <w:sz w:val="28"/>
          <w:szCs w:val="28"/>
          <w:lang w:val="uk-UA" w:eastAsia="uk-UA"/>
        </w:rPr>
        <w:t xml:space="preserve">Готельний збір 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не міг перевищувати 20% добової вартості проживання в готелі незалежно від терміну проживання. Готельний збір був поширений також на кемпінги, мотелі. Скасування цього збору сприятиме розвитку екскурсійно-туристичного бізнесу в Україні.</w:t>
      </w:r>
    </w:p>
    <w:p w:rsidR="00734411" w:rsidRPr="00CE4F69" w:rsidRDefault="00734411" w:rsidP="004F7FBA">
      <w:pPr>
        <w:pStyle w:val="Style10"/>
        <w:widowControl/>
        <w:spacing w:line="360" w:lineRule="auto"/>
        <w:ind w:firstLine="709"/>
        <w:jc w:val="both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0"/>
          <w:noProof/>
          <w:color w:val="000000"/>
          <w:sz w:val="28"/>
          <w:szCs w:val="28"/>
          <w:lang w:val="uk-UA" w:eastAsia="uk-UA"/>
        </w:rPr>
        <w:t xml:space="preserve">Збір за проїзд по території прикордонних областей автотранспортом, що проїжджає за кордон. 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Стягувався залежно від марки і потужності автомобіля з юридичних осіб і громадян:</w:t>
      </w:r>
    </w:p>
    <w:p w:rsidR="00734411" w:rsidRPr="00CE4F69" w:rsidRDefault="00734411" w:rsidP="004F7FBA">
      <w:pPr>
        <w:pStyle w:val="Style2"/>
        <w:widowControl/>
        <w:tabs>
          <w:tab w:val="left" w:pos="566"/>
        </w:tabs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—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ab/>
      </w:r>
      <w:r w:rsidR="00546C0B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України — у розмірі до 0,5 неоподатковуваного прибутковим податком мінімуму доходів громадян;</w:t>
      </w:r>
    </w:p>
    <w:p w:rsidR="00734411" w:rsidRPr="00CE4F69" w:rsidRDefault="00734411" w:rsidP="004F7FBA">
      <w:pPr>
        <w:pStyle w:val="Style2"/>
        <w:widowControl/>
        <w:numPr>
          <w:ilvl w:val="0"/>
          <w:numId w:val="18"/>
        </w:numPr>
        <w:tabs>
          <w:tab w:val="left" w:pos="581"/>
        </w:tabs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інших держав — у розмірі від 5 до 50 доларів СІЛА.</w:t>
      </w:r>
    </w:p>
    <w:p w:rsidR="00734411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Скасування цього збору позитивно вплине на фінансово-господарську діяльність перевізників, а також сприятиме зростанню значення України як транзитної держави.</w:t>
      </w:r>
    </w:p>
    <w:p w:rsidR="00734411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2. Уведено </w:t>
      </w:r>
      <w:r w:rsidRPr="00CE4F69">
        <w:rPr>
          <w:rStyle w:val="FontStyle20"/>
          <w:noProof/>
          <w:color w:val="000000"/>
          <w:sz w:val="28"/>
          <w:szCs w:val="28"/>
          <w:lang w:val="uk-UA" w:eastAsia="uk-UA"/>
        </w:rPr>
        <w:t xml:space="preserve">«Збір за проведення гастрольних заходів». 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Мета цього збору — формування фонду бюджетів на підтримку вітчизняних закладів, підприємств і організацій культури, творчих колективів, окремих виконавців.</w:t>
      </w:r>
    </w:p>
    <w:p w:rsidR="00734411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Платниками цього збору є організатори гастрольних заходів. Об'єкт оподаткування — виручка від реалізації білетів на гастрольний захід. Ставка оподатковування — 3 % виручки від реалізації білетів на гастрольний захід.</w:t>
      </w:r>
      <w:r w:rsidRPr="00CE4F69">
        <w:rPr>
          <w:rStyle w:val="FontStyle20"/>
          <w:noProof/>
          <w:color w:val="000000"/>
          <w:sz w:val="28"/>
          <w:szCs w:val="28"/>
          <w:lang w:val="uk-UA" w:eastAsia="uk-UA"/>
        </w:rPr>
        <w:t xml:space="preserve"> </w:t>
      </w: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Термін сплати — протягом 20 календарних днів, наступних за датою завершення гастрольного заходу.</w:t>
      </w:r>
    </w:p>
    <w:p w:rsidR="00546C0B" w:rsidRPr="00CE4F69" w:rsidRDefault="00734411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Дальше вдосконалення системи місцевих податків і зборів передбачене в підготовленому проекті Податкового кодексу України. У ньому сформульовано суттєві зміни стосовно до встановлення місцевих податків і зборів, зокрема, скорочується їх загальна кількість.</w:t>
      </w:r>
    </w:p>
    <w:p w:rsidR="00546C0B" w:rsidRPr="00CE4F69" w:rsidRDefault="00546C0B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</w:p>
    <w:p w:rsidR="00546C0B" w:rsidRPr="00CE4F69" w:rsidRDefault="007E0A68" w:rsidP="004F7FBA">
      <w:pPr>
        <w:pStyle w:val="Style2"/>
        <w:widowControl/>
        <w:spacing w:line="360" w:lineRule="auto"/>
        <w:ind w:firstLine="709"/>
        <w:rPr>
          <w:rStyle w:val="FontStyle18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>1.2</w:t>
      </w:r>
      <w:r w:rsidR="002E4A43" w:rsidRPr="00CE4F69">
        <w:rPr>
          <w:rStyle w:val="FontStyle18"/>
          <w:noProof/>
          <w:color w:val="000000"/>
          <w:sz w:val="28"/>
          <w:szCs w:val="28"/>
          <w:lang w:val="uk-UA" w:eastAsia="uk-UA"/>
        </w:rPr>
        <w:t xml:space="preserve"> Відповіді на тестові завдання</w:t>
      </w:r>
    </w:p>
    <w:p w:rsidR="007E0A68" w:rsidRPr="00CE4F69" w:rsidRDefault="007E0A68" w:rsidP="004F7FBA">
      <w:pPr>
        <w:pStyle w:val="1"/>
        <w:keepNext w:val="0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7E0A68" w:rsidRPr="00CE4F69" w:rsidRDefault="007E0A68" w:rsidP="004F7FBA">
      <w:pPr>
        <w:pStyle w:val="1"/>
        <w:keepNext w:val="0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4F69">
        <w:rPr>
          <w:noProof/>
          <w:color w:val="000000"/>
          <w:sz w:val="28"/>
          <w:szCs w:val="28"/>
        </w:rPr>
        <w:t>1 Назвіть об’єкт оподаткування для обчислення ПДВ на вироблену продукцію:</w:t>
      </w:r>
    </w:p>
    <w:p w:rsidR="007E0A68" w:rsidRPr="00CE4F69" w:rsidRDefault="007E0A68" w:rsidP="004F7FBA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собівартість продукції;</w:t>
      </w:r>
    </w:p>
    <w:p w:rsidR="007E0A68" w:rsidRPr="00CE4F69" w:rsidRDefault="007E0A68" w:rsidP="004F7FBA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вартість продукції в оптових цінах;</w:t>
      </w:r>
    </w:p>
    <w:p w:rsidR="007E0A68" w:rsidRPr="00CE4F69" w:rsidRDefault="007E0A68" w:rsidP="004F7FBA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відпускна ціна, включаючи акцизний збір;</w:t>
      </w:r>
    </w:p>
    <w:p w:rsidR="007E0A68" w:rsidRPr="00CE4F69" w:rsidRDefault="007E0A68" w:rsidP="004F7FBA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відпускна ціна, включаючи акцизний збір і ПДВ.</w:t>
      </w:r>
    </w:p>
    <w:p w:rsidR="007E0A68" w:rsidRPr="00CE4F69" w:rsidRDefault="007E0A68" w:rsidP="004F7FBA">
      <w:pPr>
        <w:pStyle w:val="1"/>
        <w:keepNext w:val="0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4F69">
        <w:rPr>
          <w:noProof/>
          <w:color w:val="000000"/>
          <w:sz w:val="28"/>
          <w:szCs w:val="28"/>
        </w:rPr>
        <w:t>2</w:t>
      </w:r>
      <w:r w:rsidR="004F7FBA" w:rsidRPr="00CE4F69">
        <w:rPr>
          <w:noProof/>
          <w:color w:val="000000"/>
          <w:sz w:val="28"/>
          <w:szCs w:val="28"/>
        </w:rPr>
        <w:t xml:space="preserve"> </w:t>
      </w:r>
      <w:r w:rsidRPr="00CE4F69">
        <w:rPr>
          <w:noProof/>
          <w:color w:val="000000"/>
          <w:sz w:val="28"/>
          <w:szCs w:val="28"/>
        </w:rPr>
        <w:t>Контроль за цільовим використанням кредиту здійснюється:</w:t>
      </w:r>
    </w:p>
    <w:p w:rsidR="007E0A68" w:rsidRPr="00CE4F69" w:rsidRDefault="007E0A68" w:rsidP="004F7FBA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Національним банком;</w:t>
      </w:r>
    </w:p>
    <w:p w:rsidR="007E0A68" w:rsidRPr="00CE4F69" w:rsidRDefault="007E0A68" w:rsidP="004F7FBA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комерційними банками;</w:t>
      </w:r>
    </w:p>
    <w:p w:rsidR="007E0A68" w:rsidRPr="00CE4F69" w:rsidRDefault="007E0A68" w:rsidP="004F7FBA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підприємствами;</w:t>
      </w:r>
    </w:p>
    <w:p w:rsidR="007E0A68" w:rsidRPr="00CE4F69" w:rsidRDefault="007E0A68" w:rsidP="004F7FBA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контрольно-ревізійними управліннями.</w:t>
      </w:r>
    </w:p>
    <w:p w:rsidR="007E0A68" w:rsidRPr="00CE4F69" w:rsidRDefault="007E0A68" w:rsidP="004F7FBA">
      <w:pPr>
        <w:pStyle w:val="1"/>
        <w:keepNext w:val="0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4F69">
        <w:rPr>
          <w:noProof/>
          <w:color w:val="000000"/>
          <w:sz w:val="28"/>
          <w:szCs w:val="28"/>
        </w:rPr>
        <w:t>3 До складу власних і прирівняних до власних джерел фінансових ресурсів входять:</w:t>
      </w:r>
    </w:p>
    <w:p w:rsidR="007E0A68" w:rsidRPr="00CE4F69" w:rsidRDefault="007E0A68" w:rsidP="004F7FBA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статутний капітал;</w:t>
      </w:r>
    </w:p>
    <w:p w:rsidR="007E0A68" w:rsidRPr="00CE4F69" w:rsidRDefault="007E0A68" w:rsidP="004F7FBA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цільові внески юридичних і фізичних осіб;</w:t>
      </w:r>
    </w:p>
    <w:p w:rsidR="007E0A68" w:rsidRPr="00CE4F69" w:rsidRDefault="007E0A68" w:rsidP="004F7FBA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короткострокові кредити банків;</w:t>
      </w:r>
    </w:p>
    <w:p w:rsidR="007E0A68" w:rsidRPr="00CE4F69" w:rsidRDefault="007E0A68" w:rsidP="004F7FBA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субсидії бюджетні;</w:t>
      </w:r>
    </w:p>
    <w:p w:rsidR="007E0A68" w:rsidRPr="00CE4F69" w:rsidRDefault="007E0A68" w:rsidP="004F7FBA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страхові відшкодування.</w:t>
      </w:r>
    </w:p>
    <w:p w:rsidR="002E4A43" w:rsidRPr="00CE4F69" w:rsidRDefault="002E4A43" w:rsidP="004F7FBA">
      <w:pPr>
        <w:pStyle w:val="a4"/>
        <w:spacing w:after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</w:p>
    <w:p w:rsidR="002E4A43" w:rsidRPr="00CE4F69" w:rsidRDefault="002E4A43">
      <w:pP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CE4F69">
        <w:rPr>
          <w:noProof/>
          <w:color w:val="000000"/>
          <w:sz w:val="28"/>
          <w:szCs w:val="28"/>
          <w:lang w:val="uk-UA"/>
        </w:rPr>
        <w:br w:type="page"/>
      </w:r>
    </w:p>
    <w:p w:rsidR="00FB035C" w:rsidRPr="00CE4F69" w:rsidRDefault="00FB035C" w:rsidP="002E4A43">
      <w:pPr>
        <w:pStyle w:val="a4"/>
        <w:spacing w:after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1.3 Сутність наступних категорій:</w:t>
      </w:r>
      <w:r w:rsidR="002E4A43" w:rsidRPr="00CE4F69">
        <w:rPr>
          <w:noProof/>
          <w:color w:val="000000"/>
          <w:sz w:val="28"/>
          <w:szCs w:val="28"/>
          <w:lang w:val="uk-UA"/>
        </w:rPr>
        <w:t xml:space="preserve"> </w:t>
      </w:r>
      <w:r w:rsidRPr="00CE4F69">
        <w:rPr>
          <w:noProof/>
          <w:color w:val="000000"/>
          <w:sz w:val="28"/>
          <w:szCs w:val="28"/>
          <w:lang w:val="uk-UA"/>
        </w:rPr>
        <w:t>Кредитування, власний капітал, самофінансування, фіксована ціна</w:t>
      </w:r>
    </w:p>
    <w:p w:rsidR="00A2582B" w:rsidRPr="00CE4F69" w:rsidRDefault="00A2582B" w:rsidP="004F7FB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FB035C" w:rsidRPr="00CE4F69" w:rsidRDefault="00FB035C" w:rsidP="004F7FB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Кредитування – це надання суб'єктові підприємництва банківських кредитів на засадах платності, строковості і повернення. </w:t>
      </w:r>
    </w:p>
    <w:p w:rsidR="00FB035C" w:rsidRPr="00CE4F69" w:rsidRDefault="00FB035C" w:rsidP="004F7FB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Власний капітал – це </w:t>
      </w:r>
      <w:r w:rsidR="00A2582B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частина активів підприємства,що залишається після вирахування його зобов'язань.</w:t>
      </w:r>
    </w:p>
    <w:p w:rsidR="00A2582B" w:rsidRPr="00CE4F69" w:rsidRDefault="00A2582B" w:rsidP="004F7FB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Самофінансування – фінансування діяльності підприємства за рахунок власних фінансових ресурсів.</w:t>
      </w:r>
    </w:p>
    <w:p w:rsidR="00A2582B" w:rsidRPr="00CE4F69" w:rsidRDefault="00A2582B" w:rsidP="004F7FB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Фіксована ціна – незмінна відпускна ціна на окремі види продукції, робіт, послуг. </w:t>
      </w:r>
    </w:p>
    <w:p w:rsidR="00A2582B" w:rsidRPr="00CE4F69" w:rsidRDefault="00A2582B" w:rsidP="004F7FB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FB035C" w:rsidRPr="00CE4F69" w:rsidRDefault="00A2582B" w:rsidP="004F7FBA">
      <w:pPr>
        <w:pStyle w:val="a4"/>
        <w:spacing w:after="0" w:line="360" w:lineRule="auto"/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 xml:space="preserve">1.4 </w:t>
      </w:r>
      <w:r w:rsidR="002E4A43" w:rsidRPr="00CE4F69">
        <w:rPr>
          <w:noProof/>
          <w:color w:val="000000"/>
          <w:sz w:val="28"/>
          <w:szCs w:val="28"/>
          <w:lang w:val="uk-UA"/>
        </w:rPr>
        <w:t>Задача</w:t>
      </w:r>
    </w:p>
    <w:p w:rsidR="00A2582B" w:rsidRPr="00CE4F69" w:rsidRDefault="00A2582B" w:rsidP="004F7FBA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A2582B" w:rsidRPr="00CE4F69" w:rsidRDefault="00A2582B" w:rsidP="004F7FBA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Розрахувати відсутні елементи в графіку погашення кредиту: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461"/>
        <w:gridCol w:w="2109"/>
        <w:gridCol w:w="2109"/>
        <w:gridCol w:w="1784"/>
        <w:gridCol w:w="2108"/>
      </w:tblGrid>
      <w:tr w:rsidR="002E4A43" w:rsidRPr="00ED00DA" w:rsidTr="00ED00DA">
        <w:trPr>
          <w:trHeight w:val="23"/>
        </w:trPr>
        <w:tc>
          <w:tcPr>
            <w:tcW w:w="763" w:type="pct"/>
            <w:shd w:val="clear" w:color="auto" w:fill="auto"/>
          </w:tcPr>
          <w:p w:rsidR="00A2582B" w:rsidRPr="00ED00DA" w:rsidRDefault="00A2582B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Термін погашення кредиту, квартали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A2582B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Сума основного боргу на початок періоду, грн.</w:t>
            </w:r>
          </w:p>
        </w:tc>
        <w:tc>
          <w:tcPr>
            <w:tcW w:w="1102" w:type="pct"/>
            <w:shd w:val="clear" w:color="auto" w:fill="auto"/>
          </w:tcPr>
          <w:p w:rsidR="004F7FBA" w:rsidRPr="00ED00DA" w:rsidRDefault="00A2582B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Сума відсотків за даний період, грн.</w:t>
            </w:r>
          </w:p>
          <w:p w:rsidR="00A2582B" w:rsidRPr="00ED00DA" w:rsidRDefault="00EE1393" w:rsidP="00ED00DA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6% квартал</w:t>
            </w:r>
          </w:p>
        </w:tc>
        <w:tc>
          <w:tcPr>
            <w:tcW w:w="932" w:type="pct"/>
            <w:shd w:val="clear" w:color="auto" w:fill="auto"/>
          </w:tcPr>
          <w:p w:rsidR="00A2582B" w:rsidRPr="00ED00DA" w:rsidRDefault="00A2582B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Сума виплати боргу, грн.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A2582B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Сума погашення основного боргу, грн.</w:t>
            </w:r>
          </w:p>
        </w:tc>
      </w:tr>
      <w:tr w:rsidR="00A2582B" w:rsidRPr="00ED00DA" w:rsidTr="00ED00DA">
        <w:trPr>
          <w:trHeight w:val="23"/>
        </w:trPr>
        <w:tc>
          <w:tcPr>
            <w:tcW w:w="763" w:type="pct"/>
            <w:shd w:val="clear" w:color="auto" w:fill="auto"/>
          </w:tcPr>
          <w:p w:rsidR="00A2582B" w:rsidRPr="00ED00DA" w:rsidRDefault="00A2582B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1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300000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A2582B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18000.00</w:t>
            </w:r>
          </w:p>
        </w:tc>
        <w:tc>
          <w:tcPr>
            <w:tcW w:w="932" w:type="pct"/>
            <w:shd w:val="clear" w:color="auto" w:fill="auto"/>
          </w:tcPr>
          <w:p w:rsidR="00A2582B" w:rsidRPr="00ED00DA" w:rsidRDefault="004F7FBA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 xml:space="preserve"> </w:t>
            </w:r>
            <w:r w:rsidR="00A2582B"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61008.78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43008.78</w:t>
            </w:r>
          </w:p>
        </w:tc>
      </w:tr>
      <w:tr w:rsidR="00A2582B" w:rsidRPr="00ED00DA" w:rsidTr="00ED00DA">
        <w:trPr>
          <w:trHeight w:val="23"/>
        </w:trPr>
        <w:tc>
          <w:tcPr>
            <w:tcW w:w="763" w:type="pct"/>
            <w:shd w:val="clear" w:color="auto" w:fill="auto"/>
          </w:tcPr>
          <w:p w:rsidR="00A2582B" w:rsidRPr="00ED00DA" w:rsidRDefault="00A2582B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2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43008.78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2580.52</w:t>
            </w:r>
          </w:p>
        </w:tc>
        <w:tc>
          <w:tcPr>
            <w:tcW w:w="93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61008.78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58428.26</w:t>
            </w:r>
          </w:p>
        </w:tc>
      </w:tr>
      <w:tr w:rsidR="00A2582B" w:rsidRPr="00ED00DA" w:rsidTr="00ED00DA">
        <w:trPr>
          <w:trHeight w:val="23"/>
        </w:trPr>
        <w:tc>
          <w:tcPr>
            <w:tcW w:w="763" w:type="pct"/>
            <w:shd w:val="clear" w:color="auto" w:fill="auto"/>
          </w:tcPr>
          <w:p w:rsidR="00A2582B" w:rsidRPr="00ED00DA" w:rsidRDefault="00A2582B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3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58428.26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3505.70</w:t>
            </w:r>
          </w:p>
        </w:tc>
        <w:tc>
          <w:tcPr>
            <w:tcW w:w="93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61008.78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58503.08</w:t>
            </w:r>
          </w:p>
        </w:tc>
      </w:tr>
      <w:tr w:rsidR="00A2582B" w:rsidRPr="00ED00DA" w:rsidTr="00ED00DA">
        <w:trPr>
          <w:trHeight w:val="23"/>
        </w:trPr>
        <w:tc>
          <w:tcPr>
            <w:tcW w:w="763" w:type="pct"/>
            <w:shd w:val="clear" w:color="auto" w:fill="auto"/>
          </w:tcPr>
          <w:p w:rsidR="00A2582B" w:rsidRPr="00ED00DA" w:rsidRDefault="00A2582B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4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58503.08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3510.18</w:t>
            </w:r>
          </w:p>
        </w:tc>
        <w:tc>
          <w:tcPr>
            <w:tcW w:w="93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61008.78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60698.60</w:t>
            </w:r>
          </w:p>
        </w:tc>
      </w:tr>
      <w:tr w:rsidR="00A2582B" w:rsidRPr="00ED00DA" w:rsidTr="00ED00DA">
        <w:trPr>
          <w:trHeight w:val="23"/>
        </w:trPr>
        <w:tc>
          <w:tcPr>
            <w:tcW w:w="763" w:type="pct"/>
            <w:shd w:val="clear" w:color="auto" w:fill="auto"/>
          </w:tcPr>
          <w:p w:rsidR="00A2582B" w:rsidRPr="00ED00DA" w:rsidRDefault="00A2582B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5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60698.60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3641.92</w:t>
            </w:r>
          </w:p>
        </w:tc>
        <w:tc>
          <w:tcPr>
            <w:tcW w:w="93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61008.78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57366.86</w:t>
            </w:r>
          </w:p>
        </w:tc>
      </w:tr>
      <w:tr w:rsidR="00A2582B" w:rsidRPr="00ED00DA" w:rsidTr="00ED00DA">
        <w:trPr>
          <w:trHeight w:val="23"/>
        </w:trPr>
        <w:tc>
          <w:tcPr>
            <w:tcW w:w="763" w:type="pct"/>
            <w:shd w:val="clear" w:color="auto" w:fill="auto"/>
          </w:tcPr>
          <w:p w:rsidR="00A2582B" w:rsidRPr="00ED00DA" w:rsidRDefault="00A2582B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6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EE1393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57366.86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EE1393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3442.01</w:t>
            </w:r>
          </w:p>
        </w:tc>
        <w:tc>
          <w:tcPr>
            <w:tcW w:w="93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61008.78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946677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57566.77</w:t>
            </w:r>
          </w:p>
        </w:tc>
      </w:tr>
      <w:tr w:rsidR="00A2582B" w:rsidRPr="00ED00DA" w:rsidTr="00ED00DA">
        <w:trPr>
          <w:trHeight w:val="23"/>
        </w:trPr>
        <w:tc>
          <w:tcPr>
            <w:tcW w:w="763" w:type="pct"/>
            <w:shd w:val="clear" w:color="auto" w:fill="auto"/>
          </w:tcPr>
          <w:p w:rsidR="00A2582B" w:rsidRPr="00ED00DA" w:rsidRDefault="00A2582B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Разом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4F7FBA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 xml:space="preserve"> </w:t>
            </w:r>
            <w:r w:rsidR="00EE1393"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578005.58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EE1393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3468.33</w:t>
            </w:r>
          </w:p>
        </w:tc>
        <w:tc>
          <w:tcPr>
            <w:tcW w:w="932" w:type="pct"/>
            <w:shd w:val="clear" w:color="auto" w:fill="auto"/>
          </w:tcPr>
          <w:p w:rsidR="00A2582B" w:rsidRPr="00ED00DA" w:rsidRDefault="004F7FBA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 xml:space="preserve"> </w:t>
            </w:r>
            <w:r w:rsidR="00A2582B"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366052.68</w:t>
            </w:r>
          </w:p>
        </w:tc>
        <w:tc>
          <w:tcPr>
            <w:tcW w:w="1102" w:type="pct"/>
            <w:shd w:val="clear" w:color="auto" w:fill="auto"/>
          </w:tcPr>
          <w:p w:rsidR="00A2582B" w:rsidRPr="00ED00DA" w:rsidRDefault="004F7FBA" w:rsidP="00ED00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</w:pPr>
            <w:r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 xml:space="preserve"> </w:t>
            </w:r>
            <w:r w:rsidR="00A2582B" w:rsidRPr="00ED00DA">
              <w:rPr>
                <w:rFonts w:ascii="Times New Roman" w:hAnsi="Times New Roman"/>
                <w:noProof/>
                <w:color w:val="000000"/>
                <w:sz w:val="20"/>
                <w:szCs w:val="24"/>
                <w:lang w:val="uk-UA"/>
              </w:rPr>
              <w:t>300000.00</w:t>
            </w:r>
          </w:p>
        </w:tc>
      </w:tr>
    </w:tbl>
    <w:p w:rsidR="00A2582B" w:rsidRPr="00CE4F69" w:rsidRDefault="00A2582B" w:rsidP="004F7FBA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Кредит видається під 24% річних.</w:t>
      </w:r>
    </w:p>
    <w:p w:rsidR="00A2582B" w:rsidRPr="00CE4F69" w:rsidRDefault="00A2582B" w:rsidP="004F7FBA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2E4A43" w:rsidRPr="00CE4F69" w:rsidRDefault="002E4A43">
      <w:pPr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br w:type="page"/>
      </w:r>
    </w:p>
    <w:p w:rsidR="003454FE" w:rsidRPr="00CE4F69" w:rsidRDefault="002E4A43" w:rsidP="004F7FBA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Заліковий модуль </w:t>
      </w:r>
      <w:r w:rsidR="00A2582B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ІІ</w:t>
      </w: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. </w:t>
      </w:r>
      <w:r w:rsidR="003454FE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Теоретичне питання</w:t>
      </w:r>
    </w:p>
    <w:p w:rsidR="002E4A43" w:rsidRPr="00CE4F69" w:rsidRDefault="002E4A43" w:rsidP="004F7FB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8A5C8C" w:rsidRPr="00CE4F69" w:rsidRDefault="003454FE" w:rsidP="004F7FB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2.1 </w:t>
      </w:r>
      <w:r w:rsidR="008A5C8C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Характеристика наявності, стану, руху та використанн</w:t>
      </w:r>
      <w:r w:rsidR="002E4A43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я основних засобів підприємства</w:t>
      </w:r>
    </w:p>
    <w:p w:rsidR="002E4A43" w:rsidRPr="00CE4F69" w:rsidRDefault="002E4A43" w:rsidP="004F7FBA">
      <w:pPr>
        <w:pStyle w:val="Style5"/>
        <w:widowControl/>
        <w:spacing w:line="360" w:lineRule="auto"/>
        <w:ind w:firstLine="709"/>
        <w:rPr>
          <w:rStyle w:val="FontStyle25"/>
          <w:noProof/>
          <w:color w:val="000000"/>
          <w:sz w:val="28"/>
          <w:szCs w:val="28"/>
          <w:lang w:val="uk-UA" w:eastAsia="uk-UA"/>
        </w:rPr>
      </w:pPr>
    </w:p>
    <w:p w:rsidR="008A5C8C" w:rsidRPr="00CE4F69" w:rsidRDefault="008A5C8C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5"/>
          <w:noProof/>
          <w:color w:val="000000"/>
          <w:sz w:val="28"/>
          <w:szCs w:val="28"/>
          <w:lang w:val="uk-UA" w:eastAsia="uk-UA"/>
        </w:rPr>
        <w:t xml:space="preserve">Основні засоби </w:t>
      </w: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— це матеріальні активи, очікуваний строк корисного використання (експлуатації) котрих становить понад один рік і які підприємство утримує з метою використання їх у процесі виробництва чи постачання товарів, надання послуг, здавання в оренду іншим особам, для здійснення адміністративних і соціально-культурних функцій (або використання в процесі операційного циклу, якщо він триваліший за один рік).</w:t>
      </w:r>
    </w:p>
    <w:p w:rsidR="008A5C8C" w:rsidRPr="00CE4F69" w:rsidRDefault="008A5C8C" w:rsidP="004F7FBA">
      <w:pPr>
        <w:pStyle w:val="Style10"/>
        <w:widowControl/>
        <w:spacing w:line="360" w:lineRule="auto"/>
        <w:ind w:firstLine="709"/>
        <w:jc w:val="both"/>
        <w:rPr>
          <w:rStyle w:val="FontStyle25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5"/>
          <w:noProof/>
          <w:color w:val="000000"/>
          <w:sz w:val="28"/>
          <w:szCs w:val="28"/>
          <w:lang w:val="uk-UA" w:eastAsia="uk-UA"/>
        </w:rPr>
        <w:t>Не належать до основних засобів:</w:t>
      </w:r>
    </w:p>
    <w:p w:rsidR="008A5C8C" w:rsidRPr="00CE4F69" w:rsidRDefault="008A5C8C" w:rsidP="004F7FBA">
      <w:pPr>
        <w:pStyle w:val="Style7"/>
        <w:widowControl/>
        <w:numPr>
          <w:ilvl w:val="0"/>
          <w:numId w:val="24"/>
        </w:numPr>
        <w:tabs>
          <w:tab w:val="left" w:pos="576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предмети терміном служби меншим за один рік незалежно від їхньої вартості;</w:t>
      </w:r>
    </w:p>
    <w:p w:rsidR="008A5C8C" w:rsidRPr="00CE4F69" w:rsidRDefault="008A5C8C" w:rsidP="004F7FBA">
      <w:pPr>
        <w:pStyle w:val="Style7"/>
        <w:widowControl/>
        <w:numPr>
          <w:ilvl w:val="0"/>
          <w:numId w:val="24"/>
        </w:numPr>
        <w:tabs>
          <w:tab w:val="left" w:pos="576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предмети вартістю до 600 гривень за одиницю (за ціною придбання) незалежно від терміну служби. Гранична вартість предметів, що не належать до основних засобів, може змінюватися Міністерством фінансів України;</w:t>
      </w:r>
    </w:p>
    <w:p w:rsidR="008A5C8C" w:rsidRPr="00CE4F69" w:rsidRDefault="008A5C8C" w:rsidP="004F7FBA">
      <w:pPr>
        <w:pStyle w:val="Style7"/>
        <w:widowControl/>
        <w:numPr>
          <w:ilvl w:val="0"/>
          <w:numId w:val="25"/>
        </w:numPr>
        <w:tabs>
          <w:tab w:val="left" w:pos="566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 xml:space="preserve">спеціальні інструменти </w:t>
      </w:r>
      <w:r w:rsidRPr="00CE4F69">
        <w:rPr>
          <w:rStyle w:val="FontStyle23"/>
          <w:rFonts w:ascii="Times New Roman" w:hAnsi="Times New Roman" w:cs="Times New Roman"/>
          <w:smallCaps w:val="0"/>
          <w:noProof/>
          <w:color w:val="000000"/>
          <w:sz w:val="28"/>
          <w:szCs w:val="28"/>
          <w:lang w:val="uk-UA" w:eastAsia="uk-UA"/>
        </w:rPr>
        <w:t xml:space="preserve">і </w:t>
      </w: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спеціальні пристосування для підприємств серійного і масового виробництва певних виробів або для виконання індивідуальних замовлень незалежно від їхньої вартості;</w:t>
      </w:r>
    </w:p>
    <w:p w:rsidR="008A5C8C" w:rsidRPr="00CE4F69" w:rsidRDefault="008A5C8C" w:rsidP="004F7FBA">
      <w:pPr>
        <w:pStyle w:val="Style7"/>
        <w:widowControl/>
        <w:numPr>
          <w:ilvl w:val="0"/>
          <w:numId w:val="25"/>
        </w:numPr>
        <w:tabs>
          <w:tab w:val="left" w:pos="566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спеціальний одяг, спеціальне взуття, а також постільні речі незалежно від їхньої вартості і терміну служби;</w:t>
      </w:r>
    </w:p>
    <w:p w:rsidR="008A5C8C" w:rsidRPr="00CE4F69" w:rsidRDefault="008A5C8C" w:rsidP="004F7FBA">
      <w:pPr>
        <w:pStyle w:val="Style7"/>
        <w:widowControl/>
        <w:numPr>
          <w:ilvl w:val="0"/>
          <w:numId w:val="25"/>
        </w:numPr>
        <w:tabs>
          <w:tab w:val="left" w:pos="566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формений одяг, призначений для видачі працівникам підприємства, незалежно від вартості й терміну служби.</w:t>
      </w:r>
    </w:p>
    <w:p w:rsidR="008A5C8C" w:rsidRPr="00CE4F69" w:rsidRDefault="008A5C8C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Перелічені вище малоцінні необоротні матеріальні активи не відносять до основних засобів у тому разі, коли суб'єкти господарювання вибрали метод нарахування амортизації основних засобів, передбачений податковим законодавством. Якщо підприємство вибрало інший метод нарахування амортизації, передбачений П(С)БО №7, тоді вартісні ознаки предметів, які можна віднести до малоцінних і швидкозношуваних, визначаються суб'єктом господарювання самостійно. Згідно з податковим законодавством щодо нарахування амортизації основні засоби поділяються на виробничі та невиробничі основні фонди.</w:t>
      </w:r>
    </w:p>
    <w:p w:rsidR="008A5C8C" w:rsidRPr="00CE4F69" w:rsidRDefault="008A5C8C" w:rsidP="004F7FBA">
      <w:pPr>
        <w:pStyle w:val="Style4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Виробничі основні фонди є частиною основних засобів, яка бере участь у процесі виробництва тривалий час, зберігаючи при цьому натуральну форму. Вартість основних виробничих фондів переноситься на вироблений Підвищення ефективності використання основних засобів підприємств є одним з основних питань у період переходу до ринкових відносин. Від розв'язання цієї проблеми залежить фінансовий стан підприємства, конкурентоспроможність його продукції на ринку.</w:t>
      </w:r>
    </w:p>
    <w:p w:rsidR="008A5C8C" w:rsidRPr="00CE4F69" w:rsidRDefault="008A5C8C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продукт поступово, частинами, у міру використання. Поновлюються основні виробничі фонди через капітальні інвестиції.</w:t>
      </w:r>
    </w:p>
    <w:p w:rsidR="008A5C8C" w:rsidRPr="00CE4F69" w:rsidRDefault="008A5C8C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5"/>
          <w:noProof/>
          <w:color w:val="000000"/>
          <w:sz w:val="28"/>
          <w:szCs w:val="28"/>
          <w:lang w:val="uk-UA" w:eastAsia="uk-UA"/>
        </w:rPr>
        <w:t xml:space="preserve">Невиробничі основні фонди </w:t>
      </w: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— це житлові будинки та інші об'єкти соціально-культурного й побутового обслуговування, які не використовуються в господарській діяльності, але перебувають на балансі підприємства.</w:t>
      </w:r>
    </w:p>
    <w:p w:rsidR="008A5C8C" w:rsidRPr="00CE4F69" w:rsidRDefault="008A5C8C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На відміну від виробничих, невиробничі основні фонди не беруть участі в процесі виробництва і не переносять своєї вартості на вироблений продукт. Відтворюються вони тільки за рахунок прибутку, який залишається в розпорядженні підприємства. Незважаючи на те що невиробничі основні фонди безпосередньо не впливають на обсяг виробництва, збільшення цих засобів пов'язане з поліпшенням добробуту працівників підприємства. Це в кінцевому підсумку позитивно позначається на результатах діяльності підприємства, на зростанні продуктивності праці.</w:t>
      </w:r>
    </w:p>
    <w:p w:rsidR="008A5C8C" w:rsidRPr="00CE4F69" w:rsidRDefault="008A5C8C" w:rsidP="004F7FBA">
      <w:pPr>
        <w:pStyle w:val="Style10"/>
        <w:widowControl/>
        <w:spacing w:line="360" w:lineRule="auto"/>
        <w:ind w:firstLine="709"/>
        <w:jc w:val="both"/>
        <w:rPr>
          <w:rStyle w:val="FontStyle25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5"/>
          <w:noProof/>
          <w:color w:val="000000"/>
          <w:sz w:val="28"/>
          <w:szCs w:val="28"/>
          <w:lang w:val="uk-UA" w:eastAsia="uk-UA"/>
        </w:rPr>
        <w:t>За П(С)БО основні виробничі фонди поділяються на такі групи:</w:t>
      </w:r>
    </w:p>
    <w:p w:rsidR="008A5C8C" w:rsidRPr="00CE4F69" w:rsidRDefault="008A5C8C" w:rsidP="004F7FBA">
      <w:pPr>
        <w:pStyle w:val="Style1"/>
        <w:widowControl/>
        <w:spacing w:line="360" w:lineRule="auto"/>
        <w:ind w:firstLine="709"/>
        <w:rPr>
          <w:rStyle w:val="FontStyle26"/>
          <w:b w:val="0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6"/>
          <w:b w:val="0"/>
          <w:noProof/>
          <w:color w:val="000000"/>
          <w:sz w:val="28"/>
          <w:szCs w:val="28"/>
          <w:lang w:val="uk-UA" w:eastAsia="uk-UA"/>
        </w:rPr>
        <w:t>І. Основні засоби</w:t>
      </w:r>
    </w:p>
    <w:p w:rsidR="008A5C8C" w:rsidRPr="00CE4F69" w:rsidRDefault="008A5C8C" w:rsidP="004F7FBA">
      <w:pPr>
        <w:pStyle w:val="Style7"/>
        <w:widowControl/>
        <w:numPr>
          <w:ilvl w:val="0"/>
          <w:numId w:val="26"/>
        </w:numPr>
        <w:tabs>
          <w:tab w:val="left" w:pos="538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Будинки, споруди та передавальні пристрої.</w:t>
      </w:r>
    </w:p>
    <w:p w:rsidR="008A5C8C" w:rsidRPr="00CE4F69" w:rsidRDefault="008A5C8C" w:rsidP="004F7FBA">
      <w:pPr>
        <w:pStyle w:val="Style7"/>
        <w:widowControl/>
        <w:numPr>
          <w:ilvl w:val="0"/>
          <w:numId w:val="26"/>
        </w:numPr>
        <w:tabs>
          <w:tab w:val="left" w:pos="538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Машини та обладнання.</w:t>
      </w:r>
    </w:p>
    <w:p w:rsidR="008A5C8C" w:rsidRPr="00CE4F69" w:rsidRDefault="008A5C8C" w:rsidP="004F7FBA">
      <w:pPr>
        <w:pStyle w:val="Style7"/>
        <w:widowControl/>
        <w:numPr>
          <w:ilvl w:val="0"/>
          <w:numId w:val="26"/>
        </w:numPr>
        <w:tabs>
          <w:tab w:val="left" w:pos="538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Транспортні засоби.</w:t>
      </w:r>
    </w:p>
    <w:p w:rsidR="008A5C8C" w:rsidRPr="00CE4F69" w:rsidRDefault="008A5C8C" w:rsidP="004F7FBA">
      <w:pPr>
        <w:pStyle w:val="Style7"/>
        <w:widowControl/>
        <w:numPr>
          <w:ilvl w:val="0"/>
          <w:numId w:val="26"/>
        </w:numPr>
        <w:tabs>
          <w:tab w:val="left" w:pos="538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Інструменти, прилади, інвентар (меблі).</w:t>
      </w:r>
    </w:p>
    <w:p w:rsidR="008A5C8C" w:rsidRPr="00CE4F69" w:rsidRDefault="008A5C8C" w:rsidP="004F7FBA">
      <w:pPr>
        <w:pStyle w:val="Style7"/>
        <w:widowControl/>
        <w:numPr>
          <w:ilvl w:val="0"/>
          <w:numId w:val="26"/>
        </w:numPr>
        <w:tabs>
          <w:tab w:val="left" w:pos="538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Інші основні засоби.</w:t>
      </w:r>
    </w:p>
    <w:p w:rsidR="008A5C8C" w:rsidRPr="00CE4F69" w:rsidRDefault="008A5C8C" w:rsidP="004F7FBA">
      <w:pPr>
        <w:pStyle w:val="Style1"/>
        <w:widowControl/>
        <w:spacing w:line="360" w:lineRule="auto"/>
        <w:ind w:firstLine="709"/>
        <w:rPr>
          <w:rStyle w:val="FontStyle26"/>
          <w:b w:val="0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6"/>
          <w:b w:val="0"/>
          <w:noProof/>
          <w:color w:val="000000"/>
          <w:sz w:val="28"/>
          <w:szCs w:val="28"/>
          <w:lang w:val="uk-UA" w:eastAsia="uk-UA"/>
        </w:rPr>
        <w:t>II. Інші необоротні матеріальні активи</w:t>
      </w:r>
    </w:p>
    <w:p w:rsidR="008A5C8C" w:rsidRPr="00CE4F69" w:rsidRDefault="008A5C8C" w:rsidP="004F7FBA">
      <w:pPr>
        <w:pStyle w:val="Style16"/>
        <w:widowControl/>
        <w:numPr>
          <w:ilvl w:val="0"/>
          <w:numId w:val="27"/>
        </w:numPr>
        <w:tabs>
          <w:tab w:val="left" w:pos="542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Бібліотечні фонди.</w:t>
      </w:r>
    </w:p>
    <w:p w:rsidR="00FD0E05" w:rsidRPr="00CE4F69" w:rsidRDefault="008A5C8C" w:rsidP="004F7FBA">
      <w:pPr>
        <w:pStyle w:val="Style16"/>
        <w:widowControl/>
        <w:numPr>
          <w:ilvl w:val="0"/>
          <w:numId w:val="27"/>
        </w:numPr>
        <w:tabs>
          <w:tab w:val="left" w:pos="542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 xml:space="preserve">Малоцінні необоротні матеріальні активи. </w:t>
      </w:r>
    </w:p>
    <w:p w:rsidR="008A5C8C" w:rsidRPr="00CE4F69" w:rsidRDefault="008A5C8C" w:rsidP="004F7FBA">
      <w:pPr>
        <w:pStyle w:val="Style16"/>
        <w:widowControl/>
        <w:numPr>
          <w:ilvl w:val="0"/>
          <w:numId w:val="27"/>
        </w:numPr>
        <w:tabs>
          <w:tab w:val="left" w:pos="542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Тимчасові (</w:t>
      </w:r>
      <w:r w:rsidR="00FD0E05"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не титульні</w:t>
      </w: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) споруди.</w:t>
      </w:r>
    </w:p>
    <w:p w:rsidR="008A5C8C" w:rsidRPr="00CE4F69" w:rsidRDefault="008A5C8C" w:rsidP="004F7FBA">
      <w:pPr>
        <w:pStyle w:val="Style16"/>
        <w:widowControl/>
        <w:numPr>
          <w:ilvl w:val="0"/>
          <w:numId w:val="28"/>
        </w:numPr>
        <w:tabs>
          <w:tab w:val="left" w:pos="542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Інвентарна тара.</w:t>
      </w:r>
    </w:p>
    <w:p w:rsidR="008A5C8C" w:rsidRPr="00CE4F69" w:rsidRDefault="008A5C8C" w:rsidP="004F7FBA">
      <w:pPr>
        <w:pStyle w:val="Style16"/>
        <w:widowControl/>
        <w:numPr>
          <w:ilvl w:val="0"/>
          <w:numId w:val="28"/>
        </w:numPr>
        <w:tabs>
          <w:tab w:val="left" w:pos="542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Інші необоротні матеріальні активи.</w:t>
      </w:r>
    </w:p>
    <w:p w:rsidR="004F7FBA" w:rsidRPr="00CE4F69" w:rsidRDefault="008A5C8C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Співвідношення окремих груп основних засобів становить їхню структуру. Поліпшення структури основних засобів, передовсім підвищення питомої ваги активної їх частини, сприяє зростанню виробництва, зниженню собівартості продукції, збільшенню грошових нагромаджень підприємства.</w:t>
      </w:r>
    </w:p>
    <w:p w:rsidR="004F7FBA" w:rsidRPr="00CE4F69" w:rsidRDefault="008A5C8C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Для обчислення амортизаційних відрахувань з метою визначення оподатковуваного прибутку основні засоби поділяють на такі групи:</w:t>
      </w:r>
    </w:p>
    <w:p w:rsidR="004F7FBA" w:rsidRPr="00CE4F69" w:rsidRDefault="008A5C8C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5"/>
          <w:i w:val="0"/>
          <w:noProof/>
          <w:color w:val="000000"/>
          <w:sz w:val="28"/>
          <w:szCs w:val="28"/>
          <w:lang w:val="uk-UA" w:eastAsia="uk-UA"/>
        </w:rPr>
        <w:t xml:space="preserve">Група </w:t>
      </w:r>
      <w:r w:rsidRPr="00CE4F69">
        <w:rPr>
          <w:rStyle w:val="FontStyle21"/>
          <w:rFonts w:ascii="Times New Roman" w:hAnsi="Times New Roman" w:cs="Times New Roman"/>
          <w:i w:val="0"/>
          <w:noProof/>
          <w:color w:val="000000"/>
          <w:sz w:val="28"/>
          <w:szCs w:val="28"/>
          <w:lang w:val="uk-UA" w:eastAsia="uk-UA"/>
        </w:rPr>
        <w:t>1</w:t>
      </w:r>
      <w:r w:rsidRPr="00CE4F69">
        <w:rPr>
          <w:rStyle w:val="FontStyle21"/>
          <w:rFonts w:ascii="Times New Roman" w:hAnsi="Times New Roman" w:cs="Times New Roman"/>
          <w:noProof/>
          <w:color w:val="000000"/>
          <w:sz w:val="28"/>
          <w:szCs w:val="28"/>
          <w:lang w:val="uk-UA" w:eastAsia="uk-UA"/>
        </w:rPr>
        <w:t xml:space="preserve"> </w:t>
      </w: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— будівлі, споруди, їхні структурні компоненти, передавальні пристрої.</w:t>
      </w:r>
    </w:p>
    <w:p w:rsidR="004F7FBA" w:rsidRPr="00CE4F69" w:rsidRDefault="008A5C8C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5"/>
          <w:i w:val="0"/>
          <w:noProof/>
          <w:color w:val="000000"/>
          <w:sz w:val="28"/>
          <w:szCs w:val="28"/>
          <w:lang w:val="uk-UA" w:eastAsia="uk-UA"/>
        </w:rPr>
        <w:t>Група 2</w:t>
      </w:r>
      <w:r w:rsidRPr="00CE4F69">
        <w:rPr>
          <w:rStyle w:val="FontStyle25"/>
          <w:noProof/>
          <w:color w:val="000000"/>
          <w:sz w:val="28"/>
          <w:szCs w:val="28"/>
          <w:lang w:val="uk-UA" w:eastAsia="uk-UA"/>
        </w:rPr>
        <w:t xml:space="preserve"> </w:t>
      </w: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— автомобільний транспорт та вузли (запасні частини) до нього; меблі; побутові електронні, оптичні, електромеханічні прилади та інструменти</w:t>
      </w:r>
      <w:r w:rsidR="00FD0E05"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 xml:space="preserve"> </w:t>
      </w:r>
    </w:p>
    <w:p w:rsidR="008A5C8C" w:rsidRPr="00CE4F69" w:rsidRDefault="008A5C8C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5"/>
          <w:i w:val="0"/>
          <w:noProof/>
          <w:color w:val="000000"/>
          <w:sz w:val="28"/>
          <w:szCs w:val="28"/>
          <w:lang w:val="uk-UA" w:eastAsia="uk-UA"/>
        </w:rPr>
        <w:t>Група 3</w:t>
      </w:r>
      <w:r w:rsidRPr="00CE4F69">
        <w:rPr>
          <w:rStyle w:val="FontStyle25"/>
          <w:noProof/>
          <w:color w:val="000000"/>
          <w:sz w:val="28"/>
          <w:szCs w:val="28"/>
          <w:lang w:val="uk-UA" w:eastAsia="uk-UA"/>
        </w:rPr>
        <w:t xml:space="preserve"> </w:t>
      </w: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— робочі машини й устаткування, вимірювальні й регулювальні прилади.</w:t>
      </w:r>
    </w:p>
    <w:p w:rsidR="00FD0E05" w:rsidRPr="00CE4F69" w:rsidRDefault="008A5C8C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5"/>
          <w:i w:val="0"/>
          <w:noProof/>
          <w:color w:val="000000"/>
          <w:sz w:val="28"/>
          <w:szCs w:val="28"/>
          <w:lang w:val="uk-UA" w:eastAsia="uk-UA"/>
        </w:rPr>
        <w:t>Група 4</w:t>
      </w:r>
      <w:r w:rsidRPr="00CE4F69">
        <w:rPr>
          <w:rStyle w:val="FontStyle25"/>
          <w:noProof/>
          <w:color w:val="000000"/>
          <w:sz w:val="28"/>
          <w:szCs w:val="28"/>
          <w:lang w:val="uk-UA" w:eastAsia="uk-UA"/>
        </w:rPr>
        <w:t xml:space="preserve"> </w:t>
      </w: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 xml:space="preserve">— </w:t>
      </w:r>
      <w:r w:rsidR="00FD0E05"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електронно-обчислювальні</w:t>
      </w: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 xml:space="preserve"> машини, інші машини для автоматичного оброблення інформації, їх програмне забезпечення, пов'язані з ними засоби зчитування або друку інформації, інші інформаційні</w:t>
      </w:r>
      <w:r w:rsidR="00FD0E05"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 xml:space="preserve"> системи, телефони (у тому числі стільникові), мікрофони і рації, вартість яких </w:t>
      </w:r>
      <w:r w:rsidR="00FD0E05" w:rsidRPr="00CE4F69">
        <w:rPr>
          <w:rStyle w:val="FontStyle27"/>
          <w:b w:val="0"/>
          <w:noProof/>
          <w:color w:val="000000"/>
          <w:sz w:val="28"/>
          <w:szCs w:val="28"/>
          <w:lang w:val="uk-UA" w:eastAsia="uk-UA"/>
        </w:rPr>
        <w:t xml:space="preserve">перевищує </w:t>
      </w:r>
      <w:r w:rsidR="00FD0E05"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вартість малоцінних товарів (предметів).</w:t>
      </w:r>
    </w:p>
    <w:p w:rsidR="00FD0E05" w:rsidRPr="00CE4F69" w:rsidRDefault="00FD0E05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Підприємству</w:t>
      </w:r>
      <w:r w:rsidR="004F7FBA"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 xml:space="preserve"> </w:t>
      </w: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байдуже, в яку групу основних виробничих засобів укладати кошти. Воно заінтересоване в оптимальному підвищенні питомої ваги машин, устаткування, тобто активної частини основних засобів, які обслуговують процес виробництва і характеризують виробничі можливості підприємства. Ясна річ, що для забезпечення нормального функціонування активних елементів основних виробничих засобів необхідні будівлі, споруди, інвентар, тобто пасивна частина основних засобів.</w:t>
      </w:r>
    </w:p>
    <w:p w:rsidR="00FD0E05" w:rsidRPr="00CE4F69" w:rsidRDefault="00FD0E05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Структура основних засобів є різною в різних галузях промисловості, народного господарства. Наприклад, у промисловості України частка будівель у загальній вартості основних засобів найвища в легкій та харчовій промисловості (близько 44 %); споруд — у паливній промисловості (17%); передавальних пристроїв — в електроенергетиці (32 %); устаткування та робочих машин — на підприємствах машинобудівного комплексу (45 %).</w:t>
      </w:r>
    </w:p>
    <w:p w:rsidR="00FD0E05" w:rsidRPr="00CE4F69" w:rsidRDefault="00FD0E05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Основними факторами, які впливають на структуру основних засобів підприємств, є: рівень автоматизації і механізації, рівень спеціалізації і кооперування, кліматичні та географічні умови розміщення підприємств. Кожний фактор по-різному впливає на структуру основних засобів. Поліпшити структуру основних засобів можна за рахунок: оновлення та модернізації устаткування; ефективнішого використання виробничих приміщень; установлення додаткового устаткування на вільній площі; ліквідації зайвого й малоефективного устаткування.</w:t>
      </w:r>
    </w:p>
    <w:p w:rsidR="00FD0E05" w:rsidRPr="00CE4F69" w:rsidRDefault="00FD0E05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Відтворення основних засобів — це процес безперервного їх поновлення. Розрізняють просте та розширене відтворення.</w:t>
      </w:r>
    </w:p>
    <w:p w:rsidR="00FD0E05" w:rsidRPr="00CE4F69" w:rsidRDefault="00FD0E05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5"/>
          <w:i w:val="0"/>
          <w:noProof/>
          <w:color w:val="000000"/>
          <w:sz w:val="28"/>
          <w:szCs w:val="28"/>
          <w:lang w:val="uk-UA" w:eastAsia="uk-UA"/>
        </w:rPr>
        <w:t>За простого відтворення</w:t>
      </w:r>
      <w:r w:rsidRPr="00CE4F69">
        <w:rPr>
          <w:rStyle w:val="FontStyle25"/>
          <w:noProof/>
          <w:color w:val="000000"/>
          <w:sz w:val="28"/>
          <w:szCs w:val="28"/>
          <w:lang w:val="uk-UA" w:eastAsia="uk-UA"/>
        </w:rPr>
        <w:t xml:space="preserve"> </w:t>
      </w: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основних засобів здійснюється заміна окремих зношених частин основних засобів або заміна старого устаткування на аналогічне, тобто в процесі простого відтворення постійно відновлюється попередня виробнича потужність.</w:t>
      </w:r>
    </w:p>
    <w:p w:rsidR="00FD0E05" w:rsidRPr="00CE4F69" w:rsidRDefault="00FD0E05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5"/>
          <w:i w:val="0"/>
          <w:noProof/>
          <w:color w:val="000000"/>
          <w:sz w:val="28"/>
          <w:szCs w:val="28"/>
          <w:lang w:val="uk-UA" w:eastAsia="uk-UA"/>
        </w:rPr>
        <w:t>Розширене відтворення</w:t>
      </w:r>
      <w:r w:rsidRPr="00CE4F69">
        <w:rPr>
          <w:rStyle w:val="FontStyle25"/>
          <w:noProof/>
          <w:color w:val="000000"/>
          <w:sz w:val="28"/>
          <w:szCs w:val="28"/>
          <w:lang w:val="uk-UA" w:eastAsia="uk-UA"/>
        </w:rPr>
        <w:t xml:space="preserve"> </w:t>
      </w: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передбачає кількісне та якісне збільшення діючих основних засобів або придбання нових основних засобів, які забезпечують вищий рівень продуктивності устаткування.</w:t>
      </w:r>
    </w:p>
    <w:p w:rsidR="00FD0E05" w:rsidRPr="00CE4F69" w:rsidRDefault="00FD0E05" w:rsidP="004F7FBA">
      <w:pPr>
        <w:pStyle w:val="Style9"/>
        <w:widowControl/>
        <w:spacing w:line="360" w:lineRule="auto"/>
        <w:ind w:firstLine="709"/>
        <w:jc w:val="both"/>
        <w:rPr>
          <w:rStyle w:val="FontStyle25"/>
          <w:i w:val="0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5"/>
          <w:i w:val="0"/>
          <w:noProof/>
          <w:color w:val="000000"/>
          <w:sz w:val="28"/>
          <w:szCs w:val="28"/>
          <w:lang w:val="uk-UA" w:eastAsia="uk-UA"/>
        </w:rPr>
        <w:t>Процес відтворення основних засобів має низку характерних ознак, зокрема:</w:t>
      </w:r>
    </w:p>
    <w:p w:rsidR="00FD0E05" w:rsidRPr="00CE4F69" w:rsidRDefault="00FD0E05" w:rsidP="004F7FBA">
      <w:pPr>
        <w:pStyle w:val="Style7"/>
        <w:widowControl/>
        <w:numPr>
          <w:ilvl w:val="0"/>
          <w:numId w:val="29"/>
        </w:numPr>
        <w:tabs>
          <w:tab w:val="left" w:pos="566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основні засоби поступово переносять свою вартість на вироблену продукцію;</w:t>
      </w:r>
    </w:p>
    <w:p w:rsidR="00FD0E05" w:rsidRPr="00CE4F69" w:rsidRDefault="00FD0E05" w:rsidP="004F7FBA">
      <w:pPr>
        <w:pStyle w:val="Style7"/>
        <w:widowControl/>
        <w:numPr>
          <w:ilvl w:val="0"/>
          <w:numId w:val="29"/>
        </w:numPr>
        <w:tabs>
          <w:tab w:val="left" w:pos="566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у процесі відтворення основних засобів одночасно відбувається рух їхньої споживчої вартості та вартості;</w:t>
      </w:r>
    </w:p>
    <w:p w:rsidR="00FD0E05" w:rsidRPr="00CE4F69" w:rsidRDefault="00FD0E05" w:rsidP="004F7FBA">
      <w:pPr>
        <w:pStyle w:val="Style7"/>
        <w:widowControl/>
        <w:numPr>
          <w:ilvl w:val="0"/>
          <w:numId w:val="29"/>
        </w:numPr>
        <w:tabs>
          <w:tab w:val="left" w:pos="566"/>
        </w:tabs>
        <w:spacing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за допомогою амортизаційних відрахувань здійснюється нагромадження в грошовій формі частково перенесеної вартості основних засобів на готову продукцію;</w:t>
      </w:r>
    </w:p>
    <w:p w:rsidR="00FD0E05" w:rsidRPr="00CE4F69" w:rsidRDefault="00FD0E05" w:rsidP="004F7FBA">
      <w:pPr>
        <w:pStyle w:val="Style5"/>
        <w:widowControl/>
        <w:numPr>
          <w:ilvl w:val="0"/>
          <w:numId w:val="29"/>
        </w:numPr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основні засоби поновлюються в натуральній формі протягом тривалого часу.</w:t>
      </w:r>
    </w:p>
    <w:p w:rsidR="00FD0E05" w:rsidRPr="00CE4F69" w:rsidRDefault="00FD0E05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У процесі господарської діяльності кругообіг основних засобів проходить три стадії.</w:t>
      </w:r>
    </w:p>
    <w:p w:rsidR="00FD0E05" w:rsidRPr="00CE4F69" w:rsidRDefault="00FD0E05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5"/>
          <w:i w:val="0"/>
          <w:noProof/>
          <w:color w:val="000000"/>
          <w:sz w:val="28"/>
          <w:szCs w:val="28"/>
          <w:lang w:val="uk-UA" w:eastAsia="uk-UA"/>
        </w:rPr>
        <w:t>На першій стадії</w:t>
      </w:r>
      <w:r w:rsidRPr="00CE4F69">
        <w:rPr>
          <w:rStyle w:val="FontStyle25"/>
          <w:noProof/>
          <w:color w:val="000000"/>
          <w:sz w:val="28"/>
          <w:szCs w:val="28"/>
          <w:lang w:val="uk-UA" w:eastAsia="uk-UA"/>
        </w:rPr>
        <w:t xml:space="preserve"> </w:t>
      </w: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відбувається продуктивне використання основних засобів та нарахування амортизаційних відрахувань. На цій стадії основні засоби в процесі експлуатації зношуються й нараховується сума зносу. Вона є підставою для списання суми амортизаційних відрахувань на витрати після завершення процесу виробництва. На першій стадії кругообігу основних засобів втрачається споживна вартість засобів праці, їхня вартість переноситься на вартість готової продукції.</w:t>
      </w:r>
    </w:p>
    <w:p w:rsidR="00FD0E05" w:rsidRPr="00CE4F69" w:rsidRDefault="00FD0E05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5"/>
          <w:i w:val="0"/>
          <w:noProof/>
          <w:color w:val="000000"/>
          <w:sz w:val="28"/>
          <w:szCs w:val="28"/>
          <w:lang w:val="uk-UA" w:eastAsia="uk-UA"/>
        </w:rPr>
        <w:t>На другій стадії</w:t>
      </w:r>
      <w:r w:rsidRPr="00CE4F69">
        <w:rPr>
          <w:rStyle w:val="FontStyle25"/>
          <w:noProof/>
          <w:color w:val="000000"/>
          <w:sz w:val="28"/>
          <w:szCs w:val="28"/>
          <w:lang w:val="uk-UA" w:eastAsia="uk-UA"/>
        </w:rPr>
        <w:t xml:space="preserve"> </w:t>
      </w: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відбувається перетворення частини основних засобів, які перебували в продуктивній формі, на грошові кошти через нарахування амортизаційних відрахувань.</w:t>
      </w:r>
    </w:p>
    <w:p w:rsidR="00FD0E05" w:rsidRPr="00CE4F69" w:rsidRDefault="00FD0E05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5"/>
          <w:i w:val="0"/>
          <w:noProof/>
          <w:color w:val="000000"/>
          <w:sz w:val="28"/>
          <w:szCs w:val="28"/>
          <w:lang w:val="uk-UA" w:eastAsia="uk-UA"/>
        </w:rPr>
        <w:t>На третій стадії</w:t>
      </w:r>
      <w:r w:rsidRPr="00CE4F69">
        <w:rPr>
          <w:rStyle w:val="FontStyle25"/>
          <w:noProof/>
          <w:color w:val="000000"/>
          <w:sz w:val="28"/>
          <w:szCs w:val="28"/>
          <w:lang w:val="uk-UA" w:eastAsia="uk-UA"/>
        </w:rPr>
        <w:t xml:space="preserve"> </w:t>
      </w: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в процесі виробництва відбувається поновлення споживної вартості частини основних засобів. Це поновлення здійснюється заміною зношених основних засобів на нові за рахунок нарахованої суми зносу основних засобів.</w:t>
      </w:r>
    </w:p>
    <w:p w:rsidR="00FD0E05" w:rsidRPr="00CE4F69" w:rsidRDefault="00FD0E05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 xml:space="preserve">Просте відтворення основних засобів здійснюється у двох формах: </w:t>
      </w:r>
    </w:p>
    <w:p w:rsidR="00FD0E05" w:rsidRPr="00CE4F69" w:rsidRDefault="00FD0E05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 xml:space="preserve">1) заміна зношених або застарілих основних засобів; </w:t>
      </w:r>
    </w:p>
    <w:p w:rsidR="00FD0E05" w:rsidRPr="00CE4F69" w:rsidRDefault="00FD0E05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2) капітальний ремонт діючих основних засобів.</w:t>
      </w:r>
    </w:p>
    <w:p w:rsidR="00FD0E05" w:rsidRPr="00CE4F69" w:rsidRDefault="00FD0E05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За простого відтворення, як уже було сказано, в кожному наступному циклі відбувається створення основних засобів у попередніх обсягах та з однаковою якістю. Джерелом фінансування заміни зношених основних засобів є нарахована сума амортизації. За розширеного відтворення кожного наступного циклу здійснюється кількісне і якісне зростання основних засобів. Джерелом фінансування таких змін є використання частини створеного додаткового продукту.</w:t>
      </w:r>
    </w:p>
    <w:p w:rsidR="004F7FBA" w:rsidRPr="00CE4F69" w:rsidRDefault="00FD0E05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val="uk-UA" w:eastAsia="uk-UA"/>
        </w:rPr>
        <w:t>Необхідність оновлення основних засобів за ринкових відносин визначається передовсім конкуренцією товаровиробників. Саме конкуренція спонукує підприємства здійснювати прискорене списання основних засобів з метою нагромадження фінансових ресурсів для наступного вкладання коштів у придбання більш прогресивного устаткування, впровадження нових технологій та іншого поліпшення основних засобів.</w:t>
      </w:r>
    </w:p>
    <w:p w:rsidR="00FD0E05" w:rsidRPr="00CE4F69" w:rsidRDefault="00FD0E05" w:rsidP="004F7FBA">
      <w:pPr>
        <w:pStyle w:val="Style5"/>
        <w:widowControl/>
        <w:spacing w:line="360" w:lineRule="auto"/>
        <w:ind w:firstLine="709"/>
        <w:rPr>
          <w:rStyle w:val="FontStyle24"/>
          <w:noProof/>
          <w:color w:val="000000"/>
          <w:sz w:val="28"/>
          <w:szCs w:val="28"/>
          <w:lang w:val="uk-UA" w:eastAsia="uk-UA"/>
        </w:rPr>
      </w:pPr>
    </w:p>
    <w:p w:rsidR="00FD0E05" w:rsidRPr="00CE4F69" w:rsidRDefault="00FD0E05" w:rsidP="004F7FBA">
      <w:pPr>
        <w:pStyle w:val="1"/>
        <w:keepNext w:val="0"/>
        <w:spacing w:before="0" w:after="0" w:line="360" w:lineRule="auto"/>
        <w:ind w:firstLine="709"/>
        <w:jc w:val="both"/>
        <w:rPr>
          <w:rStyle w:val="FontStyle24"/>
          <w:noProof/>
          <w:color w:val="000000"/>
          <w:sz w:val="28"/>
          <w:szCs w:val="28"/>
          <w:lang w:eastAsia="uk-UA"/>
        </w:rPr>
      </w:pPr>
      <w:r w:rsidRPr="00CE4F69">
        <w:rPr>
          <w:rStyle w:val="FontStyle24"/>
          <w:noProof/>
          <w:color w:val="000000"/>
          <w:sz w:val="28"/>
          <w:szCs w:val="28"/>
          <w:lang w:eastAsia="uk-UA"/>
        </w:rPr>
        <w:t>2.2</w:t>
      </w:r>
      <w:r w:rsidR="002E4A43" w:rsidRPr="00CE4F69">
        <w:rPr>
          <w:rStyle w:val="FontStyle24"/>
          <w:noProof/>
          <w:color w:val="000000"/>
          <w:sz w:val="28"/>
          <w:szCs w:val="28"/>
          <w:lang w:eastAsia="uk-UA"/>
        </w:rPr>
        <w:t xml:space="preserve"> Відповіді на тестові завдання</w:t>
      </w:r>
    </w:p>
    <w:p w:rsidR="00FD0E05" w:rsidRPr="00CE4F69" w:rsidRDefault="00FD0E05" w:rsidP="004F7FBA">
      <w:pPr>
        <w:pStyle w:val="1"/>
        <w:keepNext w:val="0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D0E05" w:rsidRPr="00CE4F69" w:rsidRDefault="00FD0E05" w:rsidP="004F7FBA">
      <w:pPr>
        <w:pStyle w:val="1"/>
        <w:keepNext w:val="0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4F69">
        <w:rPr>
          <w:noProof/>
          <w:color w:val="000000"/>
          <w:sz w:val="28"/>
          <w:szCs w:val="28"/>
        </w:rPr>
        <w:t>1.</w:t>
      </w:r>
      <w:r w:rsidR="004F7FBA" w:rsidRPr="00CE4F69">
        <w:rPr>
          <w:noProof/>
          <w:color w:val="000000"/>
          <w:sz w:val="28"/>
          <w:szCs w:val="28"/>
        </w:rPr>
        <w:t xml:space="preserve"> </w:t>
      </w:r>
      <w:r w:rsidRPr="00CE4F69">
        <w:rPr>
          <w:noProof/>
          <w:color w:val="000000"/>
          <w:sz w:val="28"/>
          <w:szCs w:val="28"/>
        </w:rPr>
        <w:t>Який з показників не характеризує ефективності використання оборотних коштів:</w:t>
      </w:r>
    </w:p>
    <w:p w:rsidR="00FD0E05" w:rsidRPr="00CE4F69" w:rsidRDefault="00FD0E05" w:rsidP="004F7FBA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фондовіддача;</w:t>
      </w:r>
    </w:p>
    <w:p w:rsidR="00FD0E05" w:rsidRPr="00CE4F69" w:rsidRDefault="00FD0E05" w:rsidP="004F7FBA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коефіцієнт обертання;</w:t>
      </w:r>
    </w:p>
    <w:p w:rsidR="00FD0E05" w:rsidRPr="00CE4F69" w:rsidRDefault="00FD0E05" w:rsidP="004F7FBA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тривалість обороту;</w:t>
      </w:r>
    </w:p>
    <w:p w:rsidR="00FD0E05" w:rsidRPr="00CE4F69" w:rsidRDefault="00FD0E05" w:rsidP="004F7FBA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коефіцієнт завантаження.</w:t>
      </w:r>
    </w:p>
    <w:p w:rsidR="00FD0E05" w:rsidRPr="00CE4F69" w:rsidRDefault="00FD0E05" w:rsidP="004F7FBA">
      <w:pPr>
        <w:pStyle w:val="1"/>
        <w:keepNext w:val="0"/>
        <w:numPr>
          <w:ilvl w:val="0"/>
          <w:numId w:val="17"/>
        </w:numPr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4F69">
        <w:rPr>
          <w:noProof/>
          <w:color w:val="000000"/>
          <w:sz w:val="28"/>
          <w:szCs w:val="28"/>
        </w:rPr>
        <w:t>Які напрямки розміщення оборотних коштів можна віднести до високоліквідних активів:</w:t>
      </w:r>
    </w:p>
    <w:p w:rsidR="00FD0E05" w:rsidRPr="00CE4F69" w:rsidRDefault="00FD0E05" w:rsidP="004F7FBA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матеріальні оборотні активи;</w:t>
      </w:r>
    </w:p>
    <w:p w:rsidR="00FD0E05" w:rsidRPr="00CE4F69" w:rsidRDefault="00FD0E05" w:rsidP="004F7FBA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товари відвантажені;</w:t>
      </w:r>
    </w:p>
    <w:p w:rsidR="00FD0E05" w:rsidRPr="00CE4F69" w:rsidRDefault="00FD0E05" w:rsidP="004F7FBA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дебіторська заборгованість;</w:t>
      </w:r>
    </w:p>
    <w:p w:rsidR="00FD0E05" w:rsidRPr="00CE4F69" w:rsidRDefault="00FD0E05" w:rsidP="004F7FBA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гроші на банківських рахунках і в касі підприємства.</w:t>
      </w:r>
    </w:p>
    <w:p w:rsidR="00FD0E05" w:rsidRPr="00CE4F69" w:rsidRDefault="00FD0E05" w:rsidP="004F7FBA">
      <w:pPr>
        <w:pStyle w:val="1"/>
        <w:keepNext w:val="0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4F69">
        <w:rPr>
          <w:noProof/>
          <w:color w:val="000000"/>
          <w:sz w:val="28"/>
          <w:szCs w:val="28"/>
        </w:rPr>
        <w:t>3.</w:t>
      </w:r>
      <w:r w:rsidR="004F7FBA" w:rsidRPr="00CE4F69">
        <w:rPr>
          <w:noProof/>
          <w:color w:val="000000"/>
          <w:sz w:val="28"/>
          <w:szCs w:val="28"/>
        </w:rPr>
        <w:t xml:space="preserve"> </w:t>
      </w:r>
      <w:r w:rsidRPr="00CE4F69">
        <w:rPr>
          <w:noProof/>
          <w:color w:val="000000"/>
          <w:sz w:val="28"/>
          <w:szCs w:val="28"/>
        </w:rPr>
        <w:t>За участю у виробничому процесі основні виробничі фонди поділяють на:</w:t>
      </w:r>
    </w:p>
    <w:p w:rsidR="00FD0E05" w:rsidRPr="00CE4F69" w:rsidRDefault="00FD0E05" w:rsidP="004F7FBA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власні та орендовані;</w:t>
      </w:r>
    </w:p>
    <w:p w:rsidR="00FD0E05" w:rsidRPr="00CE4F69" w:rsidRDefault="00FD0E05" w:rsidP="004F7FBA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пасивні та активні;</w:t>
      </w:r>
    </w:p>
    <w:p w:rsidR="00FD0E05" w:rsidRPr="00CE4F69" w:rsidRDefault="00FD0E05" w:rsidP="004F7FBA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  <w:lang w:val="uk-UA"/>
        </w:rPr>
      </w:pPr>
      <w:r w:rsidRPr="00CE4F69">
        <w:rPr>
          <w:noProof/>
          <w:color w:val="000000"/>
          <w:sz w:val="28"/>
          <w:szCs w:val="28"/>
          <w:lang w:val="uk-UA"/>
        </w:rPr>
        <w:t>виробничі й невиробничі;</w:t>
      </w:r>
    </w:p>
    <w:p w:rsidR="002E4A43" w:rsidRPr="00CE4F69" w:rsidRDefault="002E4A43">
      <w:pPr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br w:type="page"/>
      </w:r>
    </w:p>
    <w:p w:rsidR="004F7FBA" w:rsidRPr="00CE4F69" w:rsidRDefault="00FD0E05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2.3 Розкри</w:t>
      </w:r>
      <w:r w:rsidR="002E4A43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ти сутність наступних категорій</w:t>
      </w:r>
    </w:p>
    <w:p w:rsidR="002E4A43" w:rsidRPr="00CE4F69" w:rsidRDefault="002E4A43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FD0E05" w:rsidRPr="00CE4F69" w:rsidRDefault="00FD0E05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Група основних фондів, дебітор, актив, норма оборотних коштів</w:t>
      </w:r>
    </w:p>
    <w:p w:rsidR="00FD0E05" w:rsidRPr="00CE4F69" w:rsidRDefault="00FD0E05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Група основних фондів – </w:t>
      </w:r>
      <w:r w:rsidR="00CE5604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сукупність однотипних за технічними характеристиками, призначенням та умовами використання необоротних матеріальних активів.</w:t>
      </w:r>
    </w:p>
    <w:p w:rsidR="00CE5604" w:rsidRPr="00CE4F69" w:rsidRDefault="00CE5604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Дебітор – особа, що отримала продукцію, роботи, послуги, але не розрахувалася за них.</w:t>
      </w:r>
    </w:p>
    <w:p w:rsidR="00CE5604" w:rsidRPr="00CE4F69" w:rsidRDefault="00CE5604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Актив – Частина бухгалтерського балансу, яка характеризує склад, розміщення та використання грошових коштів, згрупованих за їх економічним змістом у процесі відтворення.</w:t>
      </w:r>
    </w:p>
    <w:p w:rsidR="00A4268F" w:rsidRPr="00CE4F69" w:rsidRDefault="00CE5604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Норма оборотних коштів – показник, який визначається в днях, відсотках, гривнях для обчисле</w:t>
      </w:r>
      <w:r w:rsidR="0091252B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ння нормативів оборотних кошті</w:t>
      </w:r>
      <w:r w:rsidR="00956F0E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в.</w:t>
      </w:r>
    </w:p>
    <w:p w:rsidR="00CE5604" w:rsidRPr="00CE4F69" w:rsidRDefault="00CE5604" w:rsidP="004F7FBA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1.4. Задача.</w:t>
      </w:r>
    </w:p>
    <w:p w:rsidR="00CE5604" w:rsidRPr="00CE4F69" w:rsidRDefault="00CE5604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Визначити норму амортизації і суму річних амортизаційних відрахувань для будівлі, якщо його вартість 8,5 тис. грн.</w:t>
      </w:r>
    </w:p>
    <w:p w:rsidR="00A4268F" w:rsidRPr="00CE4F69" w:rsidRDefault="00A4268F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Розв'язання: </w:t>
      </w:r>
    </w:p>
    <w:p w:rsidR="00A4268F" w:rsidRPr="00CE4F69" w:rsidRDefault="00A4268F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Норми амортизації визначені в Законі України «Про оподаткування прибутку підприємств» від 22.05.1997р. З цією метою основні виробничі фонди поділяють на три групи до кожної з яких розроблені свої</w:t>
      </w:r>
      <w:r w:rsidR="004225D2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норми амортизації: </w:t>
      </w:r>
    </w:p>
    <w:p w:rsidR="004225D2" w:rsidRPr="00CE4F69" w:rsidRDefault="004225D2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Для будівель, споруд, їх структурних компонентів та передавальних пристроїв – норма амортизації – 5%</w:t>
      </w:r>
    </w:p>
    <w:p w:rsidR="004225D2" w:rsidRPr="00CE4F69" w:rsidRDefault="004225D2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Визначу суму річних амортизаційних відрахувань:</w:t>
      </w:r>
    </w:p>
    <w:p w:rsidR="002E4A43" w:rsidRPr="00CE4F69" w:rsidRDefault="002E4A43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4225D2" w:rsidRPr="00CE4F69" w:rsidRDefault="009B0CD9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5pt;height:73.5pt">
            <v:imagedata r:id="rId8" o:title=""/>
          </v:shape>
        </w:pict>
      </w:r>
    </w:p>
    <w:p w:rsidR="002E4A43" w:rsidRPr="00CE4F69" w:rsidRDefault="002E4A43">
      <w:pPr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br w:type="page"/>
      </w:r>
    </w:p>
    <w:p w:rsidR="004225D2" w:rsidRPr="00CE4F69" w:rsidRDefault="004225D2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С – вартість будівлі;</w:t>
      </w:r>
    </w:p>
    <w:p w:rsidR="004F7FBA" w:rsidRPr="00CE4F69" w:rsidRDefault="004225D2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n</w:t>
      </w:r>
      <w:r w:rsidR="004F7FBA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</w:t>
      </w: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- норма амортизації (5%);</w:t>
      </w:r>
    </w:p>
    <w:p w:rsidR="002E4A43" w:rsidRPr="00CE4F69" w:rsidRDefault="002E4A43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4225D2" w:rsidRPr="00CE4F69" w:rsidRDefault="009B0CD9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pict>
          <v:shape id="_x0000_i1026" type="#_x0000_t75" style="width:179.25pt;height:43.5pt">
            <v:imagedata r:id="rId9" o:title=""/>
          </v:shape>
        </w:pict>
      </w:r>
    </w:p>
    <w:p w:rsidR="002E4A43" w:rsidRPr="00CE4F69" w:rsidRDefault="002E4A43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B62A0D" w:rsidRPr="00CE4F69" w:rsidRDefault="00B62A0D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В</w:t>
      </w:r>
      <w:r w:rsidR="004225D2"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ідповідь: </w:t>
      </w: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Норма амортизації для будівлі становить 5%; а сума річних амортизаційних відрахувань – 425грн.</w:t>
      </w:r>
    </w:p>
    <w:p w:rsidR="00B62A0D" w:rsidRPr="00CE4F69" w:rsidRDefault="00B62A0D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2E4A43" w:rsidRPr="00CE4F69" w:rsidRDefault="002E4A43">
      <w:pPr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br w:type="page"/>
      </w:r>
    </w:p>
    <w:p w:rsidR="004225D2" w:rsidRPr="00CE4F69" w:rsidRDefault="002E4A43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>Список використаної літератури</w:t>
      </w:r>
    </w:p>
    <w:p w:rsidR="002E4A43" w:rsidRPr="00CE4F69" w:rsidRDefault="002E4A43" w:rsidP="004F7F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B62A0D" w:rsidRPr="00CE4F69" w:rsidRDefault="00B62A0D" w:rsidP="002E4A43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CE4F69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Фінанси підприємств: Підручник / А.М. Поддерьогін, М.Д. Білик, Л.Д. Буряк та ін.; Кер. кол. авт. і наук. ред. проф. А.М. Поддєрьогін. – 6-те вид., перероб. та допов. – К.: КНЕУ, 2006 – 552с. </w:t>
      </w:r>
      <w:bookmarkStart w:id="0" w:name="_GoBack"/>
      <w:bookmarkEnd w:id="0"/>
    </w:p>
    <w:sectPr w:rsidR="00B62A0D" w:rsidRPr="00CE4F69" w:rsidSect="002E4A43">
      <w:footerReference w:type="default" r:id="rId10"/>
      <w:pgSz w:w="11906" w:h="16838"/>
      <w:pgMar w:top="1134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9F9" w:rsidRDefault="006929F9" w:rsidP="0091252B">
      <w:pPr>
        <w:spacing w:after="0" w:line="240" w:lineRule="auto"/>
      </w:pPr>
      <w:r>
        <w:separator/>
      </w:r>
    </w:p>
  </w:endnote>
  <w:endnote w:type="continuationSeparator" w:id="0">
    <w:p w:rsidR="006929F9" w:rsidRDefault="006929F9" w:rsidP="0091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52B" w:rsidRDefault="00ED00DA">
    <w:pPr>
      <w:pStyle w:val="a8"/>
      <w:jc w:val="center"/>
    </w:pPr>
    <w:r>
      <w:rPr>
        <w:noProof/>
      </w:rPr>
      <w:t>3</w:t>
    </w:r>
  </w:p>
  <w:p w:rsidR="0091252B" w:rsidRDefault="009125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9F9" w:rsidRDefault="006929F9" w:rsidP="0091252B">
      <w:pPr>
        <w:spacing w:after="0" w:line="240" w:lineRule="auto"/>
      </w:pPr>
      <w:r>
        <w:separator/>
      </w:r>
    </w:p>
  </w:footnote>
  <w:footnote w:type="continuationSeparator" w:id="0">
    <w:p w:rsidR="006929F9" w:rsidRDefault="006929F9" w:rsidP="00912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2B47590"/>
    <w:lvl w:ilvl="0">
      <w:numFmt w:val="bullet"/>
      <w:lvlText w:val="*"/>
      <w:lvlJc w:val="left"/>
    </w:lvl>
  </w:abstractNum>
  <w:abstractNum w:abstractNumId="1">
    <w:nsid w:val="00847F3D"/>
    <w:multiLevelType w:val="multilevel"/>
    <w:tmpl w:val="5888AC6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cs="Times New Roman" w:hint="default"/>
      </w:rPr>
    </w:lvl>
  </w:abstractNum>
  <w:abstractNum w:abstractNumId="2">
    <w:nsid w:val="08723A33"/>
    <w:multiLevelType w:val="hybridMultilevel"/>
    <w:tmpl w:val="D7347B9C"/>
    <w:lvl w:ilvl="0" w:tplc="A6C6986A">
      <w:start w:val="1"/>
      <w:numFmt w:val="decimal"/>
      <w:lvlText w:val="%1 - "/>
      <w:lvlJc w:val="left"/>
      <w:pPr>
        <w:tabs>
          <w:tab w:val="num" w:pos="1021"/>
        </w:tabs>
        <w:ind w:left="1021" w:hanging="567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  <w:rPr>
        <w:rFonts w:cs="Times New Roman"/>
      </w:rPr>
    </w:lvl>
  </w:abstractNum>
  <w:abstractNum w:abstractNumId="3">
    <w:nsid w:val="08E44311"/>
    <w:multiLevelType w:val="multilevel"/>
    <w:tmpl w:val="D13C7D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  <w:i w:val="0"/>
      </w:rPr>
    </w:lvl>
  </w:abstractNum>
  <w:abstractNum w:abstractNumId="4">
    <w:nsid w:val="0D3C66E1"/>
    <w:multiLevelType w:val="multilevel"/>
    <w:tmpl w:val="045E01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0E464ABE"/>
    <w:multiLevelType w:val="multilevel"/>
    <w:tmpl w:val="4B06B3B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6">
    <w:nsid w:val="1DC837D8"/>
    <w:multiLevelType w:val="multilevel"/>
    <w:tmpl w:val="5558752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cs="Times New Roman" w:hint="default"/>
      </w:rPr>
    </w:lvl>
  </w:abstractNum>
  <w:abstractNum w:abstractNumId="7">
    <w:nsid w:val="1DEA498A"/>
    <w:multiLevelType w:val="singleLevel"/>
    <w:tmpl w:val="11C40B7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>
    <w:nsid w:val="2A792C4C"/>
    <w:multiLevelType w:val="multilevel"/>
    <w:tmpl w:val="13AE7C4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34333706"/>
    <w:multiLevelType w:val="hybridMultilevel"/>
    <w:tmpl w:val="27B82F1C"/>
    <w:lvl w:ilvl="0" w:tplc="A6C6986A">
      <w:start w:val="1"/>
      <w:numFmt w:val="decimal"/>
      <w:lvlText w:val="%1 - "/>
      <w:lvlJc w:val="left"/>
      <w:pPr>
        <w:tabs>
          <w:tab w:val="num" w:pos="1021"/>
        </w:tabs>
        <w:ind w:left="1021" w:hanging="567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  <w:rPr>
        <w:rFonts w:cs="Times New Roman"/>
      </w:rPr>
    </w:lvl>
  </w:abstractNum>
  <w:abstractNum w:abstractNumId="10">
    <w:nsid w:val="38BA7E25"/>
    <w:multiLevelType w:val="hybridMultilevel"/>
    <w:tmpl w:val="4C26D8DA"/>
    <w:lvl w:ilvl="0" w:tplc="A6C6986A">
      <w:start w:val="1"/>
      <w:numFmt w:val="decimal"/>
      <w:lvlText w:val="%1 - "/>
      <w:lvlJc w:val="left"/>
      <w:pPr>
        <w:tabs>
          <w:tab w:val="num" w:pos="1021"/>
        </w:tabs>
        <w:ind w:left="1021" w:hanging="567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  <w:rPr>
        <w:rFonts w:cs="Times New Roman"/>
      </w:rPr>
    </w:lvl>
  </w:abstractNum>
  <w:abstractNum w:abstractNumId="11">
    <w:nsid w:val="393A3410"/>
    <w:multiLevelType w:val="singleLevel"/>
    <w:tmpl w:val="A6C6986A"/>
    <w:lvl w:ilvl="0">
      <w:start w:val="1"/>
      <w:numFmt w:val="decimal"/>
      <w:lvlText w:val="%1 - "/>
      <w:lvlJc w:val="left"/>
      <w:pPr>
        <w:tabs>
          <w:tab w:val="num" w:pos="1021"/>
        </w:tabs>
        <w:ind w:left="1021" w:hanging="567"/>
      </w:pPr>
      <w:rPr>
        <w:rFonts w:cs="Times New Roman"/>
      </w:rPr>
    </w:lvl>
  </w:abstractNum>
  <w:abstractNum w:abstractNumId="12">
    <w:nsid w:val="401A7089"/>
    <w:multiLevelType w:val="hybridMultilevel"/>
    <w:tmpl w:val="27B82F1C"/>
    <w:lvl w:ilvl="0" w:tplc="A6C6986A">
      <w:start w:val="1"/>
      <w:numFmt w:val="decimal"/>
      <w:lvlText w:val="%1 - "/>
      <w:lvlJc w:val="left"/>
      <w:pPr>
        <w:tabs>
          <w:tab w:val="num" w:pos="1021"/>
        </w:tabs>
        <w:ind w:left="1021" w:hanging="567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  <w:rPr>
        <w:rFonts w:cs="Times New Roman"/>
      </w:rPr>
    </w:lvl>
  </w:abstractNum>
  <w:abstractNum w:abstractNumId="13">
    <w:nsid w:val="41646906"/>
    <w:multiLevelType w:val="hybridMultilevel"/>
    <w:tmpl w:val="39746A36"/>
    <w:lvl w:ilvl="0" w:tplc="DC08DD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4983FE8"/>
    <w:multiLevelType w:val="hybridMultilevel"/>
    <w:tmpl w:val="1E60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72E6E67"/>
    <w:multiLevelType w:val="hybridMultilevel"/>
    <w:tmpl w:val="FC5AD524"/>
    <w:lvl w:ilvl="0" w:tplc="E07215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A70F98"/>
    <w:multiLevelType w:val="singleLevel"/>
    <w:tmpl w:val="C158BF9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>
    <w:nsid w:val="484D67D8"/>
    <w:multiLevelType w:val="hybridMultilevel"/>
    <w:tmpl w:val="435A2A98"/>
    <w:lvl w:ilvl="0" w:tplc="A6C6986A">
      <w:start w:val="1"/>
      <w:numFmt w:val="decimal"/>
      <w:lvlText w:val="%1 - "/>
      <w:lvlJc w:val="left"/>
      <w:pPr>
        <w:tabs>
          <w:tab w:val="num" w:pos="851"/>
        </w:tabs>
        <w:ind w:left="851" w:hanging="567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  <w:rPr>
        <w:rFonts w:cs="Times New Roman"/>
      </w:rPr>
    </w:lvl>
  </w:abstractNum>
  <w:abstractNum w:abstractNumId="18">
    <w:nsid w:val="49272C2F"/>
    <w:multiLevelType w:val="singleLevel"/>
    <w:tmpl w:val="5F664BE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>
    <w:nsid w:val="4A491119"/>
    <w:multiLevelType w:val="hybridMultilevel"/>
    <w:tmpl w:val="0C126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5A5103"/>
    <w:multiLevelType w:val="multilevel"/>
    <w:tmpl w:val="2AB00A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4EFE3D51"/>
    <w:multiLevelType w:val="multilevel"/>
    <w:tmpl w:val="53BE281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2">
    <w:nsid w:val="54BE365C"/>
    <w:multiLevelType w:val="hybridMultilevel"/>
    <w:tmpl w:val="06705870"/>
    <w:lvl w:ilvl="0" w:tplc="DFA0AD6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6623682"/>
    <w:multiLevelType w:val="hybridMultilevel"/>
    <w:tmpl w:val="BCC42528"/>
    <w:lvl w:ilvl="0" w:tplc="A6C6986A">
      <w:start w:val="1"/>
      <w:numFmt w:val="decimal"/>
      <w:lvlText w:val="%1 - "/>
      <w:lvlJc w:val="left"/>
      <w:pPr>
        <w:tabs>
          <w:tab w:val="num" w:pos="1021"/>
        </w:tabs>
        <w:ind w:left="1021" w:hanging="567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  <w:rPr>
        <w:rFonts w:cs="Times New Roman"/>
      </w:rPr>
    </w:lvl>
  </w:abstractNum>
  <w:abstractNum w:abstractNumId="24">
    <w:nsid w:val="5D29441A"/>
    <w:multiLevelType w:val="multilevel"/>
    <w:tmpl w:val="D5FA55A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cs="Times New Roman" w:hint="default"/>
      </w:rPr>
    </w:lvl>
  </w:abstractNum>
  <w:abstractNum w:abstractNumId="25">
    <w:nsid w:val="668006D1"/>
    <w:multiLevelType w:val="singleLevel"/>
    <w:tmpl w:val="7EC858F6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6">
    <w:nsid w:val="6B421655"/>
    <w:multiLevelType w:val="hybridMultilevel"/>
    <w:tmpl w:val="06B4AB26"/>
    <w:lvl w:ilvl="0" w:tplc="B0C2A8F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6E1C05C3"/>
    <w:multiLevelType w:val="singleLevel"/>
    <w:tmpl w:val="76564490"/>
    <w:lvl w:ilvl="0">
      <w:start w:val="3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8">
    <w:nsid w:val="7E734F58"/>
    <w:multiLevelType w:val="hybridMultilevel"/>
    <w:tmpl w:val="5C48BFFE"/>
    <w:lvl w:ilvl="0" w:tplc="A6C6986A">
      <w:start w:val="1"/>
      <w:numFmt w:val="decimal"/>
      <w:lvlText w:val="%1 - "/>
      <w:lvlJc w:val="left"/>
      <w:pPr>
        <w:tabs>
          <w:tab w:val="num" w:pos="1021"/>
        </w:tabs>
        <w:ind w:left="1021" w:hanging="567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  <w:rPr>
        <w:rFonts w:cs="Times New Roman"/>
      </w:rPr>
    </w:lvl>
  </w:abstractNum>
  <w:abstractNum w:abstractNumId="29">
    <w:nsid w:val="7FC4462A"/>
    <w:multiLevelType w:val="singleLevel"/>
    <w:tmpl w:val="E190F67E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8"/>
  </w:num>
  <w:num w:numId="3">
    <w:abstractNumId w:val="19"/>
  </w:num>
  <w:num w:numId="4">
    <w:abstractNumId w:val="1"/>
  </w:num>
  <w:num w:numId="5">
    <w:abstractNumId w:val="4"/>
  </w:num>
  <w:num w:numId="6">
    <w:abstractNumId w:val="24"/>
  </w:num>
  <w:num w:numId="7">
    <w:abstractNumId w:val="11"/>
  </w:num>
  <w:num w:numId="8">
    <w:abstractNumId w:val="2"/>
  </w:num>
  <w:num w:numId="9">
    <w:abstractNumId w:val="28"/>
  </w:num>
  <w:num w:numId="10">
    <w:abstractNumId w:val="12"/>
  </w:num>
  <w:num w:numId="11">
    <w:abstractNumId w:val="10"/>
  </w:num>
  <w:num w:numId="12">
    <w:abstractNumId w:val="17"/>
  </w:num>
  <w:num w:numId="13">
    <w:abstractNumId w:val="23"/>
  </w:num>
  <w:num w:numId="14">
    <w:abstractNumId w:val="20"/>
  </w:num>
  <w:num w:numId="15">
    <w:abstractNumId w:val="5"/>
  </w:num>
  <w:num w:numId="16">
    <w:abstractNumId w:val="3"/>
  </w:num>
  <w:num w:numId="17">
    <w:abstractNumId w:val="21"/>
  </w:num>
  <w:num w:numId="18">
    <w:abstractNumId w:val="0"/>
    <w:lvlOverride w:ilvl="0">
      <w:lvl w:ilvl="0">
        <w:numFmt w:val="bullet"/>
        <w:lvlText w:val="—"/>
        <w:legacy w:legacy="1" w:legacySpace="0" w:legacyIndent="380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—"/>
        <w:legacy w:legacy="1" w:legacySpace="0" w:legacyIndent="379"/>
        <w:lvlJc w:val="left"/>
        <w:rPr>
          <w:rFonts w:ascii="Times New Roman" w:hAnsi="Times New Roman" w:hint="default"/>
        </w:rPr>
      </w:lvl>
    </w:lvlOverride>
  </w:num>
  <w:num w:numId="20">
    <w:abstractNumId w:val="22"/>
  </w:num>
  <w:num w:numId="21">
    <w:abstractNumId w:val="15"/>
  </w:num>
  <w:num w:numId="22">
    <w:abstractNumId w:val="6"/>
  </w:num>
  <w:num w:numId="23">
    <w:abstractNumId w:val="9"/>
  </w:num>
  <w:num w:numId="24">
    <w:abstractNumId w:val="29"/>
  </w:num>
  <w:num w:numId="25">
    <w:abstractNumId w:val="27"/>
  </w:num>
  <w:num w:numId="26">
    <w:abstractNumId w:val="25"/>
  </w:num>
  <w:num w:numId="27">
    <w:abstractNumId w:val="7"/>
  </w:num>
  <w:num w:numId="28">
    <w:abstractNumId w:val="18"/>
  </w:num>
  <w:num w:numId="29">
    <w:abstractNumId w:val="16"/>
  </w:num>
  <w:num w:numId="30">
    <w:abstractNumId w:val="1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3BF"/>
    <w:rsid w:val="001378B6"/>
    <w:rsid w:val="002E4A43"/>
    <w:rsid w:val="003454FE"/>
    <w:rsid w:val="00351562"/>
    <w:rsid w:val="004225D2"/>
    <w:rsid w:val="004F7FBA"/>
    <w:rsid w:val="00531936"/>
    <w:rsid w:val="00546C0B"/>
    <w:rsid w:val="00594F4C"/>
    <w:rsid w:val="006929F9"/>
    <w:rsid w:val="00692B6F"/>
    <w:rsid w:val="006B2991"/>
    <w:rsid w:val="00734411"/>
    <w:rsid w:val="007E0A68"/>
    <w:rsid w:val="008A5C8C"/>
    <w:rsid w:val="008F454F"/>
    <w:rsid w:val="0091252B"/>
    <w:rsid w:val="009423BF"/>
    <w:rsid w:val="00946677"/>
    <w:rsid w:val="00956F0E"/>
    <w:rsid w:val="009B0CD9"/>
    <w:rsid w:val="00A2582B"/>
    <w:rsid w:val="00A4268F"/>
    <w:rsid w:val="00A86CC2"/>
    <w:rsid w:val="00B62A0D"/>
    <w:rsid w:val="00B87B28"/>
    <w:rsid w:val="00CE4F69"/>
    <w:rsid w:val="00CE5604"/>
    <w:rsid w:val="00D269B9"/>
    <w:rsid w:val="00D87DD0"/>
    <w:rsid w:val="00E717AA"/>
    <w:rsid w:val="00ED00DA"/>
    <w:rsid w:val="00EE1393"/>
    <w:rsid w:val="00F00010"/>
    <w:rsid w:val="00F579EE"/>
    <w:rsid w:val="00FB035C"/>
    <w:rsid w:val="00FB5674"/>
    <w:rsid w:val="00FD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FCC20D7F-470C-431D-9644-A0E52FCE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F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87DD0"/>
    <w:pPr>
      <w:keepNext/>
      <w:spacing w:before="240" w:after="240" w:line="240" w:lineRule="auto"/>
      <w:jc w:val="center"/>
      <w:outlineLvl w:val="0"/>
    </w:pPr>
    <w:rPr>
      <w:rFonts w:ascii="Times New Roman" w:hAnsi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87DD0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423BF"/>
    <w:pPr>
      <w:ind w:left="720"/>
      <w:contextualSpacing/>
    </w:pPr>
  </w:style>
  <w:style w:type="paragraph" w:customStyle="1" w:styleId="2">
    <w:name w:val="Знак Знак2 Знак Знак Знак Знак Знак Знак Знак"/>
    <w:basedOn w:val="a"/>
    <w:rsid w:val="009423B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rsid w:val="00D87DD0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ий текст Знак"/>
    <w:link w:val="a4"/>
    <w:uiPriority w:val="99"/>
    <w:locked/>
    <w:rsid w:val="00D87DD0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Style1">
    <w:name w:val="Style1"/>
    <w:basedOn w:val="a"/>
    <w:uiPriority w:val="99"/>
    <w:rsid w:val="00351562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51562"/>
    <w:pPr>
      <w:widowControl w:val="0"/>
      <w:autoSpaceDE w:val="0"/>
      <w:autoSpaceDN w:val="0"/>
      <w:adjustRightInd w:val="0"/>
      <w:spacing w:after="0" w:line="228" w:lineRule="exact"/>
      <w:ind w:firstLine="298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515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51562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51562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51562"/>
    <w:pPr>
      <w:widowControl w:val="0"/>
      <w:autoSpaceDE w:val="0"/>
      <w:autoSpaceDN w:val="0"/>
      <w:adjustRightInd w:val="0"/>
      <w:spacing w:after="0" w:line="216" w:lineRule="exact"/>
      <w:ind w:firstLine="97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351562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uiPriority w:val="99"/>
    <w:rsid w:val="00351562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351562"/>
    <w:pPr>
      <w:widowControl w:val="0"/>
      <w:autoSpaceDE w:val="0"/>
      <w:autoSpaceDN w:val="0"/>
      <w:adjustRightInd w:val="0"/>
      <w:spacing w:after="0" w:line="254" w:lineRule="exact"/>
      <w:ind w:firstLine="293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7344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uiPriority w:val="99"/>
    <w:rsid w:val="00734411"/>
    <w:pPr>
      <w:widowControl w:val="0"/>
      <w:autoSpaceDE w:val="0"/>
      <w:autoSpaceDN w:val="0"/>
      <w:adjustRightInd w:val="0"/>
      <w:spacing w:after="0" w:line="233" w:lineRule="exact"/>
      <w:ind w:firstLine="293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3441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uiPriority w:val="99"/>
    <w:rsid w:val="00546C0B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21">
    <w:name w:val="Знак Знак2 Знак Знак Знак Знак Знак Знак Знак1"/>
    <w:basedOn w:val="a"/>
    <w:rsid w:val="00F0001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Style5">
    <w:name w:val="Style5"/>
    <w:basedOn w:val="a"/>
    <w:uiPriority w:val="99"/>
    <w:rsid w:val="008A5C8C"/>
    <w:pPr>
      <w:widowControl w:val="0"/>
      <w:autoSpaceDE w:val="0"/>
      <w:autoSpaceDN w:val="0"/>
      <w:adjustRightInd w:val="0"/>
      <w:spacing w:after="0" w:line="230" w:lineRule="exact"/>
      <w:ind w:firstLine="302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8A5C8C"/>
    <w:rPr>
      <w:rFonts w:ascii="Impact" w:hAnsi="Impact" w:cs="Impact"/>
      <w:smallCaps/>
      <w:sz w:val="16"/>
      <w:szCs w:val="16"/>
    </w:rPr>
  </w:style>
  <w:style w:type="character" w:customStyle="1" w:styleId="FontStyle24">
    <w:name w:val="Font Style24"/>
    <w:uiPriority w:val="99"/>
    <w:rsid w:val="008A5C8C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uiPriority w:val="99"/>
    <w:rsid w:val="008A5C8C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">
    <w:name w:val="Style4"/>
    <w:basedOn w:val="a"/>
    <w:uiPriority w:val="99"/>
    <w:rsid w:val="008A5C8C"/>
    <w:pPr>
      <w:widowControl w:val="0"/>
      <w:autoSpaceDE w:val="0"/>
      <w:autoSpaceDN w:val="0"/>
      <w:adjustRightInd w:val="0"/>
      <w:spacing w:after="0" w:line="227" w:lineRule="exact"/>
      <w:ind w:firstLine="1022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8A5C8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8A5C8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A5C8C"/>
    <w:pPr>
      <w:widowControl w:val="0"/>
      <w:autoSpaceDE w:val="0"/>
      <w:autoSpaceDN w:val="0"/>
      <w:adjustRightInd w:val="0"/>
      <w:spacing w:after="0" w:line="182" w:lineRule="exact"/>
      <w:ind w:firstLine="72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A5C8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A5C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8A5C8C"/>
    <w:rPr>
      <w:rFonts w:ascii="Arial" w:hAnsi="Arial" w:cs="Arial"/>
      <w:i/>
      <w:iCs/>
      <w:sz w:val="18"/>
      <w:szCs w:val="18"/>
    </w:rPr>
  </w:style>
  <w:style w:type="character" w:customStyle="1" w:styleId="FontStyle28">
    <w:name w:val="Font Style28"/>
    <w:uiPriority w:val="99"/>
    <w:rsid w:val="008A5C8C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uiPriority w:val="99"/>
    <w:rsid w:val="00FD0E05"/>
    <w:rPr>
      <w:rFonts w:ascii="Times New Roman" w:hAnsi="Times New Roman" w:cs="Times New Roman"/>
      <w:b/>
      <w:bCs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link w:val="a6"/>
    <w:uiPriority w:val="99"/>
    <w:locked/>
    <w:rsid w:val="0091252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1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link w:val="a8"/>
    <w:uiPriority w:val="99"/>
    <w:locked/>
    <w:rsid w:val="0091252B"/>
    <w:rPr>
      <w:rFonts w:cs="Times New Roman"/>
    </w:rPr>
  </w:style>
  <w:style w:type="table" w:styleId="aa">
    <w:name w:val="Table Professional"/>
    <w:basedOn w:val="a1"/>
    <w:uiPriority w:val="99"/>
    <w:unhideWhenUsed/>
    <w:rsid w:val="004F7FBA"/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6F80-F85D-4328-BC41-47533B2C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3372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cp:lastPrinted>2010-01-18T17:05:00Z</cp:lastPrinted>
  <dcterms:created xsi:type="dcterms:W3CDTF">2014-08-11T18:56:00Z</dcterms:created>
  <dcterms:modified xsi:type="dcterms:W3CDTF">2014-08-11T18:56:00Z</dcterms:modified>
</cp:coreProperties>
</file>