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0C7" w:rsidRDefault="00737F2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СТАТИСТИКА СЫРЬЯ, МАТЕРИАЛОВ, ТОПЛИВА И ДР. МАТЕРИАЛЬНЫХ РЕСУРСОВ.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Изучение расхода сырья, материалов, топлива, энергии имеет огромное значение, т.к. их ст-ть в с/ст-ти продукции занимает большой удельный вес. Поэтому экономное рациональное использование матер. ресурсов снижает уровень затрат на пр-во и повышает прибыль. Поэтому каждое предприятие должно стремиться: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сокращению потерь матер. ресурсов на стадиях доставки, хранения и переработки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должно укладываться в разработанные и утверждённые удельные нормы расхода каждого вида матер. ресурсов на единицу продукции. Эта норма расхода в статистике обозначается </w:t>
      </w:r>
      <w:r>
        <w:rPr>
          <w:color w:val="000000"/>
          <w:sz w:val="24"/>
          <w:szCs w:val="24"/>
          <w:lang w:val="en-US"/>
        </w:rPr>
        <w:t>mn</w:t>
      </w:r>
      <w:r>
        <w:rPr>
          <w:color w:val="000000"/>
          <w:sz w:val="24"/>
          <w:szCs w:val="24"/>
        </w:rPr>
        <w:t>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Экономии матер. ресурсов можно добиться, снижая удельные нормы расхода матер. ресурсов и потери матер. ресурсов.</w:t>
      </w:r>
    </w:p>
    <w:p w:rsidR="008560C7" w:rsidRDefault="00737F2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НАЛИЧИЕ И ДВИЖЕНИЕ МАТЕРИАЛЬНЫХ РЕСУРСОВ.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наличии и движении матер. ресурсов можно судить по составленным балансам матер. ресурсов «отчёт пром. предприятия об остатках, поступлениях и расходе сырья и материалов» - составляется в натуральном выражении по заданной номенклатуре продукции – ф.№1-СН.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Примерная схема матер. баланса в пром-ти.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4"/>
        <w:gridCol w:w="5494"/>
      </w:tblGrid>
      <w:tr w:rsidR="008560C7">
        <w:tc>
          <w:tcPr>
            <w:tcW w:w="5494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РЕСУРСЫ</w:t>
            </w:r>
          </w:p>
        </w:tc>
        <w:tc>
          <w:tcPr>
            <w:tcW w:w="5494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РАСПРЕДЕЛЕНИЕ</w:t>
            </w:r>
          </w:p>
        </w:tc>
      </w:tr>
      <w:tr w:rsidR="008560C7">
        <w:tc>
          <w:tcPr>
            <w:tcW w:w="5494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Остаток матер. ресурсов на начало периода</w:t>
            </w:r>
          </w:p>
        </w:tc>
        <w:tc>
          <w:tcPr>
            <w:tcW w:w="5494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Потреблено на произв. нужды</w:t>
            </w:r>
          </w:p>
        </w:tc>
      </w:tr>
      <w:tr w:rsidR="008560C7">
        <w:tc>
          <w:tcPr>
            <w:tcW w:w="5494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Поступления со стороны (периодическое по договорам с поставщиками)</w:t>
            </w:r>
          </w:p>
        </w:tc>
        <w:tc>
          <w:tcPr>
            <w:tcW w:w="5494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Отпущено на строительство и капитальный ремонт своего предприятия</w:t>
            </w:r>
          </w:p>
        </w:tc>
      </w:tr>
      <w:tr w:rsidR="008560C7">
        <w:tc>
          <w:tcPr>
            <w:tcW w:w="5494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Произведено в своём пр-ве</w:t>
            </w:r>
          </w:p>
        </w:tc>
        <w:tc>
          <w:tcPr>
            <w:tcW w:w="5494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Отпущено на сторону</w:t>
            </w:r>
          </w:p>
        </w:tc>
      </w:tr>
      <w:tr w:rsidR="008560C7">
        <w:tc>
          <w:tcPr>
            <w:tcW w:w="5494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Прочие ресурсы</w:t>
            </w:r>
          </w:p>
        </w:tc>
        <w:tc>
          <w:tcPr>
            <w:tcW w:w="5494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Израсходовано на произв. нужды</w:t>
            </w:r>
          </w:p>
        </w:tc>
      </w:tr>
      <w:tr w:rsidR="008560C7">
        <w:tc>
          <w:tcPr>
            <w:tcW w:w="5494" w:type="dxa"/>
          </w:tcPr>
          <w:p w:rsidR="008560C7" w:rsidRDefault="008560C7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494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Потери при хранении, транспортировке, переработке</w:t>
            </w:r>
          </w:p>
        </w:tc>
      </w:tr>
      <w:tr w:rsidR="008560C7">
        <w:tc>
          <w:tcPr>
            <w:tcW w:w="5494" w:type="dxa"/>
          </w:tcPr>
          <w:p w:rsidR="008560C7" w:rsidRDefault="008560C7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494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 Остаток на конец отчётного периода</w:t>
            </w:r>
          </w:p>
        </w:tc>
      </w:tr>
      <w:tr w:rsidR="008560C7">
        <w:tc>
          <w:tcPr>
            <w:tcW w:w="5494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ресурсов</w:t>
            </w:r>
          </w:p>
        </w:tc>
        <w:tc>
          <w:tcPr>
            <w:tcW w:w="5494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распределено</w:t>
            </w:r>
          </w:p>
        </w:tc>
      </w:tr>
    </w:tbl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 использовании матер. ресурсов, их экономии или перерасходе можно судить, используя как индивидуальные, так и общие индексы удельных норм матер. затрат. Для того, чтобы судить об экономии или перерасходе по какому-либо одному виду матер. ресурсов на единицу продукции, следует строить индивидуальные индексы удельных норм матер. затрат, где следует сопоставлять фактический расход данного вида матер. затрат на единицу какого-либо вида продукции (</w:t>
      </w:r>
      <w:r>
        <w:rPr>
          <w:color w:val="000000"/>
          <w:sz w:val="24"/>
          <w:szCs w:val="24"/>
          <w:lang w:val="en-US"/>
        </w:rPr>
        <w:t>m</w:t>
      </w:r>
      <w:r>
        <w:rPr>
          <w:color w:val="000000"/>
          <w:sz w:val="24"/>
          <w:szCs w:val="24"/>
        </w:rPr>
        <w:t xml:space="preserve"> (1)) </w:t>
      </w:r>
      <w:r>
        <w:rPr>
          <w:color w:val="000000"/>
          <w:sz w:val="24"/>
          <w:szCs w:val="24"/>
          <w:lang w:val="en-US"/>
        </w:rPr>
        <w:t>c</w:t>
      </w:r>
      <w:r>
        <w:rPr>
          <w:color w:val="000000"/>
          <w:sz w:val="24"/>
          <w:szCs w:val="24"/>
        </w:rPr>
        <w:t xml:space="preserve"> удельной нормой матер. затрат для этого вида единицы продукции.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im</w:t>
      </w:r>
      <w:r>
        <w:rPr>
          <w:color w:val="000000"/>
          <w:sz w:val="24"/>
          <w:szCs w:val="24"/>
        </w:rPr>
        <w:t xml:space="preserve"> = </w:t>
      </w:r>
      <w:r>
        <w:rPr>
          <w:color w:val="000000"/>
          <w:sz w:val="24"/>
          <w:szCs w:val="24"/>
          <w:lang w:val="en-US"/>
        </w:rPr>
        <w:t>m</w:t>
      </w:r>
      <w:r>
        <w:rPr>
          <w:color w:val="000000"/>
          <w:sz w:val="24"/>
          <w:szCs w:val="24"/>
        </w:rPr>
        <w:t xml:space="preserve">(1) = 12кг = 1,2 х 100 = 120% 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  <w:lang w:val="en-US"/>
        </w:rPr>
        <w:t>m</w:t>
      </w:r>
      <w:r>
        <w:rPr>
          <w:color w:val="000000"/>
          <w:sz w:val="24"/>
          <w:szCs w:val="24"/>
        </w:rPr>
        <w:t>н 10кг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120% - это перерасход, если меньше 100%, то это экономия.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того, чтобы судить об экономии или перерасходе какого-либо вида матер. ресурсов га разные виды продукции, следует пользоваться общим индексом удельных норм матер. затрат, где сопоставляется общий фактический расход какого-либо вида матер. ресурсов в отчётном периоде по сравнению с общими нормативными расходами данного вида сырья или материалов.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Общий нормативный расход какого-либо вида матер. ресурсов ( </w:t>
      </w: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</w:rPr>
        <w:t>(1)</w:t>
      </w:r>
      <w:r>
        <w:rPr>
          <w:color w:val="000000"/>
          <w:sz w:val="24"/>
          <w:szCs w:val="24"/>
          <w:lang w:val="en-US"/>
        </w:rPr>
        <w:t>m</w:t>
      </w:r>
      <w:r>
        <w:rPr>
          <w:color w:val="000000"/>
          <w:sz w:val="24"/>
          <w:szCs w:val="24"/>
        </w:rPr>
        <w:t>н) получается расчётным путём , исходя из удельных норм расхода и объёма каждого вида продукции.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Общий фактический расход какого-либо вида матер. ресурсов к концу отчётного периода складывается в том объёме, в котором этот вид сырья, материалов был использован фактически: расчётным путём этот показатель получить нельзя ( </w:t>
      </w: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</w:rPr>
        <w:t>(1)</w:t>
      </w:r>
      <w:r>
        <w:rPr>
          <w:color w:val="000000"/>
          <w:sz w:val="24"/>
          <w:szCs w:val="24"/>
          <w:lang w:val="en-US"/>
        </w:rPr>
        <w:t>m</w:t>
      </w:r>
      <w:r>
        <w:rPr>
          <w:color w:val="000000"/>
          <w:sz w:val="24"/>
          <w:szCs w:val="24"/>
        </w:rPr>
        <w:t>(1)).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Общий индекс удельных норм матер. затрат в агрегатной форме в натуральном выражении.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Im = q(1)m(1)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</w:rPr>
        <w:t>(1)</w:t>
      </w:r>
      <w:r>
        <w:rPr>
          <w:color w:val="000000"/>
          <w:sz w:val="24"/>
          <w:szCs w:val="24"/>
          <w:lang w:val="en-US"/>
        </w:rPr>
        <w:t>m</w:t>
      </w:r>
      <w:r>
        <w:rPr>
          <w:color w:val="000000"/>
          <w:sz w:val="24"/>
          <w:szCs w:val="24"/>
        </w:rPr>
        <w:t>н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общий фактический расход будет ниже общего нормативного, то будет экономия матер. ресурсов и наоборот.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натуральном выражении (т, литры, метры,…) перерасход или экономия получается как разность между общим нормативным и общим фактическим расходами, т.е. разность между знаменателем и числителем.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Индекс удельных норм матер. затрат в стоимостном выражении. Судить о перерасходе или экономии какого-либо вида матер. ресурсов фактически по сравнению с нормативным можно и в стоимостном выражении.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Im = q(1)m(1)po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</w:rPr>
        <w:t>(1)</w:t>
      </w:r>
      <w:r>
        <w:rPr>
          <w:color w:val="000000"/>
          <w:sz w:val="24"/>
          <w:szCs w:val="24"/>
          <w:lang w:val="en-US"/>
        </w:rPr>
        <w:t>m</w:t>
      </w: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  <w:lang w:val="en-US"/>
        </w:rPr>
        <w:t>p</w:t>
      </w:r>
      <w:r>
        <w:rPr>
          <w:color w:val="000000"/>
          <w:sz w:val="24"/>
          <w:szCs w:val="24"/>
        </w:rPr>
        <w:t>о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 – цена на единицу любого вида материальных ресурсов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Числитель – полная ст-ть фактически израсходованного вида материалов на все виды продукции в отчётном периоде.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Знаменатель – полная нормативная ст-ть данного вида сырья, материалов на все виды продукции.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Чтобы говорить об экономии или перерасходе матер. ресурсов в стоимостном выражении, надо взять разность меду числителем и знаменателем данного индекса.</w:t>
      </w:r>
    </w:p>
    <w:p w:rsidR="008560C7" w:rsidRDefault="00737F2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СТАТИСТИКА ТРУДОВЫХ РЕСУРСОВ.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Трудовые ресурсы страны представляют собой основной элемент производительных сил об-ва.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Эк. активное население явл-ся производителем все матер. благ, работ, услуг, а население страны в целом – потребителем этих благ и услуг.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Труд. ресурсы страны – это население в трудоспособном возрасте.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правильного рационального распределения и использования труд. ресурсов зависят в немалой степени конечные результаты пр-ва в стране. Поэтому труд. ресурсы - осн. фактор повышения эффективности пр-ва.</w:t>
      </w:r>
    </w:p>
    <w:p w:rsidR="008560C7" w:rsidRDefault="00737F2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СОСТАВ ТРУДОВЫХ РЕСУРСОВ ПРОМЫШЛЕННОГО ПРЕДПРИЯТИЯ.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Состав труд. ресурсов на предприятии изучают в 2 направлениях в зависимости от структуры пром. предприятия: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зависимости от места, участка, на котором заняты работники – делятся на 2 осн. группы: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Промышленно-производственный персонал – работники самого предприятия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Непром. персонал – работники, занятые в хозяйствах непром. типа, относящиеся к нашему предприятию.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зависимости от функций, выполняемых работниками, промышленно-производственный персонал делится на 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Рабочих (осн. и вспомогательные , ученики, младший обслуживающий персонал (МОП), работники охраны – ПСО (пожарно-сторожевая охрана))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Служащих (руководители, специалисты).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Состав работников изучается также и по другим показателям – стажу работы, образованию, полу, возрасту, национальности, по профессиям и квалификации. Каждому рабочему в зависимости от уровня квалификации присваивается тот или иной тарифный разряд тарифной сис-мы, действующей в стране. Он характеризует уровень квалификации каждого работника. В стране действует 6-ти разрядная тарифная сис-ма и только в цветной металлургии – 7 разрядная тарифная сетка.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Тарифная сетка – это элемент тарифной сис-мы, это шкала, определяющая соотношения в размерах тарифных ставок в зависимости от уровня квалификации, разряда и сложности условий труда.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Каждый разряд тарифной сетки имеет свой тарифный коэффициент. Он показывает во сколько раз часовая оплата труда рабочего данного разряда выше часовой оплаты труда рабочего первого разряда. Также различие между высшим и низшим разрядами отражает разницу в сложности выполняемых работ и создаёт у рабочих заинтересованность в повышении уровня квалификации.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стране существуют 2 вида тарифно-квалификационных справочников: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общероссийский – единый для сквозных профессий, которые присутствуют в каждой отрасли н/х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отраслевые – относятся к профессиям, характерным только для данной отрасли.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данным предприятия известно: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2"/>
        <w:gridCol w:w="3662"/>
        <w:gridCol w:w="3662"/>
      </w:tblGrid>
      <w:tr w:rsidR="008560C7">
        <w:trPr>
          <w:jc w:val="center"/>
        </w:trPr>
        <w:tc>
          <w:tcPr>
            <w:tcW w:w="3662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ТАРИФНЫЙ РАЗРЯД</w:t>
            </w:r>
          </w:p>
        </w:tc>
        <w:tc>
          <w:tcPr>
            <w:tcW w:w="3662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ТАРИФНЫЙ КОЭФФИЦИЕНТ</w:t>
            </w:r>
          </w:p>
        </w:tc>
        <w:tc>
          <w:tcPr>
            <w:tcW w:w="3662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СПИСОЧНОЕ ЧИСЛО РАБОТНИКОВ</w:t>
            </w:r>
          </w:p>
        </w:tc>
      </w:tr>
      <w:tr w:rsidR="008560C7">
        <w:trPr>
          <w:jc w:val="center"/>
        </w:trPr>
        <w:tc>
          <w:tcPr>
            <w:tcW w:w="3662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Х(1)</w:t>
            </w:r>
          </w:p>
        </w:tc>
        <w:tc>
          <w:tcPr>
            <w:tcW w:w="3662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Х(2)</w:t>
            </w:r>
          </w:p>
        </w:tc>
        <w:tc>
          <w:tcPr>
            <w:tcW w:w="3662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f</w:t>
            </w:r>
          </w:p>
        </w:tc>
      </w:tr>
      <w:tr w:rsidR="008560C7">
        <w:trPr>
          <w:jc w:val="center"/>
        </w:trPr>
        <w:tc>
          <w:tcPr>
            <w:tcW w:w="3662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62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1,29</w:t>
            </w:r>
          </w:p>
        </w:tc>
        <w:tc>
          <w:tcPr>
            <w:tcW w:w="3662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8560C7">
        <w:trPr>
          <w:jc w:val="center"/>
        </w:trPr>
        <w:tc>
          <w:tcPr>
            <w:tcW w:w="3662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62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1,48</w:t>
            </w:r>
          </w:p>
        </w:tc>
        <w:tc>
          <w:tcPr>
            <w:tcW w:w="3662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</w:tr>
      <w:tr w:rsidR="008560C7">
        <w:trPr>
          <w:jc w:val="center"/>
        </w:trPr>
        <w:tc>
          <w:tcPr>
            <w:tcW w:w="3662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62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1,72</w:t>
            </w:r>
          </w:p>
        </w:tc>
        <w:tc>
          <w:tcPr>
            <w:tcW w:w="3662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</w:tr>
      <w:tr w:rsidR="008560C7">
        <w:trPr>
          <w:jc w:val="center"/>
        </w:trPr>
        <w:tc>
          <w:tcPr>
            <w:tcW w:w="3662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62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3662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8560C7">
        <w:trPr>
          <w:jc w:val="center"/>
        </w:trPr>
        <w:tc>
          <w:tcPr>
            <w:tcW w:w="3662" w:type="dxa"/>
          </w:tcPr>
          <w:p w:rsidR="008560C7" w:rsidRDefault="008560C7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62" w:type="dxa"/>
          </w:tcPr>
          <w:p w:rsidR="008560C7" w:rsidRDefault="008560C7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62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</w:tr>
    </w:tbl>
    <w:p w:rsidR="008560C7" w:rsidRDefault="008560C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Рассчитать: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средний тарифный разряд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средний тарифный коэффициент.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Х(1) = х</w:t>
      </w:r>
      <w:r>
        <w:rPr>
          <w:color w:val="000000"/>
          <w:sz w:val="24"/>
          <w:szCs w:val="24"/>
          <w:lang w:val="en-US"/>
        </w:rPr>
        <w:t>f</w:t>
      </w:r>
      <w:r>
        <w:rPr>
          <w:color w:val="000000"/>
          <w:sz w:val="24"/>
          <w:szCs w:val="24"/>
        </w:rPr>
        <w:t xml:space="preserve"> = 3 х 6 + 4 х 14 + 5 х 22 + 6 х 9 = 4,6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  <w:lang w:val="en-US"/>
        </w:rPr>
        <w:t>f</w:t>
      </w:r>
      <w:r>
        <w:rPr>
          <w:color w:val="000000"/>
          <w:sz w:val="24"/>
          <w:szCs w:val="24"/>
        </w:rPr>
        <w:t xml:space="preserve">  54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Средний уровень квалификации соответствует разряду на уровне 4,6.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Х(2) = х(2)</w:t>
      </w:r>
      <w:r>
        <w:rPr>
          <w:color w:val="000000"/>
          <w:sz w:val="24"/>
          <w:szCs w:val="24"/>
          <w:lang w:val="en-US"/>
        </w:rPr>
        <w:t>f</w:t>
      </w:r>
      <w:r>
        <w:rPr>
          <w:color w:val="000000"/>
          <w:sz w:val="24"/>
          <w:szCs w:val="24"/>
        </w:rPr>
        <w:t xml:space="preserve"> = 1,29 х 6 + 1,48 х 17 + 1,72 х 22 + 2,00 х 9 = 1,6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  <w:lang w:val="en-US"/>
        </w:rPr>
        <w:t>f</w:t>
      </w:r>
      <w:r>
        <w:rPr>
          <w:color w:val="000000"/>
          <w:sz w:val="24"/>
          <w:szCs w:val="24"/>
        </w:rPr>
        <w:t xml:space="preserve">   54 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Средний тарифный разряд и средний тарифный коэффициент рассчитываются по формуле средней арифметической взвешенной, где весами для каждого номера разряда или тарифного коэф-та явл-ся соответствующее им число рабочих.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 профессией понимают опр. комплекс знаний и навыков, а под квалификацией – степень овладения этими знаниями и навыками.</w:t>
      </w:r>
    </w:p>
    <w:p w:rsidR="008560C7" w:rsidRDefault="00737F2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КАТЕГОРИИ ЧИСЛЕННОСТИ ТРУДОВЫХ РЕСУРСОВ.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Различают 3 категории численности промышленно-производственного персонала (ППП):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численная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явочная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фактическая.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Списочный состав работников учитывается на каждый календарный день месяца. В ППП ежедневно включаются все постоянные, временные, сезонные работники, если они отработали полностью хоть один рабочий день. Списочный состав ежедневно может изменяться в связи с движением рабочей силы. Поэтому в стат. форме по труду №2-Т показывается средняя списочная численность.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Списочный состав работников в праздничные и выходные дни равен списочному составу за предыдущий рабочий день.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Среднесписочная численность ППП показывает косвенно общие затраты труда за опр. период. Эк. смысл показателя – число человекомесяцев пребывания работников в списках предприятия. 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Среднесписочная численность ППП рассчитывается за месяц 2 способами: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Путём деления суммы списочной численности работников за все календарные дни месяца на число календарных дней в месяце.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Тмес = Ткал.дни месяца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n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Путём деления суммы человеко-дней явок и неявок на работу за все календарные дни месяца на число календарных дней в месяце.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 = (явок + неявок) человеко-дней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 xml:space="preserve"> дн.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данным предприятия известно: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1 апреля списочная численность ППП 400 человек, зачислено в списки 5 апреля 6 человек, уволено 20 апреля 15 человек. Рассчитать среднесписочную численность за апрель.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Тмес = Т = 400х4+406х15+391х11 = 399 человек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 xml:space="preserve">  30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Производственными работниками отработано за июль 208500 человеко-дней (явки), неявки на работу по всем причинам составили 27200 человеко-дней. Рассчитать среднесписочную численность.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208500 + 27200 = 7857 человек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30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Явочная численность – это то число работников из списочного состава, которые вышли, явились на работу, хотя по каким-либо причинам могли его полностью и не отработать, однако отработанным человеко-день считается.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Фактическая численность ППП – это то число работников из явочной численности, которые полностью отработали рабочий день. Учитывается фактически отработанное ими время как в человеко-часах, так и в человеко-днях.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Средняя явочная и средняя фактическая численность рассчитываются путём деления числа явочной или фактической численности за все рабочие дни месяца на число рабочих дней в месяце. Расчёт по средней арифметической простой.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Расчёт среднесписочной численности ППП за квартал (год) производится 2 способами: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известна средняя списочная численность за каждый месяц в квартале (году), то среднесписочная численность рассчитывается путём деления суммы средней списочной численности ППП за каждый месяц в квартале или году на число месяцев в квартале или году . Используется формула средней арифметической простой.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Тквар,год = Тмес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n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нет таких данных, а известна списочная численность ППП на начало каждого месяца квартала, года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Тквар = 1/2Т(1) + Т(2) + Т(3) + 1/2Т(4)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 xml:space="preserve"> - 1)</w:t>
      </w:r>
    </w:p>
    <w:p w:rsidR="008560C7" w:rsidRDefault="00737F2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СТАТИСТИЧЕСКИЕ ПОКАЗАТЕЛИ ДВИЖЕНИЯ РАБОЧЕЙ СИЛЫ.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 движением рабочей силы понимают механическое изменение её численности и состава или перераспределение.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Любое изменение численности, связанное с приёмом, увольнением и перераспределением работников называется « оборотом » рабочей силы. Различают абсолютные показатели оборотов раб. силы и относительные показатели движения раб. силы.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абсолютным показателям движения раб. силы относятся: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абсолютный оборот по приёму – это число работников, принятых на работу в данном периоде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абсолютный оборот по увольнению – число уволенных за данный период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общий абсолютный оборот рабочей силы – это сумма абсолютного оборота по приёму и абсолютного оборота по увольнению – сумма принятых и уволенных.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 абсолютные размеры оборотов не характеризуют степень интенсивности движения раб. силы. На этот вопрос – какова степень движения раб. силы – можно ответить путём расчёта относительных показателей оборотов раб. силы – коэф-та оборотов отдельно по приёму , по увольнению и общему обороту раб. силы. Они рассчитываются путём деления абсолютного оборота по приёму на среднюю списочную численность ППП.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Коб. по приёму = Аоб. по приёму х 100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Тппп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Коб. по увольнению = Аоб по увольнению х 100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Тппп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общ. оборота = А общ. оборот х 100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Тппп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Любое движение раб. силы нежелательно для предприятия, т.к. это отражается на ухудшении осн. показателей хоз. деят-ти предприятия - в первую очередь на снижении уровня производительности труда, а также снижении качества продукции, росте оплаты труда, что влияет на размер уровня с/ст-ти - растёт.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Различают 2 вида оборотов по увольнению: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необходимый – это увольнение работников по причинам естественного, производственного и общегосударственного характера.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излишний – это абсолютное число уволенных только по 3 причинам: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собственному желанию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не прошедшие испытательного срока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нарушения трудовой дисциплины.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Размер уволенных по этим 3 причинам и образуют показатель «текучесть раб. силы». Абсолютный размер текучести не характеризует степень текучести раб. силы. На этот вопрос отвечает относительный показатель текучести – коэф-т текучести. Он получается путём деления абсолютного размера текучести на среднесписочную численность ППП, выражается в %.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Ктек. = А размер текучести х 100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Тппп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Существует показатель «замещения» раб. силы – это число принятых в замен такого же числа уволенных.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оценки степени изменения общей численности ППП – общего движения раб. силы применяется индекс изменения численности работников в отчётном и базисном периоде.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>т = Тппп(1) х 100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Тппп(о)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 этот показатель имеет недостаток: не всегда точно характеризует степень движения раб. силы. Если внутри отчётного периода было движение раб. силы и по приёму, и по увольнению, но только в размере замещения, то оказывается случайно, что численность на начало и конец периода остаётся одинаковой. В этом случае индекс движения численности будет равен 1, несмотря на то, что движение раб. силы внутри периода наблюдалось.</w:t>
      </w:r>
    </w:p>
    <w:p w:rsidR="008560C7" w:rsidRDefault="00737F2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СТАТИСТИЧЕСКИЙ ПОКАЗАТЕЛЬ ИСПОЛЬЗОВАНИЯ РАБОЧЕГО ВРЕМЕНИ.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 Количество самого труда измеряется его продолжительностью, рабочим временем , а рабочее время находит в свою очередь, свой масштаб в опр. долях времени, каковы: час, день, месяц, год, неделя,…»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 рабочим временем понимают установленное законом время для данного предприятия, которое должно быть использовано для выполнения произв. заданий или служебных обязанностей. Оно определяется с учётом особенностей труда отд. групп работников. Поэтому режим работы предприятий по времени разный у каждого предприятия.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Рабочий день может быть: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нормальным (8 часов)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неполным (уменьшение продолжительности рабочего дня соответствует уменьшению з/п)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сокращённый (для занятых на работах с вредными условиями труда или для подростков, для некоторых групп работников умственного труда; при этом оплата производится как за полный рабочий день)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льготный (когда в рабочее время включаются оплачиваемые перерывы или сокращается обязательное раб. время без уменьшения з/п)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удлинённый (с соответствующим увеличением з/п)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ненормированный (для работников, труд которых не поддаётся учёту во времени, продолжительность его определяется объёмом работы, которую обязаны выполнить работники в установленный срок).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Рабочее время учитывается с помощью показателей: 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отработанный человеко-час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отработанный человеко-день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косвенной мерой отработанного времени явл-ся показатель – среднесписочная численность ППП.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Представление об использовании раб. времени на предприятии даёт анализ годовой формы отчётности по труду №2-Т. В ней приводятся данные о фактически отработанном времени в человеко-часах и человеко-днях и о неявках на работу по всем причинам.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Различают след. фонды рабочего времени: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календарный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табельный – получается как разность между календарным фондом времени и числом человеко-дней неявок на работу в праздничные и выходные дни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максимально возможный к отработке – получается как разность между календарным фондом и числом человеко-дней неявок на работу в праздничные, выходные и очередные отпуска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фактический - расчётным путём получить нельзя. Он к концу отчётного периода складывается в объёме фактически отработанного времени, поэтому учитывается как в человеко-часах, так и в отработанных человеко-днях. 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Ни один из фондов раб. времени, кроме фактического, полностью не отрабатывается за счёт разных причин неявок работников, простоев оборудования, поломки и т.д. Поэтому, чтобы судить о степени использования раб. времени, рассчитывают целый ряд относительных показателей степени использования раб. времени – коэф-ты использования раб. времени. 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того, чтобы судить о том, в какой степени было отработано рабочее время, положенное к отработке, следует рассчитывать относительные показатели – коэффициенты использования рабочего времени: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коэф-т возможного произв. использования трудовых ресурсов, т.е. календарного фонда времени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кал. ф. = </w:t>
      </w:r>
      <w:r>
        <w:rPr>
          <w:color w:val="000000"/>
          <w:sz w:val="24"/>
          <w:szCs w:val="24"/>
          <w:lang w:val="en-US"/>
        </w:rPr>
        <w:t>max</w:t>
      </w:r>
      <w:r>
        <w:rPr>
          <w:color w:val="000000"/>
          <w:sz w:val="24"/>
          <w:szCs w:val="24"/>
        </w:rPr>
        <w:t xml:space="preserve"> возм. ф. раб. вр. (ч-д) х 100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Календ. ф. вр (ч-д)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коэф-т фактического произв. использования труд. ресурсов или раб. времени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факт. пр. исп. = факт. ф. раб. вр. (ч-д) х 100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Календ. ф. вр. (ч-д)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коэф-т использования табельного фонда времени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исп. таб. ф. вр. = факт. ф. раб. вр. (ч-д) х 100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Таб. ф. раб. вр. (ч-д)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коэф-т фактического использования трудовых ресурсов по отношению к максимально возможному фонду времени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факт. исп. = факт. ф. раб. вр. (ч-д) х 100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max</w:t>
      </w:r>
      <w:r>
        <w:rPr>
          <w:color w:val="000000"/>
          <w:sz w:val="24"/>
          <w:szCs w:val="24"/>
        </w:rPr>
        <w:t xml:space="preserve"> возм. ф. вр (ч-д)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указанных показателей степени использования раб. времени на каждом предприятии на начало отчётного периода, рассчитывают ещё 2 показателя раб. времени: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число дней работы в среднем на одного работника в году – получается как разность между календарным фондом времени (365 дней) и числом дней невыходов на работу одного работника в праздничные, выходные, очередные отпуска и среднего размера дней невыходов по прочим причинам по данным, фактически сложившимся в среднем на одного работника по факту на конец прошлого года.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Средняя продолжительность одного раб. дня. У каждого предприятия разный режим работы – им устанавливается по закону своё число часов к отработке в один раб. день с учётом условий труда, однако положенное к отработке по закону время в день полностью не отрабатывается за счёт разных видов перерывов по разным причинам – на обед, подготовку и уборку рабочего места, переналадку оборудования и пр. Поэтому на начало года получается средняя плановая продолжительность раб. дня.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того, чтобы говорить о степени использования раб. времени по этим 2 показателям рассчитываются след. коэф-ты использования раб. времени: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коэф-т использования числа дней работы на одного работника в году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К(1) = среднее фактич. число дней работы 1 списочного работника в году (ч-д) х 100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Среднее число дней, предусмотренных к отработке по плану (ч-д)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данным формы №2 – Т в конце периода приводятся данные о фактически отработанном времени как в человеко-днях, так и в человеко-часах. Среднее фактическое число дней на одного работника в году рассчитывается путём деления фактического фонда времени в человеко-днях на среднюю списочную численность ППП в году.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коэф-т использования продолжительности 1 раб. дня в человеко-часах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К(2)полный) = полная фактич. ср. продолжительность 1 раб. дня (человеко-часы) х 100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Средняя продолжительность 1 раб. дня, предусмотренная планом (человеко-часы)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речь идёт о полном раб. времени, то это сумма урочного и сверхурочного отработанного времени в человеко-часах.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Урочное раб. время – это время, положенное к отработке по закону.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Полная фактическая средняя продолжительность 1 раб. дня рассчитывается путём деления фактически отработанного времени в человеко-часах на фактически отработанное время в человеко-днях.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К(3) = К(1) х К(2)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Показывается степень использования раб. времени за счёт обоих факторов одновременно – и числа дней работы 1 работника, и продолжительности 1 раб. дня. Показывает потенциальную возможность предприятия улучшить степень использования раб. времени труда работников за счёт снижения невыходов на работу по разным причинам.</w:t>
      </w:r>
    </w:p>
    <w:p w:rsidR="008560C7" w:rsidRDefault="00737F2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ПРИМЕР.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данным формы №2 – т известно: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2"/>
        <w:gridCol w:w="3662"/>
        <w:gridCol w:w="3662"/>
      </w:tblGrid>
      <w:tr w:rsidR="008560C7">
        <w:tc>
          <w:tcPr>
            <w:tcW w:w="3662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3662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3662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ФАКТ</w:t>
            </w:r>
          </w:p>
        </w:tc>
      </w:tr>
      <w:tr w:rsidR="008560C7">
        <w:tc>
          <w:tcPr>
            <w:tcW w:w="3662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Отработано за год (тыс. ч-д)</w:t>
            </w:r>
          </w:p>
        </w:tc>
        <w:tc>
          <w:tcPr>
            <w:tcW w:w="3662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295,4</w:t>
            </w:r>
          </w:p>
        </w:tc>
        <w:tc>
          <w:tcPr>
            <w:tcW w:w="3662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289,3</w:t>
            </w:r>
          </w:p>
        </w:tc>
      </w:tr>
      <w:tr w:rsidR="008560C7">
        <w:tc>
          <w:tcPr>
            <w:tcW w:w="3662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Неявок на работу (тыс. ч-д)</w:t>
            </w:r>
          </w:p>
        </w:tc>
        <w:tc>
          <w:tcPr>
            <w:tcW w:w="3662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89,7</w:t>
            </w:r>
          </w:p>
        </w:tc>
        <w:tc>
          <w:tcPr>
            <w:tcW w:w="3662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94,7</w:t>
            </w:r>
          </w:p>
        </w:tc>
      </w:tr>
      <w:tr w:rsidR="008560C7">
        <w:tc>
          <w:tcPr>
            <w:tcW w:w="3662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Отработано за год (тыс ч-ч)</w:t>
            </w:r>
          </w:p>
        </w:tc>
        <w:tc>
          <w:tcPr>
            <w:tcW w:w="3662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2274,6</w:t>
            </w:r>
          </w:p>
        </w:tc>
        <w:tc>
          <w:tcPr>
            <w:tcW w:w="3662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2256,5</w:t>
            </w:r>
          </w:p>
        </w:tc>
      </w:tr>
      <w:tr w:rsidR="008560C7">
        <w:tc>
          <w:tcPr>
            <w:tcW w:w="3662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т.ч. сверхурочные работы (тыс. ч-ч)</w:t>
            </w:r>
          </w:p>
        </w:tc>
        <w:tc>
          <w:tcPr>
            <w:tcW w:w="3662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62" w:type="dxa"/>
          </w:tcPr>
          <w:p w:rsidR="008560C7" w:rsidRDefault="00737F2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2,5</w:t>
            </w:r>
          </w:p>
        </w:tc>
      </w:tr>
    </w:tbl>
    <w:p w:rsidR="008560C7" w:rsidRDefault="008560C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Рассчитать вышеприведённые коэффициенты использования раб. времени.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рассчитать среднесписочную численность ППП по плану и фактически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Тпл. = явки + неявки (ч-д) = 295,4 + 89,7 = 1055 человек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 xml:space="preserve"> дней в году  365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Тфакт. = 289,3 + 94,7 = 1052 человека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365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рассчитать среднее число дней работы на 1 работающего по плану и фактически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 xml:space="preserve"> пл. = 295 400 = 280 дней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1055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 xml:space="preserve"> факт. = 289 300 = 275 дней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1052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степень использования раб. времени по числу дней работы на одного работника составляет: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К(1) = 275 х 100 = 98,2%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280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степень использования раб. времени снижена за счёт роста неявок на работу по прочим причинам.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рассчитаем продолжительность 1 раб. дня по плану и фактически.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 xml:space="preserve"> пл. = 2274,6 = 7,70 час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295,4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 xml:space="preserve"> факт. = 2256,6 = 7,80 час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289,3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рабочее время по продолжительности 1 раб. дня было использовано: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К(2) = 7,80 х 100 = 101,3%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7,70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этот результат говорит о том, что было улучшено использование степени раб. времени на 1,3% за счёт проведения сверхурочных работ и сокращения перерывов по разным причинам.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рассчитаем урочную продолжительность 1 раб. дня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 xml:space="preserve"> ур. = 2256,5 – 2,5 = 7,79 час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289,3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Этот результат говорит о том, что мы улучшили использование раб. времени на 0,9 часа за счёт сокращения только перерывов.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рассчитать степень использования раб. времени за счёт обоих факторов – и числа дней работы 1 работника в году, и продолжительности 1 раб. дня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инт. = К(1) х К(2) = 0, 982 х 1,013 = 0, 995 х 100 = 99,5%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инт. = 275 х 7,80 = 0,995 х 100 = 99,5%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280 х 7,70 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Коэф-т говорит о том, что у предприятия есть резерв, потенциальная возможность улучшить степень использования раб. времени за счёт указанных показателей на 0,5%.</w:t>
      </w:r>
    </w:p>
    <w:p w:rsidR="008560C7" w:rsidRDefault="00737F2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ПОКАЗАТЕЛИ СМЕННОСТИ РАБОТЫ ПРЕДПРИЯТИЯ.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Каждому предприятию устанавливается своё число смен к отработке в день, однако показатель «число смен»не характеризует равномерность распределения работников по сменам, а значит и отработанное ими время.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Точное представление по этому вопросу даёт показатель «коэф-т сменности». Он даёт возможность рассчитать истинное фактически отработанное число смен в день. В 1-ую смену всегда работает наибольшее число работников, в каждую последующую численность работников снижается.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Коэф-т сменности рассчитывается путём деления общего числа человеко-дней, отработанных во всех сменах на число человеко-дней, отработанных в наибольшей по числу работников смене.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Пример: хлебозавод работает в 3 смены. В каждую отработано след. число человеко-дней: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– 7 500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 – 5 600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 – 5 000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Всего – 18 100 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см. = 18 100 = 2,4 см.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7 500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Результат говорит о том, что в среднем было отработано вместо 3 положенных к отработке смен фактически только 2,4 смены за счёт неравномерной расстановки работников по сменам.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того, чтобы говорить о степени использования сменного режима, т.е. рабочего времени, следует рассчитывать коэф-т использования сменного режима. Получается путём деления коэф-та сменности на число смен, положенных к отработке.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исп. см. реж. = 2,4 х 100 = 80,3%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3,0</w:t>
      </w:r>
    </w:p>
    <w:p w:rsidR="008560C7" w:rsidRDefault="00737F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предприятия есть резерв использования сменного режима в размере 19,7%.</w:t>
      </w:r>
    </w:p>
    <w:p w:rsidR="008560C7" w:rsidRDefault="008560C7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8560C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7F22"/>
    <w:rsid w:val="00737F22"/>
    <w:rsid w:val="008560C7"/>
    <w:rsid w:val="00A2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47853FA-8B64-4A4A-A4AD-2E437EB3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  <w:color w:val="00FF00"/>
      <w:sz w:val="96"/>
      <w:szCs w:val="96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52"/>
      <w:szCs w:val="5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u w:val="single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  <w:color w:val="00FFFF"/>
      <w:sz w:val="22"/>
      <w:szCs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styleId="a3">
    <w:name w:val="Body Text"/>
    <w:basedOn w:val="a"/>
    <w:link w:val="a4"/>
    <w:uiPriority w:val="99"/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jc w:val="both"/>
    </w:pPr>
    <w:rPr>
      <w:sz w:val="18"/>
      <w:szCs w:val="1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page number"/>
    <w:basedOn w:val="a0"/>
    <w:uiPriority w:val="99"/>
  </w:style>
  <w:style w:type="paragraph" w:styleId="aa">
    <w:name w:val="Document Map"/>
    <w:basedOn w:val="a"/>
    <w:link w:val="ab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Pr>
      <w:rFonts w:ascii="Segoe UI" w:hAnsi="Segoe UI" w:cs="Segoe UI"/>
      <w:sz w:val="16"/>
      <w:szCs w:val="16"/>
    </w:rPr>
  </w:style>
  <w:style w:type="paragraph" w:styleId="31">
    <w:name w:val="Body Text 3"/>
    <w:basedOn w:val="a"/>
    <w:link w:val="32"/>
    <w:uiPriority w:val="99"/>
    <w:pPr>
      <w:jc w:val="both"/>
    </w:pPr>
    <w:rPr>
      <w:sz w:val="18"/>
      <w:szCs w:val="18"/>
      <w:u w:val="single"/>
    </w:rPr>
  </w:style>
  <w:style w:type="character" w:customStyle="1" w:styleId="32">
    <w:name w:val="Основной текст 3 Знак"/>
    <w:basedOn w:val="a0"/>
    <w:link w:val="31"/>
    <w:uiPriority w:val="99"/>
    <w:semiHidden/>
    <w:rPr>
      <w:rFonts w:ascii="Times New Roman" w:hAnsi="Times New Roman" w:cs="Times New Roman"/>
      <w:sz w:val="16"/>
      <w:szCs w:val="16"/>
    </w:rPr>
  </w:style>
  <w:style w:type="character" w:styleId="ac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3327</Words>
  <Characters>18966</Characters>
  <Application>Microsoft Office Word</Application>
  <DocSecurity>0</DocSecurity>
  <Lines>158</Lines>
  <Paragraphs>44</Paragraphs>
  <ScaleCrop>false</ScaleCrop>
  <Company>PERSONAL COMPUTERS</Company>
  <LinksUpToDate>false</LinksUpToDate>
  <CharactersWithSpaces>22249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СТАТИСТИКА СЫРЬЯ, МАТЕРИАЛОВ, ТОПЛИВА И ДР</dc:title>
  <dc:subject/>
  <dc:creator>USER</dc:creator>
  <cp:keywords/>
  <dc:description/>
  <cp:lastModifiedBy>admin</cp:lastModifiedBy>
  <cp:revision>2</cp:revision>
  <dcterms:created xsi:type="dcterms:W3CDTF">2014-01-30T15:07:00Z</dcterms:created>
  <dcterms:modified xsi:type="dcterms:W3CDTF">2014-01-30T15:07:00Z</dcterms:modified>
</cp:coreProperties>
</file>