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93" w:rsidRDefault="00E37C93">
      <w:pPr>
        <w:pStyle w:val="a5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СОДЕРЖАНИЕ</w:t>
      </w:r>
    </w:p>
    <w:p w:rsidR="00E37C93" w:rsidRDefault="00E37C93">
      <w:pPr>
        <w:pStyle w:val="a5"/>
        <w:rPr>
          <w:rFonts w:ascii="Courier New" w:hAnsi="Courier New" w:cs="Courier New"/>
        </w:rPr>
      </w:pPr>
    </w:p>
    <w:p w:rsidR="00E37C93" w:rsidRDefault="00E37C93">
      <w:pPr>
        <w:pStyle w:val="a5"/>
        <w:rPr>
          <w:rFonts w:ascii="Courier New" w:hAnsi="Courier New" w:cs="Courier New"/>
        </w:rPr>
      </w:pPr>
    </w:p>
    <w:p w:rsidR="00E37C93" w:rsidRDefault="00E37C93">
      <w:pPr>
        <w:pStyle w:val="a5"/>
        <w:rPr>
          <w:rFonts w:ascii="Courier New" w:hAnsi="Courier New" w:cs="Courier New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8"/>
        <w:gridCol w:w="565"/>
      </w:tblGrid>
      <w:tr w:rsidR="00E37C93" w:rsidTr="00E37C93">
        <w:trPr>
          <w:trHeight w:val="635"/>
        </w:trPr>
        <w:tc>
          <w:tcPr>
            <w:tcW w:w="8468" w:type="dxa"/>
            <w:tcBorders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Введение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Система политических прав и свобод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участвовать в управлении делами государства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на референдум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на равный доступ к государственной службе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</w:t>
            </w:r>
          </w:p>
        </w:tc>
      </w:tr>
      <w:tr w:rsidR="00E37C93" w:rsidTr="00E37C93">
        <w:trPr>
          <w:trHeight w:val="635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участвовать в отправлении правосудия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9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на объединение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10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на мирные собрания и публичные манифестации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12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Свобода печати и информации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15</w:t>
            </w:r>
          </w:p>
        </w:tc>
      </w:tr>
      <w:tr w:rsidR="00E37C93" w:rsidTr="00E37C93">
        <w:trPr>
          <w:trHeight w:val="635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Право обращений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17</w:t>
            </w:r>
          </w:p>
        </w:tc>
      </w:tr>
      <w:tr w:rsidR="00E37C93" w:rsidTr="00E37C93">
        <w:trPr>
          <w:trHeight w:val="616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Заключение</w:t>
            </w:r>
          </w:p>
          <w:p w:rsidR="00E37C93" w:rsidRDefault="00E37C93">
            <w:pPr>
              <w:pStyle w:val="a5"/>
              <w:jc w:val="left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20</w:t>
            </w:r>
          </w:p>
        </w:tc>
      </w:tr>
      <w:tr w:rsidR="00E37C93" w:rsidTr="00E37C93">
        <w:trPr>
          <w:trHeight w:val="576"/>
        </w:trPr>
        <w:tc>
          <w:tcPr>
            <w:tcW w:w="84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7C93" w:rsidRDefault="00E37C93">
            <w:pPr>
              <w:pStyle w:val="3"/>
              <w:tabs>
                <w:tab w:val="clear" w:pos="10224"/>
                <w:tab w:val="left" w:pos="568"/>
              </w:tabs>
              <w:jc w:val="lef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Список литературы</w:t>
            </w:r>
          </w:p>
          <w:p w:rsidR="00E37C93" w:rsidRDefault="00E37C93">
            <w:pPr>
              <w:rPr>
                <w:rFonts w:ascii="Courier New" w:hAnsi="Courier New" w:cs="Courier Ne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22</w:t>
            </w:r>
          </w:p>
        </w:tc>
      </w:tr>
      <w:tr w:rsidR="00E37C93" w:rsidTr="00E37C93">
        <w:trPr>
          <w:trHeight w:val="89"/>
        </w:trPr>
        <w:tc>
          <w:tcPr>
            <w:tcW w:w="8468" w:type="dxa"/>
            <w:tcBorders>
              <w:top w:val="single" w:sz="4" w:space="0" w:color="auto"/>
              <w:bottom w:val="nil"/>
              <w:right w:val="nil"/>
            </w:tcBorders>
          </w:tcPr>
          <w:p w:rsidR="00E37C93" w:rsidRDefault="00E37C93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7C93" w:rsidRDefault="00E37C93">
            <w:pPr>
              <w:pStyle w:val="a5"/>
              <w:jc w:val="right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b/>
          <w:bCs/>
          <w:sz w:val="24"/>
          <w:szCs w:val="24"/>
        </w:rPr>
        <w:t>ВВЕДЕНИЕ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Правовой статус личности определяется всей совокупностью прав человека и гражданина, отраженных в нормах всех отраслей  действующего права.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Основы правового статуса личности охватывают конституционно закрепленные права и свободы. Понятие же основных прав и свобод человека и гражданина можно сформулировать следующим образом: Конституционные (основные) права и свободы, принадлежащие ему от  рождения (в надлежащих случаях в силу его гражданства), защищаемые государством, составляющие ядро  правового статуса личности.</w:t>
      </w:r>
      <w:r>
        <w:rPr>
          <w:rStyle w:val="a9"/>
          <w:rFonts w:ascii="Courier New" w:hAnsi="Courier New" w:cs="Courier New"/>
          <w:sz w:val="24"/>
          <w:szCs w:val="24"/>
        </w:rPr>
        <w:footnoteReference w:id="1"/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 Об этом  говорится в ст.55 ч.2 Конституции Р.Ф.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Глава 2 Конституции Р.Ф., посвященная правам и свободам  человека и гражданина, включает  48 статей (с 17 по 64).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Впервые научную классификацию данных правомочий осуществила  М.П. Карева, приняв за основу важнейшие  сферы деятельности человека.</w:t>
      </w:r>
      <w:r>
        <w:rPr>
          <w:rStyle w:val="a9"/>
          <w:rFonts w:ascii="Courier New" w:hAnsi="Courier New" w:cs="Courier New"/>
          <w:sz w:val="24"/>
          <w:szCs w:val="24"/>
        </w:rPr>
        <w:footnoteReference w:id="2"/>
      </w:r>
      <w:r>
        <w:rPr>
          <w:rFonts w:ascii="Courier New" w:hAnsi="Courier New" w:cs="Courier New"/>
          <w:sz w:val="24"/>
          <w:szCs w:val="24"/>
        </w:rPr>
        <w:t xml:space="preserve"> Ее классификация включала следующие составляющие: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а) социально-экономические права;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б) равноправие граждан;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в) демократические свободы.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дальнейшем государственно-правовая наука, используя классификационные основы, предложенные М.П. Каревой, выработала систему основных прав и свобод, куда вошли: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1) социально-экономические права и свободы  граждан;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2) политические права и свободы граждан;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3) личные  права и свободы граждан.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Наиболее подробно данная  проблема  исследуется Л.Д. Воеводиным. Автор удачно совместил наименование элементов системы конституционных прав и обязанностей с основанием  приведенной  классификации. Ученый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выделил следующие группы основных прав, свобод и обязанностей: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1) права и обязанности граждан в сфере социально-экономической и культурной жизни;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2) права и обязанности граждан в сфере государственной и общественно-политической жизни;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3) права и обязанности граждан в сфере индивидуальной свободы.</w:t>
      </w:r>
      <w:r>
        <w:rPr>
          <w:rStyle w:val="a9"/>
          <w:rFonts w:ascii="Courier New" w:hAnsi="Courier New" w:cs="Courier New"/>
          <w:sz w:val="24"/>
          <w:szCs w:val="24"/>
        </w:rPr>
        <w:footnoteReference w:id="3"/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Однако систему основных прав и свобод характеризует не только их группировка, но и те приоритеты, которых придерживается Конституция в их последовательном  расположении.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Последнее имеет далеко не техническое значение, а отражает соответствующую идеологию, которой придерживается государство в трактовке сущности концепции правового статуса личности.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действующей Конституции, основанной на новой концепции прав человека, перечень прав и свобод установлен в следующей последовательности. Сначала указаны личные, затем политические, а за ними социально экономические.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Именно такая последовательность присуща Всеобщей Декларации прав человека, принятой Генеральной  Ассамблеей ООН в 1948 г.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 российском законодательстве она впервые была воспроизведена в Декларации прав и свобод человека и гражданина, принятой Верховным Советом Российской Федерации 22 ноября 1991 года, а затем отражена в Конституции  Российской Федерации 1993 года.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СИСТЕМА ПОЛИТИЧЕСКИХ ПРАВ И СВОБОД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отличие от основных личных прав, которые по своей природе неотчуждаемы и принадлежат  каждому от рождения как человеку, многие политические права и свободы связаны с обладанием гражданства государства. Это различие отражает Конституция, адресуя личные права «каждому», политические – «гражданам».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соответствии с Конституцией гражданин Российской Федерации может самостоятельно осуществлять в полном объеме свои права и обязанности с 18 лет (ст.60).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Эта норма прежде всего, касается политических прав и свобод.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Именно с достижения 18-летия гражданина устанавливается полная дееспособность гражданина. Дееспособность - юридическая возможность своими действиями создавать или изменять права и обязанности. В этом и есть отличие от правоспособности, которая присуща человеку с рождения и является неотъемлемой частью человеческого статуса. Достигнув совершеннолетия, гражданин Российской Федерации осуществляет права во всех областях политической, экономической и личной жизни и несет ответственность за результаты своих действий.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Система же политических прав и свобод граждан состоит из двух взаимосвязанных подсистем. Первая из них включает в себя права граждан, содержащие правомочия по участию в организации и деятельности государства и его органов. Сюда мы относим: избирательное право; право на референдум; право обращений.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Вторая группа субъективных  прав и свобод, входящих в систему политических, состоит из правомочий, представляющих собой неотъемлемые права граждан, целью реализации которых является активное участие индивида в жизни общества. Сюда относятся: свобода слова  и  печати; свобода союзов; свобода собраний.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Политические права и свободы могут быть реализованы человеком как индивидуально, так и через объединение с другими людьми. Индивидуальный (личный) характер носят, например, право обращаться в государственные органы или право доступа к государственной службе. Но такие права, как право на собрания, демонстрации и митинги, создание политических партий и организаций, имеют смысл только как коллективные, и закон регламентирует их именно в таком качестве. Нельзя, к примеру, создать и зарегистрировать политическую партию из одного человека. В то же время не возбраняется шествие и пикетирование в одиночку с транспарантом в руках (если, конечно, такое «шествие» не будет нарушать общественный порядок).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Рассмотрим отдельные виды политических прав и свобод граждан, предоставленных им Конституцией РФ.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участвовать в управлении делами государства.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участвовать  в управлении делами государства закреплено в статье 32 Конституции. Оно адресовано каждому гражданину, а не политически организованной совокупности граждан, ассоциированных как народ, ибо</w:t>
      </w:r>
      <w:r w:rsidRPr="00E37C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народ не «участвует» в управлении, а осуществляет власть, является субъектом этой власти (ст. 3 Конституции Российской Федерации).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Осуществление этого права граждан выражается в различных формах, как непосредственно, так и через своих представителей. Непосредственными формами являются участие граждан в референдуме, всенародном голосовании по важнейшим вопросам государственной и местной жизни, путем реализации права избирать и быть избранными в органы государственной власти и органы </w:t>
      </w:r>
      <w:r w:rsidRPr="00E37C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местного самоуправления. 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на референдум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на референдум включает в себя не только право на участие во всенародном (местном) голосовании, но и право требовать выставления любого вопроса на голосование, а также право требовать, чтобы результаты общенародного (местного) обсуждения по этому вопросу учитывались при принятии окончательного решения по данному вопросу (если решение принимается не путем референдума).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Если же какой-либо вопрос не подлежит разрешению путем референдума или не набрал необходимого количества голосов для его постановки на референдум, а у индивида или группы индивидов возникло желание не просто выразить свое мнение по определенному вопросу, имеющему общественное значение, но и воздействовать на деятельность государственных органов по поводу данного  явления  общественной жизни, то граждане могут воспользоваться правом обращений, известным законодательству еще с конца</w:t>
      </w:r>
      <w:r w:rsidRPr="00E37C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17 века 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Условия и порядок проведения федерального референдума регламентируются Федеральным конституционным законом от 10 октября 1995 г. «О референдуме Российской Федерации». В субъектах федерации и муниципальных образованиях также могут проводиться региональные и местные референдумы на основе актов субъектов федерации, уставов муниципальных образований.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Статья 1 ФКЗ «О референдуме РФ», даёт понятие референдума, в соответствии с которым референдумом РФ признаётся</w:t>
      </w:r>
      <w:r>
        <w:rPr>
          <w:rFonts w:ascii="Courier New" w:hAnsi="Courier New" w:cs="Courier New"/>
          <w:snapToGrid w:val="0"/>
          <w:color w:val="000000"/>
          <w:sz w:val="24"/>
          <w:szCs w:val="24"/>
        </w:rPr>
        <w:t xml:space="preserve"> - </w:t>
      </w:r>
      <w:r>
        <w:rPr>
          <w:rFonts w:ascii="Courier New" w:hAnsi="Courier New" w:cs="Courier New"/>
          <w:sz w:val="24"/>
          <w:szCs w:val="24"/>
        </w:rPr>
        <w:t>всенародное голосование граждан Российской Федерации по законопроектам, действующим законам и другим вопросам государственного значения. Референдум Российской Федерации наряду со свободными выборами является высшим непосредственным выражением власти народа.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референдум Российской Федерации в обязательном порядке выносится вопрос о принятии новой Конституции Российской Федерации, если Конституционное Собрание принимает решение о вынесении на всенародное голосование проекта новой Конституции Российской Федерации.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Стоит отметить, что на референдум Российской Федерации не  может выноситься ряд вопросов, перечисленных в статье 3 ФКЗ «О референдуме РФ». При этом данная статья делает существенное уточнение, направленное на защиту существующих прав и свобод человека – вопросы, выносимые на референдум Российской Федерации, не должны ограничивать или отменять общепризнанные права и свободы человека и гражданина и конституционные гарантии их реализации.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на равный доступ к государственной службе.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Граждане Российской Федерации имеют равный доступ к государственной службе (ст. 32 Конституции РФ).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Это право является  новой для российской Конституции нормой. При этом оно полностью соответствует п. «с» ст. 25 Международного пакта о гражданских и политических правах, согласно которому каждый гражданин должен иметь без какой бы то ни было дискриминации и без необоснованных ограничений право и возможность «допускаться в своей стране на общих условиях равенства к государственной службе». Необходимые правила в связи с этим должны быть установлены законодательно. Основополагающим актом в данной сфере является Федеральный закон от 31 июля 1995 г. «Об основах государственной службы Российской Федерации».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на равный доступ к государственной службе означает равенство исходных возможностей и отсутствие дискриминации по какому–либо признаку. Однако не следует толковать это право буквально. Во всем мире существует система конкурсов, тестирования, собеседований.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Так, право поступления на государственную службу имеют граждане Российской Федерации не моложе 18 лет, владеющие государственным языком, имеющие профессиональное образование и отвечающие требованиям, установленным законом для государственных служащих. Реализация этого права зависит, таким образом, не от указанных выше обстоятельств, а от способностей и профессиональной подготовки гражданина. В целях обеспечения права граждан на равный доступ к государственной службе Закон предусматривает проведение конкурсов на замещение вакантных государственных должностей.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Развивая конституционные нормы, Федеральный закон определяет, что при поступлении на государственную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языка, происхождения, имущественного и должностного положения, места жительства, наличия или отсутствия гражданства субъекта Российской Федерации, отношения к религии, убеждений, принадлежности к общественным объединениям, созданным в порядке, предусмотренном Конституцией и федеральным законом (ч. 2 ст. 21).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Закон устанавливает ограничения доступа к государственной службе в случаях признания гражданина решением суда недееспособным или ограниченно дееспособным; лишения его судом права занимать государственные должности в течение определенного срока; наличия подтвержденного заключением медицинского учреждения заболевания, препятствующего исполнению им должностных обязанностей; отказа от прохождения процедуры оформления допуска к сведениям, составляющим государственную или иную охраняемую законом тайну, если исполнение обязанностей по должности, на которую претендует гражданин, связано с использованием таких сведений; близкого родства или свойства с государственным служащим, если их государственная служба связана с непосредственной подчиненностью или подконтрольностью одного из них другому; наличия гражданства иностранного государства, за исключением случаев, если доступ к государственной службе урегулирован на взаимной основе межгосударственным соглашением; отказа от предоставления в соответствии с законом сведений о полученных доходах и принадлежащем на праве собственности имуществе, являющихся объектами налогообложения (ч. 3 ст. 21). Эти ограничения вполне обоснованны.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участвовать в отправлении правосудия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Участие граждан России в отправлении правосудия долгое время имело форму выборов народных судей и народных заседателей либо участия в работе суда в качестве судей и народных заседателей. В настоящее время в России осуществляется поэтапное введение института присяжных заседателей, назначаемых путем жребия для участия в рассмотрении конкретного дела и вынесения решения по существу («виновен – невиновен») как основы приговора суда. Меру же наказания определяет профессиональный судья.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Народные заседатели участвуют в коллективном рассмотрении дел наравне с судьёй в суде первой инстанции. Эта форма, утвердившаяся в предшествующий период развития страны. сохраняется и поныне.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граждан участвовать в отправлении правосудия реализуется не только в указанных общественных формах. Отвечая необходимым требованиям, гражданин может стать и профессиональным судьей. Для этого гражданин, в соответствии со ст. 119 Конституции РФ должен отвечать следующим требованиям: достижение возраста 25 лет, наличие высшего юридического образования, стаж работы по юридической профессии не менее пяти лет.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на объединение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Важным правом, имеющим тесное отношение к участию граждан в управлении делами государства, является закрепляемое за каждым право на объединение, включая  право создавать профсоюзы для защиты своих интересов. Никто не может быть принужден к вступлению в какое-либо объединение или пребыванию в нем (ст.30 Конституции РФ).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Это право дает гражданам возможность использовать в указанных целях различные формы совместной организованной общественной деятельности, объединять свои усилия для осуществления тех или иных задач.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Общественные объединения способствуют развитию политической активности и самодеятельности граждан, удовлетворению их многообразных интересов.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на объединение имеют как российские граждане, так и иностранцы и лица без гражданства (см. часть третью статьи 62), исключением являются политические партии, права на создание которых и участие в которых имеют только граждане России.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 на объединение не является абсолютным правом и может подвергаться определенным ограничениям.  Ограничения на пользование правом на объединение устанавливаются Конституцией и федеральными законами. Например, на основании статьи 56 Конституции РФ отдельные ограничения права на объединения могут устанавливаться в условиях чрезвычайного положения.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статье 30 Конституции РФ ничего не говорится о политических партиях, но право на их создание вытекает из ч. 3 ст. 13 Конституции. Часть 4 этой же статьи закрепляет принцип равенства общественных объединений перед законом.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Названные конституционные положения конкретизируются в законодательстве, которое регламентирует содержание права на объединение, его основные государственные гарантии, статус общественных объединений, порядок их создания, деятельности, реорганизации и ликвидации. К основным актам в этой сфере относятся федеральные законы от 19 мая 1995 г. «Об общественных объединениях», от 12 января 1996 г. «О профессиональных союзах, их правах и гарантиях деятельности», Гражданский кодекс.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Другие законы касаются отдельных видов общественных объединений, например федеральные законы от 28 июня 1995 г. «О государственной поддержке молодежных и детских общественных объединений», от 11 августа 1995 г. «О благотворительной деятельности и благотворительных организациях», от 12 января 1996 г. «О некоммерческих организациях». Действие Федерального закона «Об общественных объединениях» распространяется и на общественные объединения, деятельность которых еще не урегулирована специальными законами, например на политические партии. Статус политических партий требует, однако, особой регламентации.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Конституционное право каждого на объединение включает в себя право создавать на добровольной основе общественные объединения для защиты общих интересов и достижения общих целей; право вступать в существующие общественные объединения либо воздерживаться от вступления в них, а также право беспрепятственно выходить из общественных объединений. Таковы суть и содержание права на свободу объединения или, как принято формулировать в международных документах и зарубежных конституциях, права на свободу ассоциации с другими. Оно может осуществляться по достижении 18 лет, а применительно к профсоюзам, молодежным общественным объединениям - с 14, детским - с 10 лет.</w:t>
      </w: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на мирные собрания и публичные манифестации.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Одной из политических свобод, входящих в правовой статус гражданина, является конституционная свобода собраний, митингов, уличных шествий и демонстраций. Что понимается под этими терминами? Еще в</w:t>
      </w:r>
      <w:r w:rsidRPr="00E37C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начале века известный английский ученый А.В. Дайси писал, что, «право собираться есть не что иное, как результат взгляда судов на индивидуальную свободу личности и индивидуальную свободу слова».</w:t>
      </w:r>
      <w:r>
        <w:rPr>
          <w:rStyle w:val="a9"/>
          <w:rFonts w:ascii="Courier New" w:hAnsi="Courier New" w:cs="Courier New"/>
          <w:sz w:val="24"/>
          <w:szCs w:val="24"/>
        </w:rPr>
        <w:footnoteReference w:id="4"/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Свобода манифестаций как важный элемент правового статуса гражданина представляет собой взаимосвязанное с другими правами, свободами и обязанностями граждан субъективное право, имеющее целью воздействовать на государственные и общественные органы путем согласования и формирования мнения граждан и его выражения по различным вопросам общественной жизни, участия их в управлении жизнью общества и решении конкретных вопросов повседневной жизни.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Правовое регулирование механизма реализации права граждан на свободу собраний как нельзя лучше иллюстрирует нелегкий путь юридической науки и практики от формально-догматического подхода к объективно-реалистическому.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Конституция СССР 1977 г. и вслед за ней Конституция РСФСР 1978 г. в первоначальной редакции не устанавливали каких-либо ограничений на способы реализации названной свободы. При формальном закреплении политических прав граждан этого не требовалось. Никто и не помышлял о том, что граждане могут реально воспользоваться этим правом. Если же и происходило нарушение традиции, виновного ждала суровая кара. Когда же в условиях «перестройки» манифестации, проводимые по инициативе граждан, приняли массовый характер, исполкомы местных Советов Свердловска, Ленинграда, Москвы и других городов и областей поспешили принять временные правила организации и проведения собраний, митингов, уличных шествий и демонстраций, пытаясь восполнить образовавшийся правовой вакуум. Поскольку подобные акты закрепили разрешительный порядок реализации этой субъективной свободы, возникло противоречие между нормой Конституции и положениями указанных актов.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 мая 1992 года принят Указ Президента РФ «О порядке организации и проведения митингов, уличных шествий, демонстраций и пикетирования». В нем установлено, что впредь до урегулирования законом РФ порядка проведения этих мероприятий следует исходить из положений Декларации прав и свобод человека и гражданина, принятой Верховным Советом РФ 22 ноября 1991 года, о праве граждан собираться свободно и без оружия, проводить митинги и другие указанные мероприятия при условии предварительного уведомления властей. Осуществление этого права не должно нарушать свободы и права других лиц. Не допускалось использование его для насильственного изменения конституционного строя, разжигания расовой, национальной, религиозной ненависти, для пропаганды насилия и войны.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Этот Указ определил, что до принятия соответствующего российского закона нормы Указа Президиума Верховного Совета СССР от 28 июля 1988 г. «О порядке организации и проведения собраний, митингов, уличных шествий и демонстраций в СССР» на территории Российской Федерации применяются в части, не противоречащей Декларации прав и свобод человека и гражданина, принятой ВС РФ 22 ноября 1991 года.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Статья 31 Конституции РФ 1993 года регламентирует проведение следующих видов публичных мероприятий: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собрания - совместного присутствия граждан в заранее определенном месте и в заранее определенное время для коллективного обсуждения и решения каких-либо вопросов;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митинга - формы организованного выражения общественного мнения, массовой поддержки резолюций, требований и других обращений граждан, проводимой в заранее    определенном месте и в заранее определенное время;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демонстрации - формы организованного выражения коллективного и индивидуального мнения по любому вопросу общественной и государственной жизни;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шествия - формы демонстрации, проводимой путем передвижения граждан по заранее определенному маршруту;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пикетирования - формы публичного выражения коллективного или индивидуального мнения, осуществляемой без шествия и звукоусиления путем размещения граждан у пикетируемого объекта и использования плакатов, транспарантов и иных средств наглядной агитации.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названном выше Указе от 28 июля 1988 г. предусмотрено, что инициаторами проведения публичных мероприятий могут быть граждане, достигшие 18-летнего возраста, уполномоченные общественных организаций и других общественных объединений, отдельные группы граждан.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Уведомление в виде письменного заявления подается местной администрации специально уполномоченным лицом не позднее чем за 10 дней до намеченной даты проведения публичного мероприятия. В заявлении указываются цель, форма, место проведения мероприятия или маршруты движения, время начала и окончания, предполагаемое количество участников, фамилии, имена, отчества уполномоченных, организаторов, места их жительства и работы, учебы, дата подачи заявления. Не позднее чем за 5 дней до мероприятия администрация сообщает уполномоченному о принятом решении.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Публичное мероприятие должно проводиться в соответствии с целями, указанными в заявлении, в определенные сроки и в указанном месте.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проведении мероприятия его организаторы и участники обязаны соблюдать законы, общественный порядок. Запрещается иметь при себе оружие, специально подготовленные предметы, которые могут быть использованы против жизни и здоровья людей и для причинения материального ущерба.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Государственные органы, общественные объединения, должностные лица, а также граждане не вправе препятствовать публичным мероприятиям, проводимым в установленном порядке.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Проведение публичного мероприятия может быть запрещено, если цель его проведения противоречит Конституции Российской Федерации, конституциям или уставам ее субъектов, а мероприятие угрожает общественному порядку и безопасности граждан.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требованию представителей органов власти публичное мероприятие может быть прекращено в случаях, если не было подано заявление о его проведении; если состоялось решение о его запрещении; если нарушен порядок его проведения; если возникла опасность для жизни и здоровья людей; если нарушен общественный порядок.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Ответственность за нарушение порядка организации и проведения публичных мероприятий наступает в зависимости от характера допущенного нарушения в административном или уголовном порядке.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Свобода печати и информации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основе механизма правового регулирования любой конституционной политической свободы граждан должна лежать норма Конституции. Что касается свободы слова и печати, то к сожалению, она регулируется действующей Конституцией РФ не в полном объеме. В частности, в статье 29 получили закрепление права граждан на свободу мысли, свободу слова, свободу выражения своих мнений и убеждений и право искать, получать и свободно распространять информацию.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Наиболее значимым и влиятельным источником информирования общества и личности являются СМИ. Под СМИ понимаются пресса, радио-, теле-, видео-, кинохроникальные программы, информационные агентства и иные формы периодического распространения массовой информации, предназначенной для неограниченного круга лиц.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Конституционное установление о гарантированности свободы массовой информации конкретизировано в Законе «О средствах массовой информации» и распространяется на все виды СМИ - государственные, общественные, частные. Воспрепятствование в какой бы то ни было форме со стороны граждан, должностных лиц государственных органов и организаций, общественных объединений законной деятельности СМИ Закон определяет как ущемление свободы массовой информации, влекущее уголовную, административную, дисциплинарную или иную ответственность в соответствии с законодательством (ст. 25, 58). В то же время Закон признает недопустимым и злоупотребление свободой массовой информации, влекущее такую же ответственность (ст. 4, 59).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Часть пятая статьи 29 гарантирует запрет цензуры. Эта гарантия содержится в Законе от 27 декабря 1991 года «О средствах массовой информации». Статья 3 Закона определяет цензуру массовой информации как требование от редакции СМИ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частей. В советские времена цензурой повсеместно занималась такая организация, как Главлит. Названный Закон четко определяет, что не допускается создание и финансирование организаций, учреждений, органов или должностных лиц, в задачи либо функции которых входит осуществление цензуры массовой информации.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Защита свободы массовой информации осуществляется и в судах. В декабре 1993 г. была образована Судебная палата по информационным спорам при Президенте Российской Федерации, действующая на основе Положения о ней, утвержденного Указом Президента Российской Федерации от 31 января 1994 г. Палата не входит в систему судебных органов. Ее основной задачей является содействие Президенту в эффективной реализации им конституционных полномочий гаранта закрепленных Конституцией прав, свобод и законных интересов в сфере массовой информации. Судебная палата рассматривает споры, связанные с ущемлением свободы массовой информации или с недобросовестным использованием этой свободы, с обеспечением принципов равноправия и политического плюрализма в сфере массовой информации, другие споры и дела в этой сфере, если они не отнесены к юрисдикции судов. Судебная палата выносит решения и рекомендации в адрес СМИ, вправе вносить представления в прокуратуру, суд, другие органы.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Собственно свобода печати Конституцией не урегулирована.    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Можно, конечно, обосновать отсутствие упоминания о свободе печати тем обстоятельством, что она является частным проявлением свободы выражения своих мнений. Но этот аргумент не соответствует международно-правовым обязательствам России. Международный пакт о гражданских и политических правах в числе способов  выражения мнения указывает использование печати как самостоятельное правомочие граждан.</w:t>
      </w:r>
      <w:r>
        <w:rPr>
          <w:rFonts w:ascii="Courier New" w:hAnsi="Courier New" w:cs="Courier New"/>
          <w:sz w:val="24"/>
          <w:szCs w:val="24"/>
          <w:vertAlign w:val="superscript"/>
        </w:rPr>
        <w:footnoteReference w:id="5"/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Право обращений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Конституционно закрепленное право граждан на коллективные обращения (ст. 33 Конституции РФ) является важным средством защиты прав  свобод граждан. Впервые в основном законе это право было закреплено в Конституции СССР 1977 г., а также в Конституции РСФСР 1978 г.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 апреля 1968 года был издан Указ Президиума Верховного Совета СССР «О порядке рассмотрения заявлений и  жалоб граждан». К сожалению, этот Указ не смог определить многие важные аспекты, связанные с правом граждан на подачу обращений. В частности не были определены пределы действия настоящего Указа, не был определен перечень действий, обжаловать которые можно через суд, возможность непосредственно обращаться в суд, не было закреплено право обращения военнослужащих на действия своего начальства. Все это нашло свое отражение в Законе от 27 апреля 1993 г. «Об обжаловании в суд действий и решений, нарушающих права и свободы граждан».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Обращения граждан содержат неодинаковую информацию, не совпадают по общественной направленности. Они различаются по своей юридической направленности  и влекут разные правовые последствия. Термин «обращение» носит собирательный характер. В обращениях граждан могут содержаться жалоба в связи с тем или иным нарушением их прав, инициативное предложение, заявление и пр.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Действующее законодательство не дает определения понятий «жалоба», «предложение», «заявление». Однако многолетняя судебная практика выработала свои критерии их разграничения.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Предложение – это такой вид обращения, который, как правило, не связан с нарушением прав граждан, в нем обычно ставится вопрос о необходимости решения конкретной технической, научной, творческой, юридической проблемы, об улучшении деятельности государственного органа, органа местного самоуправления, общественной организации и т.д.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Заявление – обращение гражданина в государственные органы, органы местного самоуправления, общественные организации с просьбой о реализации принадлежащего ему права, предусмотренного Конституцией или текущим законодательством (право на получение пенсии, на очередной отпуск, на обмен жилой площади).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Жалоба – обращение гражданина в государственные органы либо органы местного самоуправления  с требованием о восстановлении права или законного интереса, нарушенного действиями юридических или физических лиц. Это важное средство защиты прав, свобод и законных интересов граждан. Жалоба всегда содержит информацию о нарушении субъективных прав обратившегося или прав других конкретных лиц.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Право на обращение закреплено не только за гражданами, но и за общественными организациями, в частности, творческие союзы, а так же учреждения, предприятия и должностные лица в целях защиты своих прав и интересов, прав и интересов своих членов. Закреплено право на коллективные обращения, когда затрагиваются законные интересы группы лиц.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Нормативным актами предусмотрено право граждан (юридических лиц) осуществлять обращения  в письменной и устной форме, а за соответствующими лицами закреплена обязанность  эти обращения принимать в порядки и сроки, установленные законодательством. В частности, предложения граждан рассматриваются в срок до одного месяца, за исключением тех предложений, которые требуют дополнительного изучения, о чем сообщается лицу, внесшему предложение. Заявления же граждан решаются в срок до одного месяца со дня его поступления, а те, которые не нуждаются в проверке, – безотлагательно, но не позднее 15 дней со дня получения заявления. Предложения и заявления граждан рассматриваются теми органами, к непосредственному ведению которых относятся затрагиваемы в них вопросы.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отличии от предложений – жалобы подаются в инстанции, вышестоящие по отношению к тем, действия которых обжалуются. Закон запрещает направлять жалобы граждан тем органам, на действия которых направлена эта жалоба. Наряду с административным порядком рассмотрения жалоб на незаконные действия должностных лиц и органов государства, существует судебный порядок обжалования таких действий. В частности, за гражданам РФ Закон закрепляет право непосредственного обращения в судебные органы на незаконные действия. 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Что же касается действий (решениям) государственных органов, органов местного самоуправления, учреждений, предприятий и их объединений, общественных объединений и должностных  лиц, которые могут быть обжалованы в суд, то их перечень закреплен в Законе от 27 апреля 1993г. К ним, в частности, относятся действия (решения), в результате которых: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1) нарушены права и свободы гражданина;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2) созданы препятствия  осуществлению  гражданином его прав и свобод;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3) незаконно на гражданина возложена какая-либо  обязанность  или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4) он незаконно привлечен к какой-либо ответственности.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Если гражданин не согласен с решением суда – он может обжаловать его в вышестоящую судебную инстанцию.</w:t>
      </w: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Courier New" w:hAnsi="Courier New" w:cs="Courier New"/>
          <w:b/>
          <w:bCs/>
          <w:sz w:val="24"/>
          <w:szCs w:val="24"/>
        </w:rPr>
        <w:t>ЗАКЛЮЧЕНИЕ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Таким образом, политические права и свободы граждан можно рассматривать в качестве принадлежащих им от рождения и обеспеченных законом основных возможностей, позволяющих гражданам в установленных пределах</w:t>
      </w:r>
      <w:r w:rsidRPr="00E37C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как активно воздействовать на организацию и деятельность государства и его органов, иных субъектов политической системы, то есть политическую область общественных отношений, так и участвовать в социальной жизни общества.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Конституционный статус  личности в России – одно из важнейших достижений на пути преобразования общества. Это убедительное доказательство того, что наша страна идет по пути демократии и гуманизма, строит правовое государство. Многое сделано в сфере политических прав и свобод, особенно в создании предпосылок для развития многопартийности, гласности, информации, деятельности общественных организаций. Однако в целом конституционный статус личности реализуется далеко не  полно и непоследовательно. Положение в этой сфере жизни нельзя назвать благополучными.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Сложившаяся ситуация в сфере прав и свобод человека, несомненно, отражает переходный характер современного этапа развития российского общества. Но «списывать» слабости и недостатки только на это было бы неверно. Свою негативную роль играют другие факторы: все еще не преодоленное неуважение к правам и свободам человека, отсутствие строгой и неотвратимой ответственности за их нарушения, незавершенность законодательства, страдающего от декларативности, а также от слабости соответствующих государственных структур.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Исправлению неблагоприятного положения призвана способствовать Федеральная программа действий в области прав человека. Это скоординированный план государственных усилий, осуществляемых на основе Конституции 1993 года и международно-правовых обязательств России.</w:t>
      </w:r>
    </w:p>
    <w:p w:rsidR="00E37C93" w:rsidRDefault="00E37C93">
      <w:pPr>
        <w:pStyle w:val="a7"/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Вместе с тем крайне важно участие в этом деле всех прогрессивных сил российского общества. Необходим строгий и постоянный контроль общественности за соблюдением прав и свобод человека в стране.</w:t>
      </w:r>
    </w:p>
    <w:p w:rsidR="00E37C93" w:rsidRDefault="00E37C93">
      <w:pPr>
        <w:pStyle w:val="a7"/>
        <w:spacing w:after="0" w:line="360" w:lineRule="auto"/>
        <w:ind w:left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br w:type="page"/>
        <w:t>СПИСОК ИСПОЛЬЗУЕМОЙ ЛИТЕРАТУРЫ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Конституция РФ.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Конституция Российской Федерации. Комментарий. Москва, «Юридич. литература», 1994.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Федеральный конституционный закон № 2 ФКЗ от 10 октября 1995 г. «О референдуме Российской Федерации».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Федеральный закон № 119-ФЗ от 31 июля 1995 г. «Об основах государственной службы Российской Федерации». 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Закон № 4866-I от 27 апреля 1993 г. «Об обжаловании в суд действий и решений, нарушающих права и свободы граждан».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Закон № 2124-I от 27 декабря 1991 года «О средствах массовой информации».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 Указ Президиума Верховного Совета СССР № 9306-Х1 от 28 июля 1988 г. «О порядке организации и проведения собраний, митингов, уличных шествий и демонстраций в СССР».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Декларация прав и свобод человека и гражданина. Принятой Верховным Советом РФ 22 ноября 1991 года.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 Баглай М.В. Конституционное право РФ. Учебник для юридических вузов и факультетов. – М.: Издательская группа НОРМА-ИНФРА. М., 1998.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Воеводин Л.Д.  О формах конституционного закрепления свободы личности/Сов. государство и право, 1982, N.4.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 Дайси А.В. Основы государственного права Англии- М.,1907.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 Дмитриев Ю.А.,  А.А. Златопольский «Гражданин и власть», Москва, 1994.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 Дмитриев Ю.А. «Свобода манифестаций в СССР» Москва, Независимое издательство «Манускрипт», 1991.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 Козлова Е.И., О.Е. Кутафин «Конституционное право России», Москва, «Юристъ», 1995.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15. Комментарий Конституции РФ под ред. Б.Н. Топорнина М., Юр. литература.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16. Права человека. Сборник международных документов. М.,1986.</w:t>
      </w:r>
    </w:p>
    <w:p w:rsidR="00E37C93" w:rsidRDefault="00E37C93">
      <w:pPr>
        <w:pStyle w:val="a7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 Советское государственное  право. Москва, 1948.</w:t>
      </w:r>
    </w:p>
    <w:p w:rsidR="00E37C93" w:rsidRDefault="00E37C93">
      <w:pPr>
        <w:pStyle w:val="a7"/>
        <w:spacing w:after="0"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E37C93">
      <w:headerReference w:type="default" r:id="rId7"/>
      <w:pgSz w:w="11907" w:h="16840" w:code="9"/>
      <w:pgMar w:top="1134" w:right="1134" w:bottom="1134" w:left="1701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06" w:rsidRDefault="00F36E06">
      <w:r>
        <w:separator/>
      </w:r>
    </w:p>
  </w:endnote>
  <w:endnote w:type="continuationSeparator" w:id="0">
    <w:p w:rsidR="00F36E06" w:rsidRDefault="00F3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06" w:rsidRDefault="00F36E06">
      <w:r>
        <w:separator/>
      </w:r>
    </w:p>
  </w:footnote>
  <w:footnote w:type="continuationSeparator" w:id="0">
    <w:p w:rsidR="00F36E06" w:rsidRDefault="00F36E06">
      <w:r>
        <w:continuationSeparator/>
      </w:r>
    </w:p>
  </w:footnote>
  <w:footnote w:id="1">
    <w:p w:rsidR="00E37C93" w:rsidRDefault="00E37C93">
      <w:pPr>
        <w:pStyle w:val="aa"/>
      </w:pPr>
      <w:r>
        <w:rPr>
          <w:rStyle w:val="a9"/>
        </w:rPr>
        <w:footnoteRef/>
      </w:r>
      <w:r>
        <w:t xml:space="preserve"> См.: Е.И. Козлова  О.Е. Кутафин   Конституционное право России.  Юристъ, Москва,1995,с.196.</w:t>
      </w:r>
    </w:p>
    <w:p w:rsidR="00F36E06" w:rsidRDefault="00F36E06">
      <w:pPr>
        <w:pStyle w:val="aa"/>
      </w:pPr>
    </w:p>
  </w:footnote>
  <w:footnote w:id="2">
    <w:p w:rsidR="00F36E06" w:rsidRDefault="00E37C93">
      <w:pPr>
        <w:pStyle w:val="aa"/>
      </w:pPr>
      <w:r>
        <w:rPr>
          <w:rStyle w:val="a9"/>
        </w:rPr>
        <w:footnoteRef/>
      </w:r>
      <w:r>
        <w:t xml:space="preserve"> Советское государственное  право. Москва, 1948. с. 147-148.</w:t>
      </w:r>
    </w:p>
  </w:footnote>
  <w:footnote w:id="3">
    <w:p w:rsidR="00F36E06" w:rsidRDefault="00E37C93">
      <w:pPr>
        <w:pStyle w:val="aa"/>
      </w:pPr>
      <w:r>
        <w:rPr>
          <w:rStyle w:val="a9"/>
        </w:rPr>
        <w:footnoteRef/>
      </w:r>
      <w:r>
        <w:t xml:space="preserve"> Воеводин Л.Д. О формах констит. закрепления свободы личности/Сов. гос-во и право, 1982, № 4, с.210.</w:t>
      </w:r>
    </w:p>
  </w:footnote>
  <w:footnote w:id="4">
    <w:p w:rsidR="00F36E06" w:rsidRDefault="00E37C93">
      <w:pPr>
        <w:pStyle w:val="aa"/>
      </w:pPr>
      <w:r>
        <w:rPr>
          <w:rStyle w:val="a9"/>
        </w:rPr>
        <w:footnoteRef/>
      </w:r>
      <w:r>
        <w:t xml:space="preserve"> Дайси А.В.  Основы государственного права Англии.- М.,1907, с.308.</w:t>
      </w:r>
    </w:p>
  </w:footnote>
  <w:footnote w:id="5">
    <w:p w:rsidR="00F36E06" w:rsidRDefault="00E37C93">
      <w:pPr>
        <w:pStyle w:val="aa"/>
      </w:pPr>
      <w:r>
        <w:rPr>
          <w:rStyle w:val="a9"/>
        </w:rPr>
        <w:footnoteRef/>
      </w:r>
      <w:r>
        <w:t xml:space="preserve"> Права  человека. Сборник  международных  документов. М., 1986. с.56.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93" w:rsidRDefault="004E49FD">
    <w:pPr>
      <w:pStyle w:val="ad"/>
      <w:framePr w:wrap="auto" w:vAnchor="text" w:hAnchor="margin" w:xAlign="right" w:y="1"/>
      <w:rPr>
        <w:rStyle w:val="ac"/>
      </w:rPr>
    </w:pPr>
    <w:r>
      <w:rPr>
        <w:rStyle w:val="ac"/>
        <w:noProof/>
      </w:rPr>
      <w:t>3</w:t>
    </w:r>
  </w:p>
  <w:p w:rsidR="00E37C93" w:rsidRDefault="00E37C93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2F1D"/>
    <w:multiLevelType w:val="singleLevel"/>
    <w:tmpl w:val="82EAE180"/>
    <w:lvl w:ilvl="0">
      <w:start w:val="3"/>
      <w:numFmt w:val="decimal"/>
      <w:lvlText w:val="%1."/>
      <w:lvlJc w:val="left"/>
      <w:pPr>
        <w:tabs>
          <w:tab w:val="num" w:pos="1481"/>
        </w:tabs>
        <w:ind w:left="1481" w:hanging="630"/>
      </w:pPr>
      <w:rPr>
        <w:rFonts w:hint="default"/>
      </w:rPr>
    </w:lvl>
  </w:abstractNum>
  <w:abstractNum w:abstractNumId="1">
    <w:nsid w:val="3B9B739B"/>
    <w:multiLevelType w:val="singleLevel"/>
    <w:tmpl w:val="82EAE180"/>
    <w:lvl w:ilvl="0">
      <w:start w:val="3"/>
      <w:numFmt w:val="decimal"/>
      <w:lvlText w:val="%1."/>
      <w:lvlJc w:val="left"/>
      <w:pPr>
        <w:tabs>
          <w:tab w:val="num" w:pos="1481"/>
        </w:tabs>
        <w:ind w:left="1481" w:hanging="630"/>
      </w:pPr>
      <w:rPr>
        <w:rFonts w:hint="default"/>
      </w:rPr>
    </w:lvl>
  </w:abstractNum>
  <w:abstractNum w:abstractNumId="2">
    <w:nsid w:val="6EBB5991"/>
    <w:multiLevelType w:val="singleLevel"/>
    <w:tmpl w:val="D46273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7D1028D7"/>
    <w:multiLevelType w:val="singleLevel"/>
    <w:tmpl w:val="69A2DDC2"/>
    <w:lvl w:ilvl="0">
      <w:start w:val="4"/>
      <w:numFmt w:val="decimal"/>
      <w:lvlText w:val="%1."/>
      <w:lvlJc w:val="left"/>
      <w:pPr>
        <w:tabs>
          <w:tab w:val="num" w:pos="1481"/>
        </w:tabs>
        <w:ind w:left="1481" w:hanging="63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C93"/>
    <w:rsid w:val="00042624"/>
    <w:rsid w:val="004E49FD"/>
    <w:rsid w:val="008831B6"/>
    <w:rsid w:val="00E37C93"/>
    <w:rsid w:val="00F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C90206-0BFE-41AF-9592-9264311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10224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character" w:styleId="a9">
    <w:name w:val="footnote reference"/>
    <w:uiPriority w:val="99"/>
    <w:semiHidden/>
    <w:rPr>
      <w:vertAlign w:val="superscript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page number"/>
    <w:uiPriority w:val="99"/>
  </w:style>
  <w:style w:type="paragraph" w:styleId="ad">
    <w:name w:val="header"/>
    <w:basedOn w:val="a"/>
    <w:link w:val="ae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5218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ПЛАН РЕФЕРАТА</vt:lpstr>
    </vt:vector>
  </TitlesOfParts>
  <Company>Home</Company>
  <LinksUpToDate>false</LinksUpToDate>
  <CharactersWithSpaces>34898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ПЛАН РЕФЕРАТА</dc:title>
  <dc:subject/>
  <dc:creator>Каштанов</dc:creator>
  <cp:keywords/>
  <dc:description/>
  <cp:lastModifiedBy>admin</cp:lastModifiedBy>
  <cp:revision>2</cp:revision>
  <cp:lastPrinted>2000-03-10T11:30:00Z</cp:lastPrinted>
  <dcterms:created xsi:type="dcterms:W3CDTF">2014-02-17T19:27:00Z</dcterms:created>
  <dcterms:modified xsi:type="dcterms:W3CDTF">2014-02-17T19:27:00Z</dcterms:modified>
</cp:coreProperties>
</file>