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9B" w:rsidRDefault="002F3C44">
      <w:pPr>
        <w:pStyle w:val="a8"/>
      </w:pPr>
      <w:r>
        <w:t>СОДЕРЖАНИЕ</w:t>
      </w:r>
    </w:p>
    <w:p w:rsidR="00BF549B" w:rsidRDefault="00BF549B">
      <w:pPr>
        <w:pStyle w:val="a8"/>
      </w:pPr>
    </w:p>
    <w:p w:rsidR="00BF549B" w:rsidRDefault="00BF549B"/>
    <w:p w:rsidR="00BF549B" w:rsidRDefault="00BF549B"/>
    <w:p w:rsidR="00BF549B" w:rsidRDefault="002F3C44">
      <w:pPr>
        <w:pStyle w:val="11"/>
        <w:rPr>
          <w:rStyle w:val="22"/>
        </w:rPr>
      </w:pPr>
      <w:r>
        <w:fldChar w:fldCharType="begin"/>
      </w:r>
      <w:r>
        <w:instrText xml:space="preserve"> TOC \o "1-3" \h \z </w:instrText>
      </w:r>
      <w:r>
        <w:fldChar w:fldCharType="separate"/>
      </w:r>
      <w:r>
        <w:rPr>
          <w:rStyle w:val="22"/>
        </w:rPr>
        <w:t>ВВЕДЕНИЕ</w:t>
      </w:r>
      <w:r>
        <w:tab/>
      </w:r>
      <w:r>
        <w:fldChar w:fldCharType="begin"/>
      </w:r>
      <w:r>
        <w:instrText xml:space="preserve"> PAGEREF _Toc24289971 \h </w:instrText>
      </w:r>
      <w:r>
        <w:fldChar w:fldCharType="separate"/>
      </w:r>
      <w:r>
        <w:t>3</w:t>
      </w:r>
      <w:r>
        <w:fldChar w:fldCharType="end"/>
      </w:r>
    </w:p>
    <w:p w:rsidR="00BF549B" w:rsidRDefault="00BF549B">
      <w:pPr>
        <w:rPr>
          <w:noProof/>
        </w:rPr>
      </w:pPr>
    </w:p>
    <w:p w:rsidR="00BF549B" w:rsidRDefault="002F3C44">
      <w:pPr>
        <w:pStyle w:val="11"/>
        <w:rPr>
          <w:rStyle w:val="22"/>
        </w:rPr>
      </w:pPr>
      <w:r>
        <w:rPr>
          <w:rStyle w:val="22"/>
        </w:rPr>
        <w:t>I. История государственного долга России</w:t>
      </w:r>
      <w:r>
        <w:tab/>
      </w:r>
      <w:r>
        <w:fldChar w:fldCharType="begin"/>
      </w:r>
      <w:r>
        <w:instrText xml:space="preserve"> PAGEREF _Toc24289972 \h </w:instrText>
      </w:r>
      <w:r>
        <w:fldChar w:fldCharType="separate"/>
      </w:r>
      <w:r>
        <w:t>4</w:t>
      </w:r>
      <w:r>
        <w:fldChar w:fldCharType="end"/>
      </w:r>
    </w:p>
    <w:p w:rsidR="00BF549B" w:rsidRDefault="00BF549B">
      <w:pPr>
        <w:rPr>
          <w:noProof/>
        </w:rPr>
      </w:pPr>
    </w:p>
    <w:p w:rsidR="00BF549B" w:rsidRDefault="002F3C44">
      <w:pPr>
        <w:pStyle w:val="11"/>
        <w:rPr>
          <w:rStyle w:val="22"/>
        </w:rPr>
      </w:pPr>
      <w:r>
        <w:rPr>
          <w:rStyle w:val="22"/>
        </w:rPr>
        <w:t>II. Современная ситуация на рынке государственного долга</w:t>
      </w:r>
      <w:r>
        <w:tab/>
      </w:r>
      <w:r>
        <w:fldChar w:fldCharType="begin"/>
      </w:r>
      <w:r>
        <w:instrText xml:space="preserve"> PAGEREF _Toc24289973 \h </w:instrText>
      </w:r>
      <w:r>
        <w:fldChar w:fldCharType="separate"/>
      </w:r>
      <w:r>
        <w:t>8</w:t>
      </w:r>
      <w:r>
        <w:fldChar w:fldCharType="end"/>
      </w:r>
    </w:p>
    <w:p w:rsidR="00BF549B" w:rsidRDefault="00BF549B">
      <w:pPr>
        <w:rPr>
          <w:noProof/>
        </w:rPr>
      </w:pPr>
    </w:p>
    <w:p w:rsidR="00BF549B" w:rsidRDefault="002F3C44">
      <w:pPr>
        <w:pStyle w:val="11"/>
        <w:tabs>
          <w:tab w:val="left" w:pos="840"/>
        </w:tabs>
        <w:rPr>
          <w:rStyle w:val="22"/>
        </w:rPr>
      </w:pPr>
      <w:r>
        <w:rPr>
          <w:rStyle w:val="22"/>
        </w:rPr>
        <w:t>III.</w:t>
      </w:r>
      <w:r>
        <w:rPr>
          <w:spacing w:val="0"/>
          <w:sz w:val="24"/>
        </w:rPr>
        <w:tab/>
      </w:r>
      <w:r>
        <w:rPr>
          <w:rStyle w:val="22"/>
        </w:rPr>
        <w:t>Влияние внешнего долга на национальную экономику</w:t>
      </w:r>
      <w:r>
        <w:tab/>
      </w:r>
      <w:r>
        <w:fldChar w:fldCharType="begin"/>
      </w:r>
      <w:r>
        <w:instrText xml:space="preserve"> PAGEREF _Toc24289974 \h </w:instrText>
      </w:r>
      <w:r>
        <w:fldChar w:fldCharType="separate"/>
      </w:r>
      <w:r>
        <w:t>13</w:t>
      </w:r>
      <w:r>
        <w:fldChar w:fldCharType="end"/>
      </w:r>
    </w:p>
    <w:p w:rsidR="00BF549B" w:rsidRDefault="00BF549B">
      <w:pPr>
        <w:rPr>
          <w:noProof/>
        </w:rPr>
      </w:pPr>
    </w:p>
    <w:p w:rsidR="00BF549B" w:rsidRDefault="002F3C44">
      <w:pPr>
        <w:pStyle w:val="11"/>
        <w:rPr>
          <w:rStyle w:val="22"/>
        </w:rPr>
      </w:pPr>
      <w:r>
        <w:rPr>
          <w:rStyle w:val="22"/>
        </w:rPr>
        <w:t>ЗАКЛЮЧЕНИЕ</w:t>
      </w:r>
      <w:r>
        <w:tab/>
      </w:r>
      <w:r>
        <w:fldChar w:fldCharType="begin"/>
      </w:r>
      <w:r>
        <w:instrText xml:space="preserve"> PAGEREF _Toc24289975 \h </w:instrText>
      </w:r>
      <w:r>
        <w:fldChar w:fldCharType="separate"/>
      </w:r>
      <w:r>
        <w:t>15</w:t>
      </w:r>
      <w:r>
        <w:fldChar w:fldCharType="end"/>
      </w:r>
    </w:p>
    <w:p w:rsidR="00BF549B" w:rsidRDefault="00BF549B">
      <w:pPr>
        <w:rPr>
          <w:noProof/>
        </w:rPr>
      </w:pPr>
    </w:p>
    <w:p w:rsidR="00BF549B" w:rsidRDefault="002F3C44">
      <w:pPr>
        <w:pStyle w:val="11"/>
        <w:rPr>
          <w:spacing w:val="0"/>
          <w:sz w:val="24"/>
        </w:rPr>
      </w:pPr>
      <w:r>
        <w:rPr>
          <w:rStyle w:val="22"/>
        </w:rPr>
        <w:t>ЛИТЕРАТУРА</w:t>
      </w:r>
      <w:r>
        <w:tab/>
      </w:r>
      <w:r>
        <w:fldChar w:fldCharType="begin"/>
      </w:r>
      <w:r>
        <w:instrText xml:space="preserve"> PAGEREF _Toc24289976 \h </w:instrText>
      </w:r>
      <w:r>
        <w:fldChar w:fldCharType="separate"/>
      </w:r>
      <w:r>
        <w:t>16</w:t>
      </w:r>
      <w:r>
        <w:fldChar w:fldCharType="end"/>
      </w:r>
    </w:p>
    <w:p w:rsidR="00BF549B" w:rsidRDefault="002F3C44">
      <w:pPr>
        <w:pStyle w:val="11"/>
      </w:pPr>
      <w:r>
        <w:fldChar w:fldCharType="end"/>
      </w: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BF549B">
      <w:pPr>
        <w:pStyle w:val="11"/>
      </w:pPr>
    </w:p>
    <w:p w:rsidR="00BF549B" w:rsidRDefault="002F3C44">
      <w:pPr>
        <w:pStyle w:val="1"/>
        <w:jc w:val="center"/>
        <w:rPr>
          <w:rFonts w:ascii="Times New Roman" w:hAnsi="Times New Roman"/>
        </w:rPr>
      </w:pPr>
      <w:bookmarkStart w:id="0" w:name="_Toc24289971"/>
      <w:r>
        <w:rPr>
          <w:rFonts w:ascii="Times New Roman" w:hAnsi="Times New Roman"/>
        </w:rPr>
        <w:t>ВВЕДЕНИЕ</w:t>
      </w:r>
      <w:bookmarkEnd w:id="0"/>
    </w:p>
    <w:p w:rsidR="00BF549B" w:rsidRDefault="00BF549B">
      <w:pPr>
        <w:jc w:val="both"/>
      </w:pPr>
    </w:p>
    <w:p w:rsidR="00BF549B" w:rsidRDefault="00BF549B">
      <w:pPr>
        <w:jc w:val="both"/>
      </w:pPr>
    </w:p>
    <w:p w:rsidR="00BF549B" w:rsidRDefault="002F3C44">
      <w:pPr>
        <w:ind w:firstLine="567"/>
        <w:jc w:val="both"/>
      </w:pPr>
      <w:r>
        <w:t>В данной контрольной работе рассмотрена тема государственного долга. Обозначены следующие вопросы: история государственного долга Российской Федерации, современная ситуация на рынке государственного долга, влияние государственного долга на национальную экономику.</w:t>
      </w:r>
    </w:p>
    <w:p w:rsidR="00BF549B" w:rsidRDefault="002F3C44">
      <w:pPr>
        <w:ind w:firstLine="567"/>
        <w:jc w:val="both"/>
      </w:pPr>
      <w:r>
        <w:t>Важность данной проблемы для нашей страны трудно переоценить. Внешний долг России достаточно быстро превратился для нее в серьезную проблему. В отличие от внутреннего долга внешний долг России в основном состоит из «наследства» Советского Союза. В последние годы величина внешнего долга России быстро изменялась, кроме того, она определялась по-разному разными организациями. Зарубежные специалисты считают внешний долг несколько иначе, чем российские. Влияет и условность разделения общего долга на внутренний и внешний. Также возрастание величины внешнего долга было связано не только с новыми заимствованиями, но и ростом суммы процентов по долгу, особенно по просроченному. Кризисное состояние всей российской экономики, привело к событиям августа 1998 г., когда Россия объявила о вынужденной отсрочке по выплатам в части внешних долгов. По состоянию на конец 1998 г. объем внешнего государственного долга России равнялся 150,8 млрд. долл. Перед российским правительством возникли огромные проблемы, связанные с обслуживанием внешнего долга. В этих условиях было важно поддерживать и развивать сотрудничество, во-первых, с международными финансовыми организациями и, во-вторых, с Парижским и Лондонским клубами кредиторов.</w:t>
      </w:r>
    </w:p>
    <w:p w:rsidR="00BF549B" w:rsidRDefault="002F3C44">
      <w:pPr>
        <w:ind w:firstLine="567"/>
        <w:jc w:val="both"/>
      </w:pPr>
      <w:r>
        <w:t>Необходимо отметить, что вплоть до 1999 г. итоговая динамика внешнего долга для России была крайне неблагоприятна, и только со сменой президента и финансовой политики государства, общая картина по выплате внешнего долга стала меняться в лучшую сторону.</w:t>
      </w:r>
    </w:p>
    <w:p w:rsidR="00BF549B" w:rsidRDefault="002F3C44">
      <w:pPr>
        <w:ind w:firstLine="567"/>
        <w:jc w:val="both"/>
      </w:pPr>
      <w:r>
        <w:t>В данной работе я постарался отметить наличие возможных средств, позволяющих уменьшить наличие государственного долга  России, описал ситуацию на внутреннем и внешнем рынке государственного долга, а также рассказал о возникновении государственного долга в Российской Федерации.</w:t>
      </w:r>
    </w:p>
    <w:p w:rsidR="00BF549B" w:rsidRDefault="00BF549B">
      <w:pPr>
        <w:jc w:val="both"/>
      </w:pPr>
    </w:p>
    <w:p w:rsidR="00BF549B" w:rsidRDefault="00BF549B">
      <w:pPr>
        <w:jc w:val="both"/>
        <w:rPr>
          <w:b/>
          <w:sz w:val="24"/>
        </w:rPr>
      </w:pPr>
    </w:p>
    <w:p w:rsidR="00BF549B" w:rsidRDefault="00BF549B">
      <w:pPr>
        <w:jc w:val="both"/>
        <w:rPr>
          <w:b/>
          <w:sz w:val="24"/>
        </w:rPr>
      </w:pPr>
    </w:p>
    <w:p w:rsidR="00BF549B" w:rsidRDefault="002F3C44">
      <w:pPr>
        <w:pStyle w:val="1"/>
        <w:tabs>
          <w:tab w:val="left" w:pos="851"/>
        </w:tabs>
        <w:ind w:left="1080" w:hanging="720"/>
        <w:jc w:val="center"/>
        <w:rPr>
          <w:rFonts w:ascii="Times New Roman" w:hAnsi="Times New Roman"/>
        </w:rPr>
      </w:pPr>
      <w:bookmarkStart w:id="1" w:name="_Toc24289972"/>
      <w:r>
        <w:rPr>
          <w:rFonts w:ascii="Times New Roman" w:hAnsi="Times New Roman"/>
        </w:rPr>
        <w:t>I. История государственного долга России</w:t>
      </w:r>
      <w:bookmarkEnd w:id="1"/>
    </w:p>
    <w:p w:rsidR="00BF549B" w:rsidRDefault="00BF549B"/>
    <w:p w:rsidR="00BF549B" w:rsidRDefault="002F3C44">
      <w:pPr>
        <w:ind w:firstLine="567"/>
        <w:jc w:val="both"/>
        <w:rPr>
          <w:b/>
        </w:rPr>
      </w:pPr>
      <w:r>
        <w:rPr>
          <w:b/>
        </w:rPr>
        <w:t xml:space="preserve"> </w:t>
      </w:r>
    </w:p>
    <w:p w:rsidR="00BF549B" w:rsidRDefault="002F3C44">
      <w:pPr>
        <w:pStyle w:val="21"/>
      </w:pPr>
      <w:r>
        <w:t xml:space="preserve">Кредитная история  России началась в 1769 г., когда Екатерина II сделала первый заем в Голландии. За последующие два с половиной столетия Российская империя заняла на рынке примерно 15 млрд. руб. Большая часть этих средств накануне революции была погашена. К этому моменту старейшими займами в составе русского государственного долга оставались 6%-ные займы 1817-18 гг. Их нарицательный капитал составлял 93 млн. руб., а непогашенная часть к 1 января 1913г. равнялась 38 млн. руб. </w:t>
      </w:r>
    </w:p>
    <w:p w:rsidR="00BF549B" w:rsidRDefault="002F3C44">
      <w:pPr>
        <w:ind w:firstLine="567"/>
        <w:jc w:val="both"/>
      </w:pPr>
      <w:r>
        <w:t>На протяжении всего XIX в. и в начале XX в. расходы государства превышали его доходы. Во второй половине XIX в. правительство активно финансировало строительство железных дорог, а также выкупало в казну частные линии.</w:t>
      </w:r>
    </w:p>
    <w:p w:rsidR="00BF549B" w:rsidRDefault="002F3C44">
      <w:pPr>
        <w:ind w:firstLine="567"/>
        <w:jc w:val="both"/>
      </w:pPr>
      <w:r>
        <w:t>Стремясь сгладить влияние экстраординарных расходов на структуру бюджета, оно разделяло бюджет на обыкновенный и чрезвычайный. Первый пополнялся из традиционных источников доходов (налоги, акцизы и пр.), доходную часть второго на 90% составляли средства, полученные от внутренних и внешних займов. Именно заемные средства шли на финансирование строительства железных дорог, ведение войн и борьбу со стихийными бедствиями. При благоприятном положении часть чрезвычайного бюджета шла на покрытие расходов по долгосрочной оплате государственных займов. Платежи по займам (проценты и погашение) осуществлялись за счет обыкновенного бюджета.</w:t>
      </w:r>
    </w:p>
    <w:p w:rsidR="00BF549B" w:rsidRDefault="002F3C44">
      <w:pPr>
        <w:ind w:firstLine="567"/>
        <w:jc w:val="both"/>
      </w:pPr>
      <w:r>
        <w:t>Выпуск новых займов был в непосредственной компетенции царя и министерства финансов. Однако после созыва Государственной Думы она получила право утверждать каждый конкретный заем. Время и условия займа по-прежнему определялись по решению правительства.</w:t>
      </w:r>
    </w:p>
    <w:p w:rsidR="00BF549B" w:rsidRDefault="002F3C44">
      <w:pPr>
        <w:ind w:firstLine="567"/>
        <w:jc w:val="both"/>
      </w:pPr>
      <w:r>
        <w:t>По большей части государственных долгов выплачивалось 4% годовых. Сумма всех бумаг с такой доходностью составляла более 2,8 млрд. золотых рублей — около 2/3 всего рынка.</w:t>
      </w:r>
    </w:p>
    <w:p w:rsidR="00BF549B" w:rsidRDefault="002F3C44">
      <w:pPr>
        <w:ind w:firstLine="567"/>
        <w:jc w:val="both"/>
      </w:pPr>
      <w:r>
        <w:t>Все ценности, размещаемые в то время на рынке, разделялись на 3 категории:</w:t>
      </w:r>
    </w:p>
    <w:p w:rsidR="00BF549B" w:rsidRDefault="002F3C44" w:rsidP="002F3C44">
      <w:pPr>
        <w:numPr>
          <w:ilvl w:val="0"/>
          <w:numId w:val="1"/>
        </w:numPr>
        <w:ind w:firstLine="567"/>
        <w:jc w:val="both"/>
      </w:pPr>
      <w:r>
        <w:rPr>
          <w:b/>
        </w:rPr>
        <w:t xml:space="preserve"> </w:t>
      </w:r>
      <w:r>
        <w:t>краткосрочные;</w:t>
      </w:r>
    </w:p>
    <w:p w:rsidR="00BF549B" w:rsidRDefault="002F3C44" w:rsidP="002F3C44">
      <w:pPr>
        <w:numPr>
          <w:ilvl w:val="0"/>
          <w:numId w:val="1"/>
        </w:numPr>
        <w:ind w:firstLine="567"/>
        <w:jc w:val="both"/>
      </w:pPr>
      <w:r>
        <w:t xml:space="preserve"> долгосрочные;</w:t>
      </w:r>
    </w:p>
    <w:p w:rsidR="00BF549B" w:rsidRDefault="002F3C44" w:rsidP="002F3C44">
      <w:pPr>
        <w:numPr>
          <w:ilvl w:val="0"/>
          <w:numId w:val="1"/>
        </w:numPr>
        <w:ind w:firstLine="567"/>
        <w:jc w:val="both"/>
      </w:pPr>
      <w:r>
        <w:t xml:space="preserve"> бессрочные;</w:t>
      </w:r>
    </w:p>
    <w:p w:rsidR="00BF549B" w:rsidRDefault="002F3C44">
      <w:pPr>
        <w:ind w:firstLine="567"/>
        <w:jc w:val="both"/>
      </w:pPr>
      <w:r>
        <w:t>Срок обращения краткосрочных обязательств ограничивался законом и колебался от 3 месяцев до 1 года. Купюры выпуска не должны были превышать 500 руб. Право эмиссии по краткосрочным обязательствам предоставлялось лично министру финансов с условием, что общая сумма обязательств в каждый момент не превысит 50 млн. руб. В 1905 г. права министра были расширены до 200 млн. руб. с правом выпуска краткосрочных обязательств, в том числе и на иностранных рынках. Государственное казначейство и частные лица имели право учитывать эти обязательства в Государственном банке, проценты считались в виде дисконта.</w:t>
      </w:r>
    </w:p>
    <w:p w:rsidR="00BF549B" w:rsidRDefault="002F3C44">
      <w:pPr>
        <w:ind w:firstLine="567"/>
        <w:jc w:val="both"/>
      </w:pPr>
      <w:r>
        <w:t>Основу государственного долга составляли долгосрочные и бессрочные займы. Долгосрочные займы могли заключаться на достаточно длительные сроки — 50–80 лет. Практиковался выпуск бессрочных обязательств, когда государство обязывалось выплачивать только договорный процент, т.е. для держателя заем становился рентой. Правительство оставляло за собой право принудительной скупки данного инструмента по номинальной стоимости. В этом случае заем погашался тиражами. Иногда государство скупало облигации на бирже.</w:t>
      </w:r>
    </w:p>
    <w:p w:rsidR="00BF549B" w:rsidRDefault="002F3C44">
      <w:pPr>
        <w:ind w:firstLine="567"/>
        <w:jc w:val="both"/>
      </w:pPr>
      <w:r>
        <w:t>Также существовало формальное определение внутренних и внешних займов. Первые ориентировались на иностранного покупателя и обращение за границей. Вторые были рассчитаны на российский рынок. Данное деление не имело никакого экономического значения, так как никаких ограничений на покупку иностранных выпусков для российских подданных и внутренних иностранцев не существовало.</w:t>
      </w:r>
    </w:p>
    <w:p w:rsidR="00BF549B" w:rsidRDefault="002F3C44">
      <w:pPr>
        <w:ind w:firstLine="567"/>
        <w:jc w:val="both"/>
      </w:pPr>
      <w:r>
        <w:t>В 1906 г. в Основном законе имелась статья 114:</w:t>
      </w:r>
    </w:p>
    <w:p w:rsidR="00BF549B" w:rsidRDefault="002F3C44">
      <w:pPr>
        <w:ind w:firstLine="567"/>
        <w:jc w:val="both"/>
      </w:pPr>
      <w:r>
        <w:t>“При обсуждении государственной росписи не подлежат исключению или сокращению назначения на платежи по государственным долгам и по другим принятым на себя Российским Государством обязательствам” Законодатели заранее пресекали соблазн нарушить одно из основных правил рынка — платить вовремя и полностью.</w:t>
      </w:r>
    </w:p>
    <w:p w:rsidR="00BF549B" w:rsidRDefault="002F3C44">
      <w:pPr>
        <w:ind w:firstLine="567"/>
        <w:jc w:val="both"/>
      </w:pPr>
      <w:r>
        <w:t>Российское правительство в результате длительных и кровопролитных усилий сумело создать репутацию надежного заемщика, который действует на рынке аккуратно, не злоупотребляя своим государственным статусом.</w:t>
      </w:r>
    </w:p>
    <w:p w:rsidR="00BF549B" w:rsidRDefault="002F3C44">
      <w:pPr>
        <w:ind w:firstLine="567"/>
        <w:jc w:val="both"/>
      </w:pPr>
      <w:r>
        <w:t>Заимствование финансовых ресурсов использовалось с разными целями, и далеко не всегда с целью реализации какого-либо конкретного проекта. Интересы финансовой стабильности, пусть даже в краткосрочном периоде, имели первостепенное значение. Это позволяло следовать выработанной экономической политике, не меняя ее курса.</w:t>
      </w:r>
    </w:p>
    <w:p w:rsidR="00BF549B" w:rsidRDefault="002F3C44">
      <w:pPr>
        <w:ind w:firstLine="567"/>
        <w:jc w:val="both"/>
      </w:pPr>
      <w:r>
        <w:t>Отказавшись платить долги своим и иностранным гражданам, правительство Советской России заложило основу новой финансовой культуры (к моменту прихода большевиков к власти сумма взятых займов составляла примерно 15 млрд. руб. по золотому курсу на начало 1917 г.). Этот “революционный” способ решения финансовых трудностей в дальнейшем оказал громадное отрицательное влияние на экономическое развитие страны. Так началась новая кредитная история России, которая продолжалась до 1992 г., когда был легализован (т.е. узаконен, официально признан) внутренний государственный долг путем принятия целого комплекса решений правительства и указов президента по конверсии и обслуживанию долга перед населением и другими инвесторами.</w:t>
      </w:r>
    </w:p>
    <w:p w:rsidR="00BF549B" w:rsidRDefault="002F3C44">
      <w:pPr>
        <w:ind w:firstLine="567"/>
        <w:jc w:val="both"/>
      </w:pPr>
      <w:r>
        <w:t>В период советской власти государственный кредит продолжал функционировать в нашей стране в различных формах, поскольку он по-прежнему оставался важным источником пополнения бюджета, финансирования государственных расходов, покрытия бюджетного дефицита. Формы, инструменты, механизмы реализации государственного кредита претерпевали существенные изменения. В 20-е гг. еще существовали нормальные кредитные отношения и были некоторые элементы государственного долга. После установления в начале 30-х гг. режима централизованного планирования, когда все стало государственным, кредит в общепринятом понимании этого термина исчез, остались только денежные расчеты, проводимые через единственный на всю страну банк. Но доходы населения оказались относительно независимыми от указаний государства. Вот эти-то доходы и стали объектами государственного кредита. Были введены принудительные ежегодные займы у населения в размере не менее месячного фонда оплаты труда. Эти займы выпускались с 1925 до 1956 г. включительно. Затем они были прекращены. Погашение накопленной задолженности было отложено на 20 лет, выплата процентов по задолженности не предусматривалась. Так возник внутренний государственный долг.</w:t>
      </w:r>
    </w:p>
    <w:p w:rsidR="00BF549B" w:rsidRDefault="002F3C44">
      <w:pPr>
        <w:ind w:firstLine="567"/>
        <w:jc w:val="both"/>
      </w:pPr>
      <w:r>
        <w:t xml:space="preserve">Каким-то  подобием государственного долга могла считаться огромная задолженность по кредитам Госбанка, прежде всего аграрного сектора, т.е. колхозов и совхозов. Но теоретически она не образовывала государственного долга, так как с обеих сторон этого долгового отношения выступало государство: оно было и кредитором в лице государственного банка, и заемщиком в лице государственных предприятий, колхозов. Нарастание этой задолженности началось с начала 70-х гг. и продолжалось до начала «перестройки» (середина 80-х гг.). </w:t>
      </w:r>
    </w:p>
    <w:p w:rsidR="00BF549B" w:rsidRDefault="002F3C44">
      <w:pPr>
        <w:ind w:firstLine="567"/>
        <w:jc w:val="both"/>
      </w:pPr>
      <w:r>
        <w:t xml:space="preserve">Падение производства, начавшееся в 1990 г., не было остановлено с переходом к реформам. Сокращение объема реальных доходов в стране и рост дефицита бюджета вынудили государство обратиться к заемным ресурсам для обеспечения текущих расходов бюджета. Это произошло в форме организации рынка государственных ценных бумаг в 1993-1994 гг. До этого практиковалась прямое кредитование дефицита бюджета Центральным банком России. Замену банковского кредитования выпуском ценных бумаг, несомненно, следует рассматривать как успех государственной финансовой политики в 1994-1995 гг. Но в дальнейшем развитие рынка государственных ценных бумаг вышло из-под контроля.   </w:t>
      </w: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ind w:firstLine="567"/>
        <w:jc w:val="both"/>
        <w:rPr>
          <w:b/>
          <w:sz w:val="32"/>
          <w:u w:val="single"/>
        </w:rPr>
      </w:pPr>
    </w:p>
    <w:p w:rsidR="00BF549B" w:rsidRDefault="00BF549B">
      <w:pPr>
        <w:jc w:val="both"/>
        <w:rPr>
          <w:b/>
          <w:sz w:val="32"/>
          <w:u w:val="single"/>
        </w:rPr>
      </w:pPr>
    </w:p>
    <w:p w:rsidR="00BF549B" w:rsidRDefault="002F3C44">
      <w:pPr>
        <w:pStyle w:val="1"/>
        <w:ind w:hanging="284"/>
        <w:jc w:val="center"/>
        <w:rPr>
          <w:rFonts w:ascii="Times New Roman" w:hAnsi="Times New Roman"/>
        </w:rPr>
      </w:pPr>
      <w:bookmarkStart w:id="2" w:name="_Toc24289973"/>
      <w:r>
        <w:rPr>
          <w:rFonts w:ascii="Times New Roman" w:hAnsi="Times New Roman"/>
        </w:rPr>
        <w:t>II. Современная ситуация на рынке государственного долга</w:t>
      </w:r>
      <w:bookmarkEnd w:id="2"/>
    </w:p>
    <w:p w:rsidR="00BF549B" w:rsidRDefault="00BF549B">
      <w:pPr>
        <w:ind w:firstLine="567"/>
        <w:jc w:val="both"/>
        <w:rPr>
          <w:b/>
          <w:sz w:val="32"/>
          <w:u w:val="single"/>
        </w:rPr>
      </w:pPr>
    </w:p>
    <w:p w:rsidR="00BF549B" w:rsidRDefault="002F3C44">
      <w:pPr>
        <w:ind w:firstLine="567"/>
        <w:jc w:val="both"/>
      </w:pPr>
      <w:r>
        <w:rPr>
          <w:i/>
          <w:u w:val="single"/>
        </w:rPr>
        <w:t>Определение.</w:t>
      </w:r>
      <w:r>
        <w:t xml:space="preserve"> Общая сумма обязательств государства по выпущенным и непогашенным государственным займам, полученным кредитам и процентам по ним, выданным государством гарантиям, представляет собой государственный долг.</w:t>
      </w:r>
    </w:p>
    <w:p w:rsidR="00BF549B" w:rsidRDefault="002F3C44">
      <w:pPr>
        <w:ind w:firstLine="567"/>
        <w:jc w:val="both"/>
      </w:pPr>
      <w:r>
        <w:t>В зависимости от рынка размещения, валюты и других характеристик государственный долг делится на внешний и внутренний. К первому относятся кредиты иностранных государств; международных финансовых организаций; государственные займы, деноминированные в иностранной валюте и размещенные на зарубежных рынках. Ко второму относятся кредиты от национальных банков; государственные займы, деноминированные в национальной валюте и размещенные на национальном рынке. Он состоит из задолженности прошлых лет и вновь возникшей задолженности. Внутренний государственный долг регулируется законом “О государственном долге Российской Федерации”</w:t>
      </w:r>
    </w:p>
    <w:p w:rsidR="00BF549B" w:rsidRDefault="00BF549B">
      <w:pPr>
        <w:ind w:firstLine="567"/>
        <w:jc w:val="both"/>
      </w:pPr>
    </w:p>
    <w:p w:rsidR="00BF549B" w:rsidRDefault="002F3C44">
      <w:pPr>
        <w:ind w:firstLine="567"/>
        <w:rPr>
          <w:b/>
          <w:i/>
          <w:u w:val="single"/>
        </w:rPr>
      </w:pPr>
      <w:r>
        <w:rPr>
          <w:b/>
          <w:i/>
          <w:u w:val="single"/>
        </w:rPr>
        <w:t>Рынок внутреннего долга Российской Федерации.</w:t>
      </w:r>
    </w:p>
    <w:p w:rsidR="00BF549B" w:rsidRDefault="002F3C44">
      <w:pPr>
        <w:pStyle w:val="21"/>
      </w:pPr>
      <w:r>
        <w:t>На сегодняшний день существуют 3 основные формы покрытия государственного долга:</w:t>
      </w:r>
    </w:p>
    <w:p w:rsidR="00BF549B" w:rsidRDefault="002F3C44" w:rsidP="002F3C44">
      <w:pPr>
        <w:numPr>
          <w:ilvl w:val="0"/>
          <w:numId w:val="2"/>
        </w:numPr>
        <w:ind w:left="0" w:firstLine="567"/>
        <w:jc w:val="both"/>
      </w:pPr>
      <w:r>
        <w:t>Добровольный, рыночный кредит — размещение ценных бумаг на свободном (или почти свободном) рынке. К ценным бумагам, размещенным таким образом, принадлежат государственные краткосрочные обязательства (ГКО), облигации федерального займа (ОФЗ), облигации сберегательного займа (ОСЗ);</w:t>
      </w:r>
    </w:p>
    <w:p w:rsidR="00BF549B" w:rsidRDefault="002F3C44" w:rsidP="002F3C44">
      <w:pPr>
        <w:numPr>
          <w:ilvl w:val="0"/>
          <w:numId w:val="2"/>
        </w:numPr>
        <w:ind w:left="0" w:firstLine="567"/>
        <w:jc w:val="both"/>
      </w:pPr>
      <w:r>
        <w:t>Вынужденный квазирыночный кредит — рыночное оформление фактического государственного долга. Так появились на свет облигации внутреннего валютного займа (ОВВЗ), казначейские обязательства (КО), векселя Минфина, переоформившие на Минфин задолженность предприятий по банковским кредитам, предоставленным под государственные программы. Сюда же может быть отнесен портфель государственных бумаг ЦБ, сформированный в целях поддержки собственно рынка;</w:t>
      </w:r>
    </w:p>
    <w:p w:rsidR="00BF549B" w:rsidRDefault="002F3C44" w:rsidP="002F3C44">
      <w:pPr>
        <w:numPr>
          <w:ilvl w:val="0"/>
          <w:numId w:val="2"/>
        </w:numPr>
        <w:ind w:left="0" w:firstLine="567"/>
        <w:jc w:val="both"/>
      </w:pPr>
      <w:r>
        <w:t xml:space="preserve">Дружеский (административный) кредит ЦБ Минфину. </w:t>
      </w:r>
    </w:p>
    <w:p w:rsidR="00BF549B" w:rsidRDefault="002F3C44">
      <w:pPr>
        <w:ind w:firstLine="567"/>
        <w:jc w:val="both"/>
      </w:pPr>
      <w:r>
        <w:t>На начало 1996 года внутренний государственный долг (ГД) составлял  приблизительно 180 трлн. руб., к концу же 2003 г. объем государственного внутреннего долга прогнозируется в размере – 815,1 млрд. рублей.</w:t>
      </w:r>
    </w:p>
    <w:p w:rsidR="00BF549B" w:rsidRDefault="002F3C44">
      <w:pPr>
        <w:jc w:val="center"/>
        <w:rPr>
          <w:i/>
          <w:u w:val="single"/>
        </w:rPr>
      </w:pPr>
      <w:r>
        <w:rPr>
          <w:i/>
          <w:u w:val="single"/>
        </w:rPr>
        <w:t>Оценка емкости рынка государственных долговых обязательств</w:t>
      </w:r>
    </w:p>
    <w:p w:rsidR="00BF549B" w:rsidRDefault="00BF549B">
      <w:pPr>
        <w:ind w:firstLine="567"/>
        <w:jc w:val="both"/>
        <w:rPr>
          <w:b/>
          <w:i/>
        </w:rPr>
      </w:pPr>
    </w:p>
    <w:p w:rsidR="00BF549B" w:rsidRDefault="002F3C44">
      <w:pPr>
        <w:pStyle w:val="21"/>
      </w:pPr>
      <w:r>
        <w:t>Официальные подходы и оценки емкости рынка государственных долговых обязательств, если таковые существуют, не опубликованы ни в каких источниках.</w:t>
      </w:r>
    </w:p>
    <w:p w:rsidR="00BF549B" w:rsidRDefault="002F3C44">
      <w:pPr>
        <w:ind w:firstLine="567"/>
        <w:jc w:val="both"/>
      </w:pPr>
      <w:r>
        <w:t>Поэтому, при оценке емкости рынка возможны два принципиальных подхода. Первый направлен на получение абсолютных, второй — относительных (индикативных) оценок емкости рынка.</w:t>
      </w:r>
    </w:p>
    <w:p w:rsidR="00BF549B" w:rsidRDefault="002F3C44">
      <w:pPr>
        <w:ind w:firstLine="567"/>
        <w:jc w:val="both"/>
      </w:pPr>
      <w:r>
        <w:t>Абсолютные оценки могут быть получены на базе анализа состояния и динамики следующих экономических параметров:</w:t>
      </w:r>
    </w:p>
    <w:p w:rsidR="00BF549B" w:rsidRDefault="002F3C44" w:rsidP="002F3C44">
      <w:pPr>
        <w:numPr>
          <w:ilvl w:val="0"/>
          <w:numId w:val="3"/>
        </w:numPr>
        <w:tabs>
          <w:tab w:val="left" w:pos="927"/>
        </w:tabs>
        <w:ind w:left="924" w:right="1134" w:hanging="357"/>
        <w:jc w:val="both"/>
      </w:pPr>
      <w:r>
        <w:t>Доходов субъектов экономики, в итоге агрегируемых в ВВП;</w:t>
      </w:r>
    </w:p>
    <w:p w:rsidR="00BF549B" w:rsidRDefault="002F3C44" w:rsidP="002F3C44">
      <w:pPr>
        <w:numPr>
          <w:ilvl w:val="0"/>
          <w:numId w:val="3"/>
        </w:numPr>
        <w:tabs>
          <w:tab w:val="left" w:pos="927"/>
        </w:tabs>
        <w:ind w:left="924" w:right="1134" w:hanging="357"/>
        <w:jc w:val="both"/>
      </w:pPr>
      <w:r>
        <w:t>Ликвидности субъектов экономики, получающей обобщенное выражение в денежных агрегатах, или, как вариант, в ресурсах кредитной системы.</w:t>
      </w:r>
    </w:p>
    <w:p w:rsidR="00BF549B" w:rsidRDefault="002F3C44">
      <w:pPr>
        <w:ind w:firstLine="567"/>
        <w:jc w:val="both"/>
      </w:pPr>
      <w:r>
        <w:t>Относительные оценки, призванные дать представление об использованных и резервных возможностях рынка, могут базироваться на состоянии следующих показателей:</w:t>
      </w:r>
    </w:p>
    <w:p w:rsidR="00BF549B" w:rsidRDefault="002F3C44" w:rsidP="002F3C44">
      <w:pPr>
        <w:numPr>
          <w:ilvl w:val="0"/>
          <w:numId w:val="4"/>
        </w:numPr>
        <w:tabs>
          <w:tab w:val="left" w:pos="927"/>
        </w:tabs>
        <w:ind w:left="924" w:right="1134" w:hanging="357"/>
        <w:jc w:val="both"/>
      </w:pPr>
      <w:r>
        <w:t>Величины и динамики относительной доходности рыночных инструментов государственного долга. Базовыми для исчисления показателей относительной доходности инструментов ГД должны выступать уровень рационально ожидаемой инфляции, а также уровень ставок по кредитным и депозитным операциям со сроком, аналогичным периоду обращения инструментов ГД;</w:t>
      </w:r>
    </w:p>
    <w:p w:rsidR="00BF549B" w:rsidRDefault="002F3C44" w:rsidP="002F3C44">
      <w:pPr>
        <w:numPr>
          <w:ilvl w:val="0"/>
          <w:numId w:val="4"/>
        </w:numPr>
        <w:tabs>
          <w:tab w:val="left" w:pos="927"/>
        </w:tabs>
        <w:ind w:left="924" w:right="1134" w:hanging="357"/>
        <w:jc w:val="both"/>
      </w:pPr>
      <w:r>
        <w:t>Динамики коэффициента прироста государственного долга к приросту объема заимствований: КПД= (К-В)/К, где КПД — коэффициент прироста долга; К — объем заимствований, брутто; В — объем средств, возвращенных кредиторам (таким образом, разница К-В представляет собой объем нетто-заимствований);</w:t>
      </w:r>
    </w:p>
    <w:p w:rsidR="00BF549B" w:rsidRDefault="002F3C44" w:rsidP="002F3C44">
      <w:pPr>
        <w:numPr>
          <w:ilvl w:val="0"/>
          <w:numId w:val="4"/>
        </w:numPr>
        <w:tabs>
          <w:tab w:val="left" w:pos="927"/>
        </w:tabs>
        <w:ind w:left="924" w:right="1134" w:hanging="357"/>
        <w:jc w:val="both"/>
      </w:pPr>
      <w:r>
        <w:t>Динамики портфеля Банка России в общем объеме ГД.</w:t>
      </w:r>
    </w:p>
    <w:p w:rsidR="00BF549B" w:rsidRDefault="002F3C44">
      <w:pPr>
        <w:ind w:firstLine="567"/>
        <w:jc w:val="both"/>
      </w:pPr>
      <w:r>
        <w:t xml:space="preserve">Относительные показатели непосредственно не дают возможности оценить емкостные (спросовые) параметры рынка, однако они служат хорошими индикаторами для установления фактов выхода рынка на или за границы нормальных спросовых возможностей и, таким образом, весьма существенно помогают определить базовые параметры абсолютных оценок. Особенно это касается начальной фазы развития рынка, когда индикативные показатели играют, возможно, решающую роль для формирования исходной базы критериев абсолютных оценок. </w:t>
      </w:r>
    </w:p>
    <w:p w:rsidR="00BF549B" w:rsidRDefault="002F3C44">
      <w:pPr>
        <w:ind w:firstLine="567"/>
        <w:jc w:val="both"/>
      </w:pPr>
      <w:r>
        <w:t>Экономическим итогом функционирования рыночной системы ГД выступает общее существенное сужение инвестиционных возможностей экономики.</w:t>
      </w:r>
    </w:p>
    <w:p w:rsidR="00BF549B" w:rsidRDefault="00BF549B">
      <w:pPr>
        <w:jc w:val="both"/>
      </w:pPr>
    </w:p>
    <w:p w:rsidR="00BF549B" w:rsidRDefault="002F3C44">
      <w:pPr>
        <w:ind w:firstLine="567"/>
        <w:jc w:val="both"/>
        <w:rPr>
          <w:b/>
          <w:i/>
          <w:u w:val="single"/>
        </w:rPr>
      </w:pPr>
      <w:r>
        <w:rPr>
          <w:b/>
          <w:i/>
          <w:u w:val="single"/>
        </w:rPr>
        <w:t xml:space="preserve"> Рынок внешнего долга Российской Федерации </w:t>
      </w:r>
    </w:p>
    <w:p w:rsidR="00BF549B" w:rsidRDefault="002F3C44">
      <w:pPr>
        <w:ind w:firstLine="567"/>
        <w:jc w:val="both"/>
      </w:pPr>
      <w:r>
        <w:t>Лет десять тому назад вряд ли кто-нибудь мог предположить, что Россия окажется в весьма неприглядном положении ненадежного должника, вынужденного просить отсрочки по непосильным для нее долговым платежам, и что проблема управления внешним долгом станет постоянной заботой ее экономических и финансовых органов. С одной стороны, подтвердились опасения ненадежной платежеспособности наших должников их развивающихся стран и стран СЭВа, а с другой — по ряду причин оказалось невозможным избежать быстрого нарастания валютной задолженности западным кредиторам. Связано это было в основном с дефицитностью платежного баланса и государственного бюджета, ухудшением ценовых условий внешней торговли, общим сокращением товарного экспорта и поставок военной техники.</w:t>
      </w:r>
    </w:p>
    <w:p w:rsidR="00BF549B" w:rsidRDefault="002F3C44">
      <w:pPr>
        <w:ind w:firstLine="567"/>
        <w:jc w:val="both"/>
      </w:pPr>
      <w:r>
        <w:t>После распада СССР в конце 1991г. России в срочном порядке пришлось взять на себя долговые обязательства перед иностранными кредиторами. В итоге внешний долг увеличился с 22,5 млрд. долл. в 1985 г. до 119 млрд. долл.  в 1994 г. и в 1995 г. — 130 млрд. долл. По состоянию на конец 1998 г. объем внешнего государственного долга России равнялся 150,8 млрд. долл., или около 55% ВВП в долларовом исчислении. На конец 2003 г. общий объем государственного внешнего долга РФ с учетом предельного размера гарантий прогнозируется на уровне 123,4 млрд. руб. (39,6% ВВП). На лицо видна, в последние годы, положительная динамика обслуживания внешнего долга.</w:t>
      </w:r>
    </w:p>
    <w:p w:rsidR="00BF549B" w:rsidRDefault="002F3C44">
      <w:pPr>
        <w:ind w:firstLine="567"/>
        <w:jc w:val="both"/>
      </w:pPr>
      <w:r>
        <w:t>Приняв на себя все внешние долги, Россия по условиям “нулевого варианта” стала одновременно правопреемником  и по всем зарубежным финансовым активам СССР. Вроде бы общие размеры этих активов превышают сумму  контрактных обязательств по полученным иностранным кредитам, однако реальная ситуация сейчас складывается таким образом, что с позиций текущего платежного баланса России весьма незначительные поступления от указанных финансовых активов далеко не равнозначны крупным платежам по обслуживанию внешней задолженности. И дело здесь отнюдь не в расхождении графиков соответствующих поступлений и платежей.</w:t>
      </w:r>
    </w:p>
    <w:p w:rsidR="00BF549B" w:rsidRDefault="002F3C44">
      <w:pPr>
        <w:ind w:firstLine="567"/>
        <w:jc w:val="both"/>
      </w:pPr>
      <w:r>
        <w:t>Общая задолженность третьих стран по государственным кредитам бывшего СССР оценивается ориентировочно в 140 млрд. долл. При этом следует учитывать, что подавляющая часть кредитов выражена в прежних инвалютных рублях, и их пересчет в современные доллары связан с немалыми сложностями и противоречиями. Поэтому иногда предлагается считать, что нам должны по этим кредитам примерно 100 млрд. инвалютных рублей и 7 млрд. долл. По некоторым оценкам, более половины долгов можно отнести к безнадежным. По различным оценкам, Россия может получить от своих должников лишь от 15 до 20 млрд. долл., да и то в течение 20-25 лет. Как видно, взятые на себя Россией союзные долги намного весомей противостоящих им финансовых активов. Если принять ориентировочно эту разницу на уровне 50 млрд. долл., то при реальной доле России в кредитных обязательствах СССР около 60% убыток от нулевого варианта определяется в 20 млрд. долл. (40% от 50 млрд. долл.). Реальная цифра может оказаться еще более весомой.</w:t>
      </w:r>
    </w:p>
    <w:p w:rsidR="00BF549B" w:rsidRDefault="002F3C44">
      <w:pPr>
        <w:ind w:firstLine="567"/>
        <w:jc w:val="both"/>
      </w:pPr>
      <w:r>
        <w:t>Кредиторы государства объединены в Парижский клуб, в котором все вопросы решаются исходя из политической точки зрения, в отличие от чисто коммерческого подхода участников Лондонского клуба, куда входят в основном зарубежные банки-кредиторы.</w:t>
      </w:r>
    </w:p>
    <w:p w:rsidR="00BF549B" w:rsidRDefault="002F3C44">
      <w:pPr>
        <w:ind w:firstLine="567"/>
        <w:jc w:val="both"/>
      </w:pPr>
      <w:r>
        <w:t>До 1991г. Внешэкономбанк считался первоклассным заемщиком, ему давали кредиты крупные банки Японии, США, Швейцарии и, особенно, Германии. В итоге они оказались обладателями крупных просроченных задолженностей на миллионы долларов. Естественно, что многие из них захотели продать эти долги. Другие же, рассчитывая на погашение в ближайшем будущем этих задолженностей, приобретали их. Возникновению рынка способствовало обезличивание долгов, т.е. вне зависимости от срока погашения и процентной ставки они стали представлять собой единый инструмент.</w:t>
      </w:r>
    </w:p>
    <w:p w:rsidR="00BF549B" w:rsidRDefault="002F3C44">
      <w:pPr>
        <w:ind w:firstLine="567"/>
        <w:jc w:val="both"/>
      </w:pPr>
      <w:r>
        <w:t>Некоторые банки стремились избавиться от этих кредитных соглашений, другие их покупали с большим дисконтом от номинальной стоимости, по которой выдавался этот кредит. Солидный объем внешнего долга и достаточно большое количество банков, желающих купить и продать долговые обязательства, обусловили высокую ликвидность инструмента внешних долгов.</w:t>
      </w:r>
    </w:p>
    <w:p w:rsidR="00BF549B" w:rsidRDefault="002F3C44">
      <w:pPr>
        <w:ind w:firstLine="567"/>
        <w:jc w:val="both"/>
      </w:pPr>
      <w:r>
        <w:t>За четыре года функционирования рынка внешнего долга России выработан механизм торговли.</w:t>
      </w:r>
    </w:p>
    <w:p w:rsidR="00BF549B" w:rsidRDefault="002F3C44">
      <w:pPr>
        <w:ind w:firstLine="567"/>
        <w:jc w:val="both"/>
      </w:pPr>
      <w:r>
        <w:t xml:space="preserve">Заключенная дилерами сделка оформляется соглашением между покупателем и продавцом. Затем происходит переоформление долга Внешэкономбанка с одного кредитора на другого. ВЭБ ведет реестр кредиторов и дает согласие на подобную перезапись. И хотя случаев отказа в таком переоформлении зафиксировано не было, сам процесс занимает длительное время. Формально стороны оставляют 21 рабочий день, для того чтобы переписать права собственности с продавца на покупателя. При этом в соглашение включено положение о том, что стороны приложат максимум усилий для соблюдения этого срока. Однако на практике это не всегда удается — сделка требует длительного обмена письмами: сначала происходит подтверждение сделки между контрагентами, затем продавец посылает запрос на reassignment (перерегистрацию) во Внешэкономбанк, получает от него положительный ответ, после чего вместе с покупателем переписывает сам кредит. </w:t>
      </w:r>
    </w:p>
    <w:p w:rsidR="00BF549B" w:rsidRDefault="002F3C44">
      <w:pPr>
        <w:ind w:firstLine="567"/>
        <w:jc w:val="both"/>
      </w:pPr>
      <w:r>
        <w:t xml:space="preserve">Для упрощения сделок время от времени создаются синдикаты, куда входят основные западные инвестиционные банки, торгующие данным инструментом. Эти синдикаты при посредничестве крупных аудиторских фирм, таких как Arthur Anderson, Price Waterhouse и др., клирингуют сделки между собой. В результате вместо тысяч перерегистраций возникает необходимость лишь в нескольких с участием начальных и конечных владельцев. </w:t>
      </w:r>
    </w:p>
    <w:p w:rsidR="00BF549B" w:rsidRDefault="002F3C44">
      <w:pPr>
        <w:ind w:firstLine="567"/>
        <w:jc w:val="both"/>
      </w:pPr>
      <w:r>
        <w:t>Существует и более простой способ торговли, который предпочитают отечественные банки, — нейтинг (netting): банк продает купленный кредит прежнему владельцу до истечения стандартного срока в 21 день, производя, таким образом, подобие арбитражной сделки, которая не требует никакого оформления. Привлекательность таких сделок с точки зрения российских банков в том, что можно получить прибыль, не привлекая дополнительные средства.</w:t>
      </w:r>
    </w:p>
    <w:p w:rsidR="00BF549B" w:rsidRDefault="00BF549B">
      <w:pPr>
        <w:ind w:firstLine="567"/>
        <w:jc w:val="both"/>
      </w:pPr>
    </w:p>
    <w:p w:rsidR="00BF549B" w:rsidRDefault="002F3C44">
      <w:pPr>
        <w:ind w:firstLine="567"/>
        <w:jc w:val="both"/>
        <w:rPr>
          <w:i/>
          <w:u w:val="single"/>
        </w:rPr>
      </w:pPr>
      <w:r>
        <w:rPr>
          <w:i/>
          <w:u w:val="single"/>
        </w:rPr>
        <w:t>Ценообразование.</w:t>
      </w:r>
    </w:p>
    <w:p w:rsidR="00BF549B" w:rsidRDefault="002F3C44">
      <w:pPr>
        <w:ind w:firstLine="567"/>
        <w:jc w:val="both"/>
      </w:pPr>
      <w:r>
        <w:t>В отличие от многих других финансовых инструментов внешние долги России не имеют ярко выраженных ценообразующих факторов. На начальном этапе развития было совершенно неясно, когда начнется выплата основной задолженности и тем более процентов по ней. По этой причине невозможно было определить доходность, а, следовательно, и реальную цену. В результате котировки остановились на основе спроса-предложения. В дальнейшем их динамика определялась общим состоянием рынков внешних долгов в мире; факторами, влияющими на них, а также состоянием российской экономики в целом, и финансов в частности.</w:t>
      </w:r>
    </w:p>
    <w:p w:rsidR="00BF549B" w:rsidRDefault="002F3C44">
      <w:pPr>
        <w:ind w:firstLine="567"/>
        <w:jc w:val="both"/>
      </w:pPr>
      <w:r>
        <w:t xml:space="preserve">На состояние рынка влияет ход переговорного процесса России с Парижским и Лондонским клубами, с МВФ и МБРР: любые положительные решения поднимают уровень котировок. Негативное влияние на цену долгов оказывает ухудшение общей экономико-политической ситуации в России (путч, “черный вторник”, межбанковский кризис, etc.). Рынок внешних долгов структурирован в соответствии с валютами, в которых кредиты были получены. Наибольшим спросом пользуются долги, выданные в долларах, немецких марках, йенах и швейцарских франках. </w:t>
      </w:r>
    </w:p>
    <w:p w:rsidR="00BF549B" w:rsidRDefault="002F3C44">
      <w:pPr>
        <w:pStyle w:val="1"/>
        <w:tabs>
          <w:tab w:val="left" w:pos="284"/>
          <w:tab w:val="left" w:pos="567"/>
        </w:tabs>
        <w:ind w:left="426" w:hanging="142"/>
        <w:jc w:val="center"/>
        <w:rPr>
          <w:rFonts w:ascii="Times New Roman" w:hAnsi="Times New Roman"/>
        </w:rPr>
      </w:pPr>
      <w:r>
        <w:rPr>
          <w:rFonts w:ascii="Times New Roman" w:hAnsi="Times New Roman"/>
        </w:rPr>
        <w:t xml:space="preserve"> </w:t>
      </w:r>
      <w:bookmarkStart w:id="3" w:name="_Toc24289974"/>
      <w:r>
        <w:rPr>
          <w:rFonts w:ascii="Times New Roman" w:hAnsi="Times New Roman"/>
        </w:rPr>
        <w:t>Влияние внешнего долга на национальную экономику</w:t>
      </w:r>
      <w:bookmarkEnd w:id="3"/>
    </w:p>
    <w:p w:rsidR="00BF549B" w:rsidRDefault="00BF549B">
      <w:pPr>
        <w:pStyle w:val="a3"/>
        <w:tabs>
          <w:tab w:val="clear" w:pos="4536"/>
          <w:tab w:val="clear" w:pos="9072"/>
        </w:tabs>
      </w:pPr>
    </w:p>
    <w:p w:rsidR="00BF549B" w:rsidRDefault="00BF549B"/>
    <w:p w:rsidR="00BF549B" w:rsidRDefault="002F3C44">
      <w:pPr>
        <w:ind w:firstLine="567"/>
        <w:jc w:val="both"/>
      </w:pPr>
      <w:r>
        <w:t>Чем обременительнее для страны накопленный внешний долг, тем в большей мере его обслуживание вовлекается во взаимодействие с функционированием всей национальной экономики и ее финансовой сферы.</w:t>
      </w:r>
    </w:p>
    <w:p w:rsidR="00BF549B" w:rsidRDefault="002F3C44">
      <w:pPr>
        <w:ind w:firstLine="567"/>
        <w:jc w:val="both"/>
      </w:pPr>
      <w:r>
        <w:t>Обозначим характер взаимодействия внешних заимствований с соответствующими сферами экономики страны. Прежде всего, важен характер опасности чрезмерного роста внешнего долга с позиций госбюджета, денежно-кредитной системы, международной кредитоспособности страны. Для госбюджета в 3-х звенном кредитном цикле (привлечение, использование, погашение) неблагоприятные последствия чрезмерного возрастания внешнего долга связаны в основном со стадией его погашения; новые же займы для текущего бюджетного периода, наоборот, сулят возможность ослабить нагрузку на налоговые и другие обычные доходные источники, позволяют более гибко маневрировать на всех стадиях бюджетного процесса. В то же время неблагоприятно может складываться график платежей по внешнему долгу. В любом случае степень и последствия взаимодействия зависят главным образом от относительной величины накопившегося внешнего долга.</w:t>
      </w:r>
    </w:p>
    <w:p w:rsidR="00BF549B" w:rsidRDefault="002F3C44">
      <w:pPr>
        <w:ind w:firstLine="567"/>
        <w:jc w:val="both"/>
      </w:pPr>
      <w:r>
        <w:t>У платежного баланса аналогичный характер взаимодействия с долговым циклом: на смену желанным дополнительным валютным поступлениям приходит период расплаты по долгу. Здесь в целом высокая степень взаимодействия, поскольку именно сальдо по текущим статьям платежного баланса может выступать основным ограничителем во внешних заимствованиях и управлении инвалютным долгом, а при определенных обстоятельствах — даже диктовать необходимость отсрочки долговых платежей. В условиях обременительного внешнего долга существенно возрастают трудности в укреплении доверия к национальной валюте, противодействии инфляции, в обеспечении необходимыми валютными резервами и валютной конвертируемости. Особое место при этом занимает вопрос о возможных неблагоприятных последствиях в случае чрезмерной девальвации национальной валюты, относительно занижения ее реального курса. Увеличение в подобных условиях реального бремени платежей по внешнему долгу подтверждается практикой ряда стран.</w:t>
      </w:r>
    </w:p>
    <w:p w:rsidR="00BF549B" w:rsidRDefault="002F3C44">
      <w:pPr>
        <w:ind w:firstLine="567"/>
        <w:jc w:val="both"/>
      </w:pPr>
      <w:r>
        <w:t>Согласно введенному в 1994г. порядку формирования российского государственного бюджета все платежи в нем по внешнему долгу учитываются теперь в рублевом эквиваленте. Это ограничивает возможности России увеличивать долговые выплаты, поскольку она имеет обязательства перед МВФ в отношении предельных размеров бюджетного дефицита. При заниженном курсе рубля искусственно завышается рублевый эквивалент бюджетных расходов по долговым платежам, а тем самым и размеры бюджетного дефицита.</w:t>
      </w:r>
    </w:p>
    <w:p w:rsidR="00BF549B" w:rsidRDefault="002F3C44">
      <w:pPr>
        <w:ind w:firstLine="567"/>
        <w:jc w:val="both"/>
      </w:pPr>
      <w:r>
        <w:t>Одним из элементов управления внешним долгом страны является разработка программы внешних заимствований. Ряд основных положений по этому вопросу предусмотрен правительственным постановлением от 16 октября 1993г. №1060 и федеральным законом от 26 декабря 1994г. №76-Ф3. Предельным размером государственных внешних заимствований является ежегодно утверждаемый в форме федерального закона максимальный объем использования кредитов на предстоящий финансовый год. Как правило, он не должен превышать годового объема платежей по обслуживанию и выплате основной суммы государственного внешнего долга. В предельных размерах не учитываются кредиты и заимствования в отношениях с другими государствами-участниками СНГ; их суммы определяются в законе о федеральном бюджете. Ежегодно правительством подготавливается программа государственных внешних заимствований и предоставляемых внешних кредитов с выделением кредитов (займов), каждый из которых превышает 100 млн. долл.</w:t>
      </w:r>
    </w:p>
    <w:p w:rsidR="00BF549B" w:rsidRDefault="002F3C44">
      <w:pPr>
        <w:ind w:firstLine="567"/>
        <w:jc w:val="both"/>
      </w:pPr>
      <w:r>
        <w:t>Ограничителем размеров внешних заимствований может служить установка на поддержание в определенных пределах показателей долговой зависимости, используемых в мировой практике, в том числе на основе сопоставления  задолженности и долговых платежей с ВВП и экспортом. Необходимо учитывать, что для России, как и для других стран с большой территорией, объективно закономерен относительно низкий удельный вес экспорта в национальном продукте. Именно по этой причине, а также из-за неполной еще интеграции в мировую экономику нам, видимо, следует отдавать предпочтение не ВВП, а экспорту в качестве базы для индикатора уровня долговой зависимости.</w:t>
      </w: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2F3C44">
      <w:pPr>
        <w:pStyle w:val="1"/>
        <w:jc w:val="center"/>
        <w:rPr>
          <w:rFonts w:ascii="Times New Roman" w:hAnsi="Times New Roman"/>
        </w:rPr>
      </w:pPr>
      <w:bookmarkStart w:id="4" w:name="_Toc24289975"/>
      <w:r>
        <w:rPr>
          <w:rFonts w:ascii="Times New Roman" w:hAnsi="Times New Roman"/>
        </w:rPr>
        <w:t>ЗАКЛЮЧЕНИЕ</w:t>
      </w:r>
      <w:bookmarkEnd w:id="4"/>
    </w:p>
    <w:p w:rsidR="00BF549B" w:rsidRDefault="00BF549B"/>
    <w:p w:rsidR="00BF549B" w:rsidRDefault="002F3C44">
      <w:pPr>
        <w:ind w:firstLine="567"/>
        <w:jc w:val="both"/>
      </w:pPr>
      <w:r>
        <w:t>По итогам контрольной работы можно сделать следующие выводы.</w:t>
      </w:r>
    </w:p>
    <w:p w:rsidR="00BF549B" w:rsidRDefault="002F3C44">
      <w:pPr>
        <w:ind w:firstLine="567"/>
        <w:jc w:val="both"/>
      </w:pPr>
      <w:r>
        <w:t>Управление государственным долгом — одно из важных направлений государственной финансовой политики. Оно представляет собой комплекс мероприятий: обслуживание долга, т.е. погашение основной суммы и выплата процентов кредиторам; изменение условий выпущенных займов; мониторинг показателей объема и уровня долга, их сопоставление с показателями государственных финансов; взаимоотношения с кредиторами по поводу урегулирования старых долгов и предоставления новых кредитов; реструктуризация долгов; рефинансирование долгов и др.</w:t>
      </w:r>
    </w:p>
    <w:p w:rsidR="00BF549B" w:rsidRDefault="002F3C44">
      <w:pPr>
        <w:ind w:firstLine="567"/>
        <w:jc w:val="both"/>
      </w:pPr>
      <w:r>
        <w:t>Государственный долг в условиях рыночных отношений выступает важным макроэкономическим фактором, оказывающим значительное воздействие на состояние национальной экономики. С другой стороны, сам рынок государственных долгов реагирует на изменение экономической ситуации внутри страны и тенденций международных финансовых рынков.</w:t>
      </w:r>
    </w:p>
    <w:p w:rsidR="00BF549B" w:rsidRDefault="002F3C44">
      <w:pPr>
        <w:ind w:firstLine="567"/>
        <w:jc w:val="both"/>
      </w:pPr>
      <w:r>
        <w:t xml:space="preserve">В управлении государственным долгом важно соблюдать сбалансированность бюджетной и долговой политики государства, т.е. не допускать чрезмерного роста дефицитного финансирования и гарантировать нормальное обслуживание сложившейся задолженности. </w:t>
      </w:r>
    </w:p>
    <w:p w:rsidR="00BF549B" w:rsidRDefault="002F3C44">
      <w:pPr>
        <w:ind w:firstLine="567"/>
        <w:jc w:val="both"/>
      </w:pPr>
      <w:r>
        <w:t xml:space="preserve">Научиться правильно управлять государственным долгом — одна из главных задач современной России. Выполнение этой задачи станет предпосылкой постепенному перехода к экономическому росту. Государство не должно вовлекать все свободные денежные ресурсы общества в сферу бюджетного перераспределения, соответственно доходность государственных займов и государственных ценных бумаг не должна превышать эффективности реального сектора и других секторов финансового рынка. Реструктуризация и упорядочение государственного долга помогут встать России на путь экономического подъема. </w:t>
      </w:r>
    </w:p>
    <w:p w:rsidR="00BF549B" w:rsidRDefault="002F3C44">
      <w:pPr>
        <w:ind w:firstLine="567"/>
      </w:pPr>
      <w:r>
        <w:t xml:space="preserve">Стратегия в области управления госдолгом в 2003 году и на среднесрочную перспективу нацелена на улучшение структуры долга, снижение стоимости его обслуживания. Проводимая правительством бюджетная политика будет способствовать сокращению объема государственного долга. Благодаря принятым мерам по управлению государственным долгом, сглажен пик долговых платежей в 2003 году, а также облегчена проблема долговых платежей в перспективе. </w:t>
      </w:r>
    </w:p>
    <w:p w:rsidR="00BF549B" w:rsidRDefault="002F3C44">
      <w:pPr>
        <w:pStyle w:val="1"/>
        <w:jc w:val="center"/>
        <w:rPr>
          <w:rFonts w:ascii="Times New Roman" w:hAnsi="Times New Roman"/>
        </w:rPr>
      </w:pPr>
      <w:bookmarkStart w:id="5" w:name="_Toc24289976"/>
      <w:r>
        <w:rPr>
          <w:rFonts w:ascii="Times New Roman" w:hAnsi="Times New Roman"/>
        </w:rPr>
        <w:t>ЛИТЕРАТУРА</w:t>
      </w:r>
      <w:bookmarkEnd w:id="5"/>
    </w:p>
    <w:p w:rsidR="00BF549B" w:rsidRDefault="00BF549B"/>
    <w:p w:rsidR="00BF549B" w:rsidRDefault="00BF549B"/>
    <w:p w:rsidR="00BF549B" w:rsidRDefault="002F3C44">
      <w:pPr>
        <w:ind w:left="426" w:hanging="426"/>
        <w:jc w:val="both"/>
      </w:pPr>
      <w:r>
        <w:t>1.  ”Власть”, №9/2002, Сергей Колчин, статья “Внешний долг России”</w:t>
      </w:r>
    </w:p>
    <w:p w:rsidR="00BF549B" w:rsidRDefault="00BF549B">
      <w:pPr>
        <w:ind w:left="426" w:hanging="426"/>
      </w:pPr>
    </w:p>
    <w:p w:rsidR="00BF549B" w:rsidRDefault="002F3C44" w:rsidP="002F3C44">
      <w:pPr>
        <w:numPr>
          <w:ilvl w:val="0"/>
          <w:numId w:val="5"/>
        </w:numPr>
        <w:tabs>
          <w:tab w:val="left" w:pos="387"/>
        </w:tabs>
        <w:ind w:left="426" w:hanging="426"/>
        <w:jc w:val="both"/>
      </w:pPr>
      <w:r>
        <w:t xml:space="preserve">  ”Деньги и кредит”, №6/2001, А.Ю. Симановский, статья “Государственный долг: бремя цивилизации”</w:t>
      </w:r>
    </w:p>
    <w:p w:rsidR="00BF549B" w:rsidRDefault="00BF549B" w:rsidP="002F3C44">
      <w:pPr>
        <w:numPr>
          <w:ilvl w:val="12"/>
          <w:numId w:val="0"/>
        </w:numPr>
        <w:ind w:left="426" w:hanging="426"/>
      </w:pPr>
    </w:p>
    <w:p w:rsidR="00BF549B" w:rsidRDefault="002F3C44" w:rsidP="002F3C44">
      <w:pPr>
        <w:numPr>
          <w:ilvl w:val="0"/>
          <w:numId w:val="5"/>
        </w:numPr>
        <w:tabs>
          <w:tab w:val="left" w:pos="387"/>
        </w:tabs>
        <w:ind w:left="426" w:hanging="426"/>
        <w:jc w:val="both"/>
      </w:pPr>
      <w:r>
        <w:t xml:space="preserve">  ”Финансы”, №7/2001, Г.П. Рыбалко, статья “О внешних заимствованиях России”</w:t>
      </w:r>
    </w:p>
    <w:p w:rsidR="00BF549B" w:rsidRDefault="00BF549B" w:rsidP="002F3C44">
      <w:pPr>
        <w:numPr>
          <w:ilvl w:val="12"/>
          <w:numId w:val="0"/>
        </w:numPr>
      </w:pPr>
    </w:p>
    <w:p w:rsidR="00BF549B" w:rsidRDefault="002F3C44" w:rsidP="002F3C44">
      <w:pPr>
        <w:numPr>
          <w:ilvl w:val="0"/>
          <w:numId w:val="5"/>
        </w:numPr>
        <w:tabs>
          <w:tab w:val="left" w:pos="387"/>
        </w:tabs>
        <w:ind w:left="426" w:hanging="426"/>
        <w:jc w:val="both"/>
      </w:pPr>
      <w:r>
        <w:t xml:space="preserve">  Финансы: Учебник. Под ред. проф. С.И. Лушина, проф. В.А. Слепова. – М.: Изд-во Рос. экон. акад., 2000</w:t>
      </w:r>
    </w:p>
    <w:p w:rsidR="00BF549B" w:rsidRDefault="00BF549B"/>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firstLine="567"/>
        <w:jc w:val="both"/>
      </w:pPr>
    </w:p>
    <w:p w:rsidR="00BF549B" w:rsidRDefault="00BF549B">
      <w:pPr>
        <w:ind w:left="851" w:hanging="284"/>
        <w:jc w:val="both"/>
      </w:pPr>
      <w:bookmarkStart w:id="6" w:name="_GoBack"/>
      <w:bookmarkEnd w:id="6"/>
    </w:p>
    <w:sectPr w:rsidR="00BF549B">
      <w:headerReference w:type="default" r:id="rId7"/>
      <w:footerReference w:type="default" r:id="rId8"/>
      <w:pgSz w:w="11906" w:h="16838"/>
      <w:pgMar w:top="1701" w:right="567" w:bottom="1134" w:left="1701" w:header="567"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49B" w:rsidRDefault="002F3C44">
      <w:r>
        <w:separator/>
      </w:r>
    </w:p>
  </w:endnote>
  <w:endnote w:type="continuationSeparator" w:id="0">
    <w:p w:rsidR="00BF549B" w:rsidRDefault="002F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9B" w:rsidRDefault="00BF549B">
    <w:pPr>
      <w:pStyle w:val="a4"/>
      <w:framePr w:wrap="auto" w:vAnchor="text" w:hAnchor="margin" w:xAlign="right" w:y="1"/>
      <w:rPr>
        <w:rStyle w:val="a5"/>
      </w:rPr>
    </w:pPr>
  </w:p>
  <w:p w:rsidR="00BF549B" w:rsidRDefault="00BF549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49B" w:rsidRDefault="002F3C44">
      <w:r>
        <w:separator/>
      </w:r>
    </w:p>
  </w:footnote>
  <w:footnote w:type="continuationSeparator" w:id="0">
    <w:p w:rsidR="00BF549B" w:rsidRDefault="002F3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9B" w:rsidRDefault="002F3C44">
    <w:pPr>
      <w:pStyle w:val="a3"/>
      <w:jc w:val="right"/>
      <w:rPr>
        <w:sz w:val="24"/>
      </w:rPr>
    </w:pPr>
    <w:r>
      <w:rPr>
        <w:rStyle w:val="a5"/>
        <w:sz w:val="24"/>
      </w:rPr>
      <w:fldChar w:fldCharType="begin"/>
    </w:r>
    <w:r>
      <w:rPr>
        <w:rStyle w:val="a5"/>
        <w:sz w:val="24"/>
      </w:rPr>
      <w:instrText xml:space="preserve"> PAGE </w:instrText>
    </w:r>
    <w:r>
      <w:rPr>
        <w:rStyle w:val="a5"/>
        <w:sz w:val="24"/>
      </w:rPr>
      <w:fldChar w:fldCharType="separate"/>
    </w:r>
    <w:r>
      <w:rPr>
        <w:rStyle w:val="a5"/>
        <w:noProof/>
        <w:sz w:val="24"/>
      </w:rPr>
      <w:t>3</w:t>
    </w:r>
    <w:r>
      <w:rPr>
        <w:rStyle w:val="a5"/>
        <w:sz w:val="24"/>
      </w:rPr>
      <w:fldChar w:fldCharType="end"/>
    </w:r>
    <w:r>
      <w:rPr>
        <w:i/>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BC8A666"/>
    <w:lvl w:ilvl="0">
      <w:numFmt w:val="bullet"/>
      <w:lvlText w:val="*"/>
      <w:lvlJc w:val="left"/>
    </w:lvl>
  </w:abstractNum>
  <w:abstractNum w:abstractNumId="1">
    <w:nsid w:val="0E5B677B"/>
    <w:multiLevelType w:val="multilevel"/>
    <w:tmpl w:val="61F45F2A"/>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10D02DE8"/>
    <w:multiLevelType w:val="multilevel"/>
    <w:tmpl w:val="61F45F2A"/>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213179D0"/>
    <w:multiLevelType w:val="singleLevel"/>
    <w:tmpl w:val="72022000"/>
    <w:lvl w:ilvl="0">
      <w:start w:val="1"/>
      <w:numFmt w:val="decimal"/>
      <w:lvlText w:val="%1)"/>
      <w:legacy w:legacy="1" w:legacySpace="170" w:legacyIndent="283"/>
      <w:lvlJc w:val="left"/>
      <w:pPr>
        <w:ind w:left="850" w:hanging="283"/>
      </w:pPr>
    </w:lvl>
  </w:abstractNum>
  <w:abstractNum w:abstractNumId="4">
    <w:nsid w:val="3D813B8B"/>
    <w:multiLevelType w:val="multilevel"/>
    <w:tmpl w:val="61F45F2A"/>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3C44"/>
    <w:rsid w:val="002F3C44"/>
    <w:rsid w:val="00915819"/>
    <w:rsid w:val="00BF5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83F72C-E9FD-406F-91B3-4F57EAB3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pacing w:val="20"/>
      <w:sz w:val="28"/>
    </w:rPr>
  </w:style>
  <w:style w:type="paragraph" w:styleId="1">
    <w:name w:val="heading 1"/>
    <w:basedOn w:val="a"/>
    <w:next w:val="a"/>
    <w:qFormat/>
    <w:pPr>
      <w:keepNext/>
      <w:spacing w:before="240" w:after="60"/>
      <w:outlineLvl w:val="0"/>
    </w:pPr>
    <w:rPr>
      <w:rFonts w:ascii="Arial" w:hAnsi="Arial"/>
      <w:b/>
      <w:kern w:val="32"/>
      <w:sz w:val="32"/>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 w:type="paragraph" w:styleId="a6">
    <w:name w:val="footnote text"/>
    <w:basedOn w:val="a"/>
    <w:semiHidden/>
    <w:rPr>
      <w:sz w:val="20"/>
    </w:rPr>
  </w:style>
  <w:style w:type="character" w:styleId="a7">
    <w:name w:val="footnote reference"/>
    <w:basedOn w:val="a0"/>
    <w:semiHidden/>
    <w:rPr>
      <w:vertAlign w:val="superscript"/>
    </w:rPr>
  </w:style>
  <w:style w:type="paragraph" w:customStyle="1" w:styleId="21">
    <w:name w:val="Основний текст 21"/>
    <w:basedOn w:val="a"/>
    <w:pPr>
      <w:ind w:firstLine="567"/>
      <w:jc w:val="both"/>
    </w:pPr>
  </w:style>
  <w:style w:type="paragraph" w:customStyle="1" w:styleId="10">
    <w:name w:val="Звичайний (веб)1"/>
    <w:basedOn w:val="a"/>
    <w:pPr>
      <w:spacing w:before="100" w:after="100"/>
    </w:pPr>
    <w:rPr>
      <w:rFonts w:ascii="Verdana" w:hAnsi="Verdana"/>
      <w:spacing w:val="0"/>
      <w:sz w:val="14"/>
    </w:rPr>
  </w:style>
  <w:style w:type="paragraph" w:styleId="20">
    <w:name w:val="toc 2"/>
    <w:basedOn w:val="a"/>
    <w:next w:val="a"/>
    <w:semiHidden/>
    <w:pPr>
      <w:ind w:left="280"/>
    </w:pPr>
  </w:style>
  <w:style w:type="paragraph" w:styleId="11">
    <w:name w:val="toc 1"/>
    <w:basedOn w:val="a"/>
    <w:next w:val="a"/>
    <w:semiHidden/>
    <w:pPr>
      <w:tabs>
        <w:tab w:val="left" w:pos="567"/>
        <w:tab w:val="right" w:leader="dot" w:pos="9639"/>
      </w:tabs>
      <w:ind w:right="566"/>
    </w:pPr>
    <w:rPr>
      <w:noProof/>
      <w:sz w:val="32"/>
    </w:rPr>
  </w:style>
  <w:style w:type="paragraph" w:styleId="30">
    <w:name w:val="toc 3"/>
    <w:basedOn w:val="a"/>
    <w:next w:val="a"/>
    <w:semiHidden/>
    <w:pPr>
      <w:ind w:left="560"/>
    </w:pPr>
  </w:style>
  <w:style w:type="paragraph" w:styleId="4">
    <w:name w:val="toc 4"/>
    <w:basedOn w:val="a"/>
    <w:next w:val="a"/>
    <w:semiHidden/>
    <w:pPr>
      <w:ind w:left="840"/>
    </w:pPr>
  </w:style>
  <w:style w:type="paragraph" w:styleId="5">
    <w:name w:val="toc 5"/>
    <w:basedOn w:val="a"/>
    <w:next w:val="a"/>
    <w:semiHidden/>
    <w:pPr>
      <w:ind w:left="1120"/>
    </w:pPr>
  </w:style>
  <w:style w:type="paragraph" w:styleId="6">
    <w:name w:val="toc 6"/>
    <w:basedOn w:val="a"/>
    <w:next w:val="a"/>
    <w:semiHidden/>
    <w:pPr>
      <w:ind w:left="1400"/>
    </w:pPr>
  </w:style>
  <w:style w:type="paragraph" w:styleId="7">
    <w:name w:val="toc 7"/>
    <w:basedOn w:val="a"/>
    <w:next w:val="a"/>
    <w:semiHidden/>
    <w:pPr>
      <w:ind w:left="1680"/>
    </w:pPr>
  </w:style>
  <w:style w:type="paragraph" w:styleId="8">
    <w:name w:val="toc 8"/>
    <w:basedOn w:val="a"/>
    <w:next w:val="a"/>
    <w:semiHidden/>
    <w:pPr>
      <w:ind w:left="1960"/>
    </w:pPr>
  </w:style>
  <w:style w:type="paragraph" w:styleId="9">
    <w:name w:val="toc 9"/>
    <w:basedOn w:val="a"/>
    <w:next w:val="a"/>
    <w:semiHidden/>
    <w:pPr>
      <w:ind w:left="2240"/>
    </w:pPr>
  </w:style>
  <w:style w:type="character" w:customStyle="1" w:styleId="12">
    <w:name w:val="Гіперпосилання1"/>
    <w:basedOn w:val="a0"/>
    <w:rPr>
      <w:color w:val="0000FF"/>
      <w:u w:val="single"/>
    </w:rPr>
  </w:style>
  <w:style w:type="paragraph" w:styleId="a8">
    <w:name w:val="Title"/>
    <w:basedOn w:val="a"/>
    <w:qFormat/>
    <w:pPr>
      <w:jc w:val="center"/>
    </w:pPr>
    <w:rPr>
      <w:b/>
      <w:sz w:val="32"/>
    </w:rPr>
  </w:style>
  <w:style w:type="character" w:customStyle="1" w:styleId="22">
    <w:name w:val="Гіперпосилання2"/>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4175</Words>
  <Characters>23798</Characters>
  <Application>Microsoft Office Word</Application>
  <DocSecurity>0</DocSecurity>
  <Lines>198</Lines>
  <Paragraphs>55</Paragraphs>
  <ScaleCrop>false</ScaleCrop>
  <Company>NACO</Company>
  <LinksUpToDate>false</LinksUpToDate>
  <CharactersWithSpaces>27918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 долг </dc:title>
  <dc:subject>Финансы и кредит</dc:subject>
  <dc:creator>Гладких Сергей</dc:creator>
  <cp:keywords/>
  <dc:description>Кому понравилась работа-пишите Serega7777777@yandex.ru</dc:description>
  <cp:lastModifiedBy>Irina</cp:lastModifiedBy>
  <cp:revision>2</cp:revision>
  <cp:lastPrinted>2002-11-05T17:23:00Z</cp:lastPrinted>
  <dcterms:created xsi:type="dcterms:W3CDTF">2014-08-04T13:17:00Z</dcterms:created>
  <dcterms:modified xsi:type="dcterms:W3CDTF">2014-08-04T13:17:00Z</dcterms:modified>
</cp:coreProperties>
</file>