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0C" w:rsidRPr="00677625" w:rsidRDefault="00A50A0C" w:rsidP="00A50A0C">
      <w:pPr>
        <w:spacing w:before="120"/>
        <w:jc w:val="center"/>
        <w:rPr>
          <w:b/>
          <w:bCs/>
          <w:sz w:val="32"/>
          <w:szCs w:val="32"/>
        </w:rPr>
      </w:pPr>
      <w:r w:rsidRPr="00677625">
        <w:rPr>
          <w:b/>
          <w:bCs/>
          <w:sz w:val="32"/>
          <w:szCs w:val="32"/>
        </w:rPr>
        <w:t>Безналичный порядок выплаты заработной платы</w:t>
      </w:r>
    </w:p>
    <w:p w:rsidR="00A50A0C" w:rsidRPr="00677625" w:rsidRDefault="00A50A0C" w:rsidP="00A50A0C">
      <w:pPr>
        <w:spacing w:before="120"/>
        <w:ind w:firstLine="567"/>
        <w:jc w:val="both"/>
        <w:rPr>
          <w:sz w:val="28"/>
          <w:szCs w:val="28"/>
        </w:rPr>
      </w:pPr>
      <w:r w:rsidRPr="00677625">
        <w:rPr>
          <w:sz w:val="28"/>
          <w:szCs w:val="28"/>
        </w:rPr>
        <w:t xml:space="preserve">Т. ПАНЧЕНКО, аудитор АФ «АУДИТ А»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Основными документами, регулирующими механизм перечисления заработной платы на специальный карточный счет, являются Трудовой кодекс Российской Федерации (ст. 44, 73, 136), Гражданский кодекс Российской Федерации (главы 45 и 46), Положение Банка России от 1.04.03 г. № 222-П «О порядке осуществления безналичных расчетов физическими лицами в Российской Федерации». Кроме того, с 10 апреля 2005 г. действует Положение Банка России от 24.12.04 г. № 266-П «Об эмиссии банковских карт и об операциях, совершаемых с использованием платежных карт» &lt;*&gt;.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&lt;*&gt; До 10 апреля 2005 г. действовало Положение Банка России от 9.04.98 г. № 23-П «О порядке эмиссии кредитными организациями банковских карт и осуществления расчетов по операциям, совершаемым с их использованием».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Заработная плата обычно выплачивается непосредственно работнику, за исключением случаев, предусмотренных действующим законодательством или трудовым договором.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Она выплачивается работнику, как правило, в месте выполнения им работы либо перечисляется на счет в банке (ст. 136 ТК РФ).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Форма выдачи заработной платы и других выплат с использованием банковских пластиковых карт должна быть закреплена в трудовом или коллективном договоре, заключаемом в соответствии со ст. 44 и 73 ТК РФ.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Если условиями этих договоров не предусмотрен безналичный способ выплаты заработной платы, а организация решила рассчитываться с сотрудниками посредством «зарплатных» карточек, то необходимо внести в договоры соответствующие изменения. При этом безналичный способ может быть применен только при согласии всех сотрудников, т.е. каждый работник должен представить заявление с просьбой перечислять заработную плату на определенный банковский счет.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Сторонами договорных отношений при использовании зарплатных карточных счетов являются организация, ее сотрудники и банк.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Между банком - эмитентом карточек и юридическим лицом заключается договор на выдачу и использование зарплатной карточки держателю - работнику организации. Согласно этому договору банк осуществляет выпуск (эмиссию), персонализацию, выдачу и обслуживание банковских карт, открытие карт-счетов со специальным режимом, зачисление по поручению юридического лица денежных средств на карт-счета его работников, а юридическое лицо обеспечивает надлежащее оформление расчетных документов и оплату услуг банка, связанных с изготовлением зарплатной карты и зачислением денежных средств на карт-счета. Для оформления договорных отношений организация должна представить банку необходимый пакет документов.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После заключения договора банк открывает каждому сотруднику специальный карточный счет (карт-счет), на который и будет зачисляться его заработная плата, а также изготавливает, выдает держателям - работникам юридического лица банковские пластиковые зарплатные карточки. На лицевой стороне карточки указываются фамилия, имя держателя, а на магнитной ленте записан его персональный идентификационный номер (ПИН-код).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 помощью именной зарплатной карты каждый работник может распоряжаться своим персональным карт-счетом при предъявлении паспорта или заменяющего его документа.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До всех своих сотрудников организация доводит сведения о номерах телефонов, адресах банка и его отделений, обслуживающих карту, правилах пользования и сроках действия зарплатных карт, виды операций, которые может производить держатель с помощью карты; какие действия предпринять в случае, если банк неправильно учитывает операции по его карт-счету или он не согласен с выписками банка.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Расходные операции по карт-счетам совершаются только на основании документов, составленных с использованием банковских карт.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Банк-эмитент обязан предоставить держателю карточки информацию об операциях, которые можно совершать с использованием банковской карты, о порядке их совершения, о всех суммах, взимаемых при этом с держателя.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Ответственность за потерю карточки несет каждый сотрудник. При ее потере (или краже) он обязан сразу же уведомить о случившемся банк, чтобы последний имел возможность прекратить движение средств по его карт-счету.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увольнении сотрудника организация должна письменно уведомить о дате его увольнения банк-эмитент в сроки, предусмотренные договором на выдачу и использование зарплатной карточки держателю - работнику юридического лица. Бывший работник может продолжать пользоваться картой, но в этом случае расходы по ее обслуживанию он будет оплачивать самостоятельно.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Примечание. Ныне действующее Положение «Об эмиссии банковских карт и об операциях, совершаемых с использованием платежных карт» в основном регулирует заключение прямых договоров эмитента платежных карт с клиентом, владельцем карточного счета. К сожалению, этот нормативный акт неполно раскрывает соответствующие нюансы трехсторонних взаимоотношений «работодатель - банк - работник». Между тем расчеты организаций со своими работниками по заработной плате с использованием платежных карт уже широко распространены и продолжают активно развиваться. Поэтому все стороны подобных расчетов заинтересованы либо в появлении специального нормативного акта, либо более полном раскрытии соответствующих нюансов трехсторонних взаимоотношений «работодатель - банк - работник» в Положении № 266-П.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Если у организации есть расчетный счет в банке-эмитенте, то деньги на карт-счета сотрудников, открытые в этом же банке, перечисляются непосредственно с него. В этом случае организация одним платежным поручением перечисляет банку общую сумму, предназначенную к выплате заработной платы всем сотрудникам. Одновременно с платежным поручением банку передается реестр зачислений на карт-счета сотрудников, в котором должны быть указаны реквизиты банка, табельные номера, фамилии, имена, отчества сотрудников, реквизиты карт-счетов и суммы заработной платы, подлежащие зачислению.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Реестр в банк представляется как в бумажном виде в двух экземплярах, так и в виде электронного файла в формате, согласованном с банком и представляющем собой копию реестра. Информация, направляемая в банк в электронном виде, может быть представлена на дискете либо передана по электронным каналам связи при условии заключения соответствующего соглашения.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Форма реестра разрабатывается каждым банком самостоятельно. Реестр должен быть подписан лицами, имеющими право подписи расчетных документов, и заверен печатью организации.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Общая сумма, указанная в электронном файле, и суммы перечислений на каждый карт-счет должны соответствовать суммам, указанным в реестре, и сумме платежного поручения.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заполнении платежного поручения на перечисление денег на карт-счета в поле «Получатель» вписывают название и адрес банка, в котором открыты счета сотрудников. В поле «Назначение платежа» указывают цель платежа (например, «перечисление заработной платы»), а также приводят дату и номер реестра.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Оформлять реестр и платежные поручения организация должна не реже чем два раза в месяц. Когда сотрудник получит заработную плату по карточке, неважно: для организации главное, чтобы деньги поступили на его карточный счет, как правило, они поступают на следующий день. В подтверждение того, что заработная плата перечислена, банк выдает организации выписку и возвращает один экземпляр реестра со своей отметкой, что и является документальным подтверждением факта погашения задолженности перед сотрудниками за соответствующий период.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Налогообложение при безналичном порядке выплаты зарплаты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Организация самостоятельно удерживает все предусмотренные законодательством налоги и страховые взносы со своих сотрудников до момента представления в банк документов на зачисление денежных средств на карт-счета и несет ответственность за налогообложение сумм заработной платы и прочих выплат, зачисляемых на карточные счета сотрудников.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Налог на доходы физических лиц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В соответствии с п. 1 ст. 226 НК РФ все организации, от которых или в результате отношений с которыми физические лица получают доходы, обязаны исчислить, удержать со своих сотрудников и уплатить в бюджет налог на доходы физических лиц (НДФЛ) по ставке 13%. Сумма НДФЛ удерживается организацией - налоговым агентом непосредственно из доходов работника-налогоплательщика при их фактической выплате.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Поскольку согласно п. 6 ст. 226 НК РФ при перечислении заработка со счетов организации в банке на счета сотрудников НДФЛ уплачивается в бюджет не позднее дня фактического перечисления дохода, одновременно с платежным поручением на перечисление зарплаты на карточные счета организация должна представить в банк платежное поручение на уплату НДФЛ в бюджет.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Необходимо обратить внимание на то, что пластиковая карточка является собственностью банка-эмитента (это указано на ее оборотной стороне). Тем не менее организация, оплатив стоимость ее изготовления для работника, должна удержать с него НДФЛ. Связано это с тем, что согласно п.п. 1 п. 2 ст. 211 НК РФ к доходам, полученным налогоплательщиком в натуральной форме, относится, в частности, оплата организацией стоимости услуг (в данном случае - услуг банка-эмитента), оказанных в его интересах.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НДФЛ необходимо удержать также и в том случае, когда организация берет на себя расходы по оплате комиссии банка за повторное изготовление и продление карты в случае ее утраты, а также комиссии банка за выпуск дополнительной карты или повторное ее изготовление в случае повреждения. В противном случае организацию могут привлечь к ответственности в виде взыскания штрафа в размере 20% от суммы, подлежащей перечислению, за невыполнение обязанности налогового агента по удержанию и перечислению налога на основании ст. 123 НК РФ. Кроме того, ей могут быть начислены пени за все время просрочки исполнения обязанности по уплате налога.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Единый социальный налог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Ежемесячные авансовые платежи по единому социальному налогу (ЕСН) согласно п. 3 ст. 243 НК РФ организация должна перечислить в бюджет не позднее 15-го числа следующего месяца.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Страховые взносы на обязательное пенсионное страхование и страховые взносы на обязательное социальное страхование от несчастных случаев на производстве и профессиональных заболеваний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Кроме НДФЛ организация должна в срок не позднее дня фактического перечисления дохода перечислить страховые взносы на обязательное пенсионное страхование в ПФ РФ и страховые взносы на обязательное социальное страхование от несчастных случаев на производстве и профессиональных заболеваний в ФСС РФ (п. 2 ст. 24 Федерального закона от 15.12.01 г. № 167-ФЗ «Об обязательном пенсионном страховании в Российской Федерации» и п. 4 ст. 22 Федерального закона от 24.07.98 г. № 125-ФЗ «Об обязательном социальном страховании от несчастных случаев на производстве и профессиональных заболеваний»).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выдаче заработной платы два раза в месяц, когда фирма выплачивает сначала аванс (например, 15-го числа), а вторую часть в качестве окончательного расчета (например, 31-го числа), имеются некоторые особенности ее налогообложения.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Поскольку НДФЛ рассчитывают в конце каждого месяца, на сумму аванса, выданную в середине месяца, налог не начисляется (ст. 226 НК РФ).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По ЕСН отчетным периодом также является календарный месяц. Поэтому он рассчитывается только по итогам месяца, т.е. после окончательного расчета с работниками.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Налоговый учет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В целях исчисления налога на прибыль суммы начисленной заработной платы признаются расходами на оплату труда (ст. 255 НК РФ) и относятся к расходам, связанным с производством и реализацией (п. 2 ст. 253 НК РФ).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Суммы ЕСН также относятся к расходам, связанным с производством и реализацией, но признаются в качестве прочих расходов как суммы налогов и сборов, таможенных пошлин и сборов, начисленных в установленном законодательством РФ о налогах и сборах порядке на основании п.п. 1 п. 1 ст. 264 НК РФ.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Расходы на оплату труда персонала, участвующего в процессе производства товаров (выполнения работ, оказания услуг), а также суммы ЕСН, начисленного на указанные суммы, относятся к прямым расходам (п. 1 ст. 318 НК РФ).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В налоговом учете страховые взносы на обязательное пенсионное страхование, исчисленные в соответствии с Законом № 167-ФЗ, не включаются в расходы налогоплательщика ни на оплату труда, ни в состав расходов на уплату ЕСН, но при этом они подлежат отражению в составе прочих расходов и, следовательно, учитываются в составе косвенных расходов.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Страховые взносы на обязательное социальное страхование от несчастных случаев на производстве и профессиональных заболеваний включаются в состав прочих расходов, связанных с производством и реализацией, на основании п.п. 45 п. 1 ст. 264 НК РФ и относятся к косвенным расходам (п. 1 ст. 318 НК РФ).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Сумма косвенных расходов на производство и реализацию, осуществленных в отчетном (налоговом) периоде, в полном объеме относится к расходам текущего отчетного (налогового) периода согласно п. 2 ст. 318 НК РФ. А прямые расходы, произведенные в отчетном (налоговом) периоде, распределяются на остатки незавершенного производства, готовой продукции на складе и отгруженной, но не реализованной в отчетном (налоговом) периоде продукции.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Обращаем ваше внимание, что Федеральный закон от 6.06.05 г. № 58-ФЗ внес изменения в главу 25 «Налог на прибыль организаций» НК РФ. В частности, изменения, внесенные в ст. 318 НК РФ и распространяемые на отношения, возникшие с 1 января 2005 г., позволяют организациям самостоятельно определять, что входит в состав прямых расходов, связанных с производством и реализацией. Например, организация может отнести к таким расходам страховые взносы на обязательное пенсионное страхование, начисленные на суммы оплаты труда.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Поскольку расходы, понесенные организацией в случаях утраты или повреждения зарплатных карт, не удовлетворяют требованиям п. 1 ст. 252 НК РФ, они не признаются экономически оправданными и поэтому не могут быть учтены для целей исчисления налога на прибыль.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Бухгалтерский учет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В бухгалтерском учете начисленные суммы заработной платы, ЕСН, страховых взносов на обязательное пенсионное страхование и страховых взносов на обязательное социальное страхование от несчастных случаев на производстве и профессиональных заболеваний признаются расходами по обычным видам деятельности на основании пп. 5 и 8 ПБУ 10/99 «Расходы организации», утвержденного приказом Минфина России от 6.05.99 г. № 33н.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Как отразить выплату зарплаты по пластиковым картам в бухгалтерском учете, рассмотрим на конкретном примере. </w:t>
      </w:r>
    </w:p>
    <w:p w:rsidR="00A50A0C" w:rsidRPr="00677625" w:rsidRDefault="00A50A0C" w:rsidP="00A50A0C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Пример.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Организация торговли переводит в августе заработную плату сотрудникам на пластиковые банковские карточки. В штате фирмы числятся два работника: Орлов В.С. (оклад - 18 000 руб.) и Соколова О.П. (оклад - 12 000 руб.). По условиям трудовых договоров, которые с ними заключены, зарплата выдается 15-го (аванс в размере 50% от оклада) и 31-го (окончательный расчет) числа каждого месяца. В августе сотрудники фирмы уже не имеют права на стандартные налоговые вычеты.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перечислении аванса (15 августа) в бухгалтерском учете должны быть сделаны записи: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57, К-т 51 - 15 000 руб. [(18 000 руб. + 12 000 руб.) х 50%] - переведены средства в счет выплаты аванса по зарплате на карточные счета сотрудников;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Орловым», К-т 57 - 9000 руб. (18 000 руб. х 50%) - зачислены деньги на карточный счет Орлова;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Соколовой», К-т 57 - 6000 руб. (12 000 руб. х 50%) - зачислены деньги на карточный счет Соколовой.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окончательном расчете с сотрудниками (31 августа):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44, К-т 70, субсчет «Расчеты с Орловым» - 18 000 руб. - начислена заработная плата Орлову;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44, К-т 70, субсчет «Расчеты с Соколовой» - 12 000 руб. - начислена заработная плата Соколовой;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44, К-т 69, субсчет «Расчеты по ЕСН с федеральным бюджетом» - 6000 руб. [(18 000 руб. + 12 000 руб.) х 20%] - начислен ЕСН с заработной платы сотрудников, уплачиваемый в федеральный бюджет;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44, К-т 69, субсчет «Расчеты по ЕСН с внебюджетными фондами» - 1800 руб. [(18 000 руб. + 12 000 руб.) х 6%] - начислен ЕСН с заработной платы, уплачиваемый во внебюджетные фонды;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69, субсчет «Расчеты по ЕСН с федеральным бюджетом», К-т 69 субсчет «Расчеты по пенсионному страхованию» - 4200 руб. [(18 000 руб. + 12 000 руб.) х 14%] - начислены взносы на обязательное пенсионное страхование;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44, К-т 69, субсчет «Расчеты по страховым взносам на обязательное социальное страхование от несчастных случаев на производстве и профессиональных заболеваний» - 90 руб. [(18 000 руб. + 12 000 руб.) х 0,3%] - начислены в ФСС взносы на обязательное социальное страхование от несчастных случаев на производстве с зарплаты августа;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Орловым», К-т 68, субсчет «Расчеты по НДФЛ» - 2340 руб. (18 000 руб. х 13%) - начислен НДФЛ с заработной платы Орлова;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Соколовой», К-т 68, субсчет «Расчеты по НДФЛ» - 1560 руб. (12 000 руб. х 13%) - начислен НДФЛ с заработной платы Соколовой.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При перечислении заработной платы в счет окончательного расчета из ее общей суммы необходимо вычесть аванс, ранее выданный сотрудникам, и НДФЛ.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Сумма, которую следует перечислить в счет окончательного расчета, составит: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18 000 - 9000 (аванс) - 2340 (НДФЛ) + 12 000 - 6000 (аванс) - 1560 (НДФЛ) = 11 100 руб.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В бухгалтерском учете при перечислении зарплаты в счет окончательного расчета должны быть сделаны записи: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57, К-т 51 - 11 100 руб. - переведены денежные средства в счет окончательного расчета по зарплате на карточные счета сотрудников;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Орловым», К-т 57 - 6660 руб. (18 000 - 9000 - 2340) - зачислены деньги на карточный счет Орлова; </w:t>
      </w:r>
    </w:p>
    <w:p w:rsidR="00A50A0C" w:rsidRPr="00B369EA" w:rsidRDefault="00A50A0C" w:rsidP="00A50A0C">
      <w:pPr>
        <w:spacing w:before="120"/>
        <w:ind w:firstLine="567"/>
        <w:jc w:val="both"/>
      </w:pPr>
      <w:r w:rsidRPr="00B369EA">
        <w:t xml:space="preserve">Д-т 70, субсчет «Расчеты с Соколовой», К-т 57 - 4440 руб. (12 000 - 6000 - 1560) - зачислены деньги на карточный счет Соколовой. 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0C"/>
    <w:rsid w:val="00616072"/>
    <w:rsid w:val="00677625"/>
    <w:rsid w:val="008B35EE"/>
    <w:rsid w:val="00A50A0C"/>
    <w:rsid w:val="00AE76B5"/>
    <w:rsid w:val="00B362C2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E289F7-773F-4DA9-88D3-591B7A4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0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50A0C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11180</Words>
  <Characters>6374</Characters>
  <Application>Microsoft Office Word</Application>
  <DocSecurity>0</DocSecurity>
  <Lines>53</Lines>
  <Paragraphs>35</Paragraphs>
  <ScaleCrop>false</ScaleCrop>
  <Company>Home</Company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Безналичный порядок выплаты заработной платы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