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D3" w:rsidRDefault="00A251D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Альтернативное разрешение споров: новинка или исконная традиция?</w:t>
      </w:r>
    </w:p>
    <w:p w:rsidR="00A251D3" w:rsidRDefault="00A251D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Илья Александров, аспирант кафедры гражданского процесса и трудового права юридического факультета БГУ</w:t>
      </w:r>
    </w:p>
    <w:p w:rsidR="00A251D3" w:rsidRDefault="00A251D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Введение в тему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культур народов стран мира до сих пор в ходу крылатые выражения вроде "худой мир лучше доброй ссоры" (Россия), "Vergleichen und Vertragen ist besser, als Zanken und Klagen" </w:t>
      </w:r>
      <w:r>
        <w:rPr>
          <w:color w:val="000000"/>
          <w:sz w:val="24"/>
          <w:szCs w:val="24"/>
          <w:vertAlign w:val="superscript"/>
        </w:rPr>
        <w:t>[1]</w:t>
      </w:r>
      <w:r>
        <w:rPr>
          <w:color w:val="000000"/>
          <w:sz w:val="24"/>
          <w:szCs w:val="24"/>
        </w:rPr>
        <w:t xml:space="preserve"> (Германия). Издавна считалось, что "в суде человек находится в руке Божьей, так же, как и в открытом море" </w:t>
      </w:r>
      <w:r>
        <w:rPr>
          <w:color w:val="000000"/>
          <w:sz w:val="24"/>
          <w:szCs w:val="24"/>
          <w:vertAlign w:val="superscript"/>
        </w:rPr>
        <w:t>[2]</w:t>
      </w:r>
      <w:r>
        <w:rPr>
          <w:color w:val="000000"/>
          <w:sz w:val="24"/>
          <w:szCs w:val="24"/>
        </w:rPr>
        <w:t xml:space="preserve"> - иными словами, случиться там может всё. Поэтому примирение и мировая - средства, перешедшие нам вместе с мудростью предков, которые нельзя оставить без внимания в их современном воплощении. 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эффективного и быстрого разрешения конфликтов всегда остро стояла перед современной системой государственного правосудия. С уверенностью можно сказать, что в настоящее время она получает все большую актуальность в связи с развитием в ряде стран альтернативных методов урегулирования споров - посредничества (медиации), консилиации (процедура примирения), а также некоторых связанных с ними. В литературе традиционно называются преимущества посреднической процедуры перед судебным разбирательством: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широкие возможности для достижения обоюдно приемлемого результата (видение конфликта во всей гамме оттенков); 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конфиденциальность процедуры (отсутствие возможности у третьих лиц знакомиться с обстоятельствами конкретного спора - гарантия сохранности коммерческой или личной тайны); 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возможность сохранить делове отношения с партнером, с которым возник конфликт, одновременно сохранение собственного реноме в глазах третьих лиц, не обращаясь в суд; 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экономия денежных средств (отсутствие необходимости по уплате государственной пошлины за судебные расходы) </w:t>
      </w:r>
      <w:r>
        <w:rPr>
          <w:color w:val="000000"/>
          <w:sz w:val="24"/>
          <w:szCs w:val="24"/>
          <w:vertAlign w:val="superscript"/>
        </w:rPr>
        <w:t>[3]</w:t>
      </w:r>
      <w:r>
        <w:rPr>
          <w:color w:val="000000"/>
          <w:sz w:val="24"/>
          <w:szCs w:val="24"/>
        </w:rPr>
        <w:t>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Российской Федерации, к примеру, существует большой объем дискуссионного материала относительно перспектив развития ADR (Alternative Dispute Resolution) </w:t>
      </w:r>
      <w:r>
        <w:rPr>
          <w:color w:val="000000"/>
          <w:sz w:val="24"/>
          <w:szCs w:val="24"/>
          <w:vertAlign w:val="superscript"/>
        </w:rPr>
        <w:t>[4]</w:t>
      </w:r>
      <w:r>
        <w:rPr>
          <w:color w:val="000000"/>
          <w:sz w:val="24"/>
          <w:szCs w:val="24"/>
        </w:rPr>
        <w:t xml:space="preserve">. Большие надежды связываются при этом с развитием системы третейских судов - уже ставшего традиционным </w:t>
      </w:r>
      <w:r>
        <w:rPr>
          <w:color w:val="000000"/>
          <w:sz w:val="24"/>
          <w:szCs w:val="24"/>
          <w:vertAlign w:val="superscript"/>
        </w:rPr>
        <w:t>[5]</w:t>
      </w:r>
      <w:r>
        <w:rPr>
          <w:color w:val="000000"/>
          <w:sz w:val="24"/>
          <w:szCs w:val="24"/>
        </w:rPr>
        <w:t xml:space="preserve"> способа разрешения споров. Несколько задержавшийся в Государственной Думе после прохождения первого чтения российский законопроект, посвященный урегулированию в данном секторе, уже реализован в виде Закона «О третейских судах в Российской Федерации» </w:t>
      </w:r>
      <w:r>
        <w:rPr>
          <w:color w:val="000000"/>
          <w:sz w:val="24"/>
          <w:szCs w:val="24"/>
          <w:vertAlign w:val="superscript"/>
        </w:rPr>
        <w:t>[6]</w:t>
      </w:r>
      <w:r>
        <w:rPr>
          <w:color w:val="000000"/>
          <w:sz w:val="24"/>
          <w:szCs w:val="24"/>
        </w:rPr>
        <w:t xml:space="preserve">. Следует отметить, что наибольшее развитие внесудебное урегулирование споров получило в США: данное обстоятельство связано с особенностями практического применения американского процессуального законодательства (чрезмерная затянутость разбирательств), вопросами с оплатой услуг адвокатов (размер их гонораров иногда составляет до 40 % от цены иска) и проч. обстоятельствами. 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Республике Беларусь внесудебное урегулирование (коллективных) споров в принципе фактически осуществлялось ранее только в сфере трудового права - специальными комиссиями. С принятием нового Трудового Кодекса оно получило новое развитие в Гл. 36, где уже прямо упоминается термин "посредничество" (правда, не дается его определение) </w:t>
      </w:r>
      <w:r>
        <w:rPr>
          <w:color w:val="000000"/>
          <w:sz w:val="24"/>
          <w:szCs w:val="24"/>
          <w:vertAlign w:val="superscript"/>
        </w:rPr>
        <w:t>[7]</w:t>
      </w:r>
      <w:r>
        <w:rPr>
          <w:color w:val="000000"/>
          <w:sz w:val="24"/>
          <w:szCs w:val="24"/>
        </w:rPr>
        <w:t xml:space="preserve">. Что касается остальных отраслей права, где правоприменительной практикой других стран выработан определенный опыт и методы разрешения возникающих конфликтных ситуаций, то, образно говоря, перед нами открывается невозделанная земля, в глубине своей весьма плодородная, но не узнавшая труд человеческих рук. </w:t>
      </w:r>
    </w:p>
    <w:p w:rsidR="00A251D3" w:rsidRDefault="00A251D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Актуальный уровень развития альтернативных методов разрешения споров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Отрасли права, в которых альтернативное урегулирование споров дает наибольший эффект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Обратимся к источникам и определим направления, по которым нужно и должно развивать альтернативное урегулирование споров в Беларуси. Немецкие авторы, во многом следуя американской традиции, но не теряя собственной национальной и профессиональной идентичности, упоминают в частноправовой сфере семейное, наследственное, арендное, уже упомянутое нами трудовое, а в особенности - хозяйственное право (в особенности следующие подотрасли - право обществ, договорное право (возобновление переговоров), конкурентное, а также страховое право) </w:t>
      </w:r>
      <w:r>
        <w:rPr>
          <w:color w:val="000000"/>
          <w:sz w:val="24"/>
          <w:szCs w:val="24"/>
          <w:vertAlign w:val="superscript"/>
        </w:rPr>
        <w:t>[8]</w:t>
      </w:r>
      <w:r>
        <w:rPr>
          <w:color w:val="000000"/>
          <w:sz w:val="24"/>
          <w:szCs w:val="24"/>
        </w:rPr>
        <w:t>. В данных отраслях замена традиционного судебного разбирательства процедурой примирения или посредничества может дать особенно ощутимый эффект. Он непременно наступит при соответствующей подготовке и квалификации посредников, а также информированности сторон об их правах и о существующих возможностях, преимуществах и шансах, которые они могут извлечь из заключения специального соглашения о разрешении спора в рамках примирительной процедуры.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Посредники (медиаторы)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Кто же такие посредники, какой квалификацией они должны обладать и какие требования предъявляются к лицу, выступающему в качестве нейтрального координатора действий сторон, направленных на предотвращение конфликта? 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большинстве своем такого рода услуги оказываются опытными юристами, которые уже имеют практическое представление об особенностях гражданского оборота, а иными словами, способными с помощью своего авторитета достигнуть компромиссного соглашения. Посреднические услуги за рубежом также активно предлагаются лицами с дипломами об экономическом образовании, однако такого рода процедура может оказаться эффективной лишь в рамках отдельно взятой отрасли, где у посредника есть навык работы, либо если консультации проходят с участием адвокатов сторон, которые в состоянии быстро оценить предложения посредника с правовой точки зрения. Само собой разумеющимися требованиями к посреднику являются незапятнанная личная и деловая репутация, высокий моральный уровень, независимость и беспристрастность при выполнении своих действий.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Другая тенденция в сфере оказания посреднических услуг, в особенности в сфере хозяйственного права, основана на их естественной связи со специализированными учреждениями, которые способствуют осуществлению предпринимательской деятельности - торгово-промышленными палатами. Учитывая то, что в ряде стран при ТПП успешно работают третейские суды (внутренний и международный коммерческий арбитраж), а также собственно существующую связь между посредничеством и арбитражем, который в свое время считался инновативным способом разрешения споров, отделы, которые оказывают услуги посредничества, зачастую организационно взаимосвязанны с арбитражными судами. В качестве арбитров в рамках коммерческого арбитража, и в качестве посредника могут выступать одни и те же лица, которые имеют богатый опыт работы в экономике - тем самым обеспечивается максимальный уровень компетентности, а также возможность широкого выбора кандидатов на должность посредника для самих сторон. Кроме этого, посреднический отдел при ТПП изначально вызывает у сторон-новичков больше доверия, чем ежели какой-нибудь адвокат-одиночка. Мы описали идеальный, на наш взгляд, вариант сочетания функций арбитража и посредничества. В качестве примера такой деятельности в рамках торгово-промышленной палаты можно привести Посреднический Отдел при ТПП Берлина, который действует в соответствии с разработанным регламентом </w:t>
      </w:r>
      <w:r>
        <w:rPr>
          <w:color w:val="000000"/>
          <w:sz w:val="24"/>
          <w:szCs w:val="24"/>
          <w:vertAlign w:val="superscript"/>
        </w:rPr>
        <w:t>[9]</w:t>
      </w:r>
      <w:r>
        <w:rPr>
          <w:color w:val="000000"/>
          <w:sz w:val="24"/>
          <w:szCs w:val="24"/>
        </w:rPr>
        <w:t>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Посредничество на международном уровне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Проблема мирного разрешения конфликтов на межгосударственном уровне особенно остро стоит в сфере международного публичного права. В СССР был написан целый ряд монографий, посвященный такого рода деятельности </w:t>
      </w:r>
      <w:r>
        <w:rPr>
          <w:color w:val="000000"/>
          <w:sz w:val="24"/>
          <w:szCs w:val="24"/>
          <w:vertAlign w:val="superscript"/>
        </w:rPr>
        <w:t>[10]</w:t>
      </w:r>
      <w:r>
        <w:rPr>
          <w:color w:val="000000"/>
          <w:sz w:val="24"/>
          <w:szCs w:val="24"/>
        </w:rPr>
        <w:t xml:space="preserve">. Российские авторы отмечают, что активно использовавшийся в публично-правовой сфере институт посредничества постепенно перешел на частно-правовые отношения и постепенно стал важным фактором их регулирования </w:t>
      </w:r>
      <w:r>
        <w:rPr>
          <w:color w:val="000000"/>
          <w:sz w:val="24"/>
          <w:szCs w:val="24"/>
          <w:vertAlign w:val="superscript"/>
        </w:rPr>
        <w:t>[11]</w:t>
      </w:r>
      <w:r>
        <w:rPr>
          <w:color w:val="000000"/>
          <w:sz w:val="24"/>
          <w:szCs w:val="24"/>
        </w:rPr>
        <w:t>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еще рано говорить о сформировавшейся практике оказания посреднических услуг сторонам из разных государств. Все же, процедура посредничества выявляет наряду со своими преимуществами, также и целый ряд недостатков, а именно невозможность принудительного исполнения достигнутого в ходе переговоров и письменно сформулированного решения. 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как раз здесь необходимо вспомнить о связи коммерческого арбитража и посредничества. Предположим, что две стороны достигли в рамках примирительной процедуры определенного соглашения и подписали его. Такое мировое соглашение, в соответствии с законом, может быть удостоверено государственным судом - с вынесением соответствующего решения. Однако если мы имеем дело с его исполнением в каком-либо другом государстве, то появляется проблема со сроками и порядком его признания компетентным иностранным судом. В этой связи более рациональным способом стало бы обращение в ближайший коммерческий арбитраж (той же Торгово-Промышленной палаты, где имела место примирительная процедура) с заявлением вынести арбитражное решение, которое бы можно было признать и обратить к исполнению в соответствии с Нью-Йоркской Конвенцией 1958 г. Такая комбинация выгодна для сторон тем, что они могут в итоге получить документ, который в достаточной мере будет гарантировать исполнение достигнутых договоренностей (учитывая обстоятельство о ратификации Конвенции в большинстве стран мира и ее положение о признании и прямом обращении к исполнению, без проверки иностранного арбитражного решения по существу </w:t>
      </w:r>
      <w:r>
        <w:rPr>
          <w:color w:val="000000"/>
          <w:sz w:val="24"/>
          <w:szCs w:val="24"/>
          <w:vertAlign w:val="superscript"/>
        </w:rPr>
        <w:t>[12]</w:t>
      </w:r>
      <w:r>
        <w:rPr>
          <w:color w:val="000000"/>
          <w:sz w:val="24"/>
          <w:szCs w:val="24"/>
        </w:rPr>
        <w:t xml:space="preserve">). </w:t>
      </w:r>
    </w:p>
    <w:p w:rsidR="00A251D3" w:rsidRDefault="00A251D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Перспективы развития альтернативных методов разрешения споров в Беларуси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Считаем, что внесудебное урегулирование конфликтных ситуаций должно развиваться и у нас, поскольку уже сделаны некоторые шаги в этом направлении, существует широкий позитивный опыт за рубежом.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было упомянута возможность использования посредничества (медиации) в разрешении коллективных трудовых споров.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Т. н. "согласительное производство" ранее упоминалось в прежней редакции Регламента МАС при Белорусской ТПП </w:t>
      </w:r>
      <w:r>
        <w:rPr>
          <w:color w:val="000000"/>
          <w:sz w:val="24"/>
          <w:szCs w:val="24"/>
          <w:vertAlign w:val="superscript"/>
        </w:rPr>
        <w:t>[13]</w:t>
      </w:r>
      <w:r>
        <w:rPr>
          <w:color w:val="000000"/>
          <w:sz w:val="24"/>
          <w:szCs w:val="24"/>
        </w:rPr>
        <w:t xml:space="preserve">, при этом истец уплачивал лишь 50 % от суммы арбитражного сбора. Произошедший отход от вновь наметившегося направления в сфере альтернативных методов разрешения споров нельзя оценить положительно. Вместе с тем представляется, что для привлечения лиц, заинтересованных в мирном и цивилизованной разрешении споров, необходимо принять отдельный посреднический регламент с подробным и детальным описанием процедуры. Посреднический отдел может организационно входить в структуру Международного Коммерческого Арбитражного Суда, согласно второму варианту его деятельность можно заключить в рамки самостоятельного юридического лица, организационно связанного с Торгово-Промышленной палатой и МАС. 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этого, необходима элементарная информация о существующих возможностях, которую следует донести до конечного потребителя посреднических услуг - юридических лиц. Хороший эффект могут иметь информационные письма, организация семинаров, аналогичные данной публикации в прессе и т.д.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Беларуси, в отличии от РФ, деятельность третейских судов по рассмотрению гражданских дел урегулирована в Приложении № 3 к новому ГПК </w:t>
      </w:r>
      <w:r>
        <w:rPr>
          <w:color w:val="000000"/>
          <w:sz w:val="24"/>
          <w:szCs w:val="24"/>
          <w:vertAlign w:val="superscript"/>
        </w:rPr>
        <w:t>[14]</w:t>
      </w:r>
      <w:r>
        <w:rPr>
          <w:color w:val="000000"/>
          <w:sz w:val="24"/>
          <w:szCs w:val="24"/>
        </w:rPr>
        <w:t xml:space="preserve">. Белорусский ХПК пока не содержит аналогичных норм. В настоящее время в России уже принят и активно реализуется закон "О третейских судах в Российской Федерации" </w:t>
      </w:r>
      <w:r>
        <w:rPr>
          <w:color w:val="000000"/>
          <w:sz w:val="24"/>
          <w:szCs w:val="24"/>
          <w:vertAlign w:val="superscript"/>
        </w:rPr>
        <w:t>[15]</w:t>
      </w:r>
      <w:r>
        <w:rPr>
          <w:color w:val="000000"/>
          <w:sz w:val="24"/>
          <w:szCs w:val="24"/>
        </w:rPr>
        <w:t>, который установил рамки их компетенции как по гражданским, так и хозяйственным спорам. Принятие аналогичного акта либо дополнение Хозяйственного Процессуального Кодекса специальным приложением о коммерческих арбитражных (третейских) судах в Республике Беларусь позволило бы создать своеобразную "смычку" между коммерческим арбитражем (третейским судом) и посредничеством. Уже говорилось о сложностях применения посредничества во внешнеэкономических спорах: его развитие должно начаться, на наш взгляд, именно после возникновения правоприменительной практики в сегменте правоотношений между белорусскими юридическими лицами.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также принять к сведению, что в ряде стран мира в гражданские процессуальные кодексы уже внесены положения, который обязывают государственный суд всячески способствовать мирному урегулированию спора </w:t>
      </w:r>
      <w:r>
        <w:rPr>
          <w:color w:val="000000"/>
          <w:sz w:val="24"/>
          <w:szCs w:val="24"/>
          <w:vertAlign w:val="superscript"/>
        </w:rPr>
        <w:t>[16]</w:t>
      </w:r>
      <w:r>
        <w:rPr>
          <w:color w:val="000000"/>
          <w:sz w:val="24"/>
          <w:szCs w:val="24"/>
        </w:rPr>
        <w:t>. Это еще раз наглядно свидетельствует о том, что тенденция оптимизации процедуры рассмотрения споров в пользу внедрения новых альтернативных методов дошла и до государственной судебной системы, которая не так оперативно реагирует на изменения в общественной жизни, как сектор негосударственных организаций, предоставляющих аналогичные услуги.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Считаем, что компетентным государственным органам и заинтересованным лицам следует обратить особое внимание на существующую потребность в урегулировании нового для Беларуси вида деятельности: посредничества в разрешении споров (медиации), в первую очередь - хозяйственных. 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Например, на основании предоставленной ему законодательной инициативы </w:t>
      </w:r>
      <w:r>
        <w:rPr>
          <w:color w:val="000000"/>
          <w:sz w:val="24"/>
          <w:szCs w:val="24"/>
          <w:vertAlign w:val="superscript"/>
        </w:rPr>
        <w:t>[17]</w:t>
      </w:r>
      <w:r>
        <w:rPr>
          <w:color w:val="000000"/>
          <w:sz w:val="24"/>
          <w:szCs w:val="24"/>
        </w:rPr>
        <w:t xml:space="preserve"> Высший Хозяйственный Суд Республики Беларусь вправе разработать и внести на рассмотрение парламента проект Закона об урегулировании деятельности третейских судов, а также посредников (медиаторов) в разрешении правовых споров - в рамках своей компетенции в сфере предпринимательской и иной хозяйственной деятельности. С уверенностью можно сказать, что данная инициатива позволит существенно сократить количество простых, отнимающих большое количество времени рутинных дел, которые хозяйственные суды Республики Беларусь вынуждены рассматривать в настоящее время на основании действующего законодательства. Как следствие, уменьшится нагрузка на судей и возрастет качество рассмотрения более комплексных споров.</w:t>
      </w:r>
    </w:p>
    <w:p w:rsidR="00A251D3" w:rsidRDefault="00A251D3">
      <w:pPr>
        <w:widowControl w:val="0"/>
        <w:spacing w:before="12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251D3" w:rsidRDefault="00A251D3">
      <w:pPr>
        <w:widowControl w:val="0"/>
        <w:spacing w:before="120"/>
        <w:ind w:firstLine="5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[1]</w:t>
      </w:r>
      <w:r>
        <w:rPr>
          <w:color w:val="000000"/>
          <w:sz w:val="24"/>
          <w:szCs w:val="24"/>
        </w:rPr>
        <w:t xml:space="preserve"> Мировые соглашения и переговоры лучше, чем раздор и жалобы (дословн. перевод с нем.).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  <w:vertAlign w:val="superscript"/>
          <w:lang w:val="en-US"/>
        </w:rPr>
        <w:t>[2]</w:t>
      </w:r>
      <w:r>
        <w:rPr>
          <w:color w:val="000000"/>
          <w:sz w:val="24"/>
          <w:szCs w:val="24"/>
          <w:lang w:val="en-US"/>
        </w:rPr>
        <w:t xml:space="preserve"> Vor dem Gericht und auf hoher See sind wir alle in Gottes Hand (</w:t>
      </w:r>
      <w:r>
        <w:rPr>
          <w:color w:val="000000"/>
          <w:sz w:val="24"/>
          <w:szCs w:val="24"/>
        </w:rPr>
        <w:t>нем</w:t>
      </w:r>
      <w:r>
        <w:rPr>
          <w:color w:val="000000"/>
          <w:sz w:val="24"/>
          <w:szCs w:val="24"/>
          <w:lang w:val="en-US"/>
        </w:rPr>
        <w:t>.).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  <w:lang w:val="en-US"/>
        </w:rPr>
        <w:t xml:space="preserve"> [3]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Сравн</w:t>
      </w:r>
      <w:r>
        <w:rPr>
          <w:color w:val="000000"/>
          <w:sz w:val="24"/>
          <w:szCs w:val="24"/>
          <w:lang w:val="en-US"/>
        </w:rPr>
        <w:t>. B</w:t>
      </w:r>
      <w:r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  <w:lang w:val="en-US"/>
        </w:rPr>
        <w:t>hring-Uhle, Alternative Streitbeilegung in Handelssachen, // W. Gottwald/D. Strempel, Streitschlichtung: Rechtsvergleichende Beitr</w:t>
      </w:r>
      <w:r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  <w:lang w:val="en-US"/>
        </w:rPr>
        <w:t>ge zur au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  <w:lang w:val="en-US"/>
        </w:rPr>
        <w:t>ergerichtlichen Streitbeilegung, K</w:t>
      </w:r>
      <w:r>
        <w:rPr>
          <w:color w:val="000000"/>
          <w:sz w:val="24"/>
          <w:szCs w:val="24"/>
        </w:rPr>
        <w:t>ц</w:t>
      </w:r>
      <w:r>
        <w:rPr>
          <w:color w:val="000000"/>
          <w:sz w:val="24"/>
          <w:szCs w:val="24"/>
          <w:lang w:val="en-US"/>
        </w:rPr>
        <w:t>ln, Bundesanzeiger, 1995 //, S. 59.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  <w:lang w:val="en-US"/>
        </w:rPr>
        <w:t xml:space="preserve"> </w:t>
      </w:r>
      <w:r>
        <w:rPr>
          <w:color w:val="000000"/>
          <w:sz w:val="24"/>
          <w:szCs w:val="24"/>
          <w:vertAlign w:val="superscript"/>
        </w:rPr>
        <w:t>[4]</w:t>
      </w:r>
      <w:r>
        <w:rPr>
          <w:color w:val="000000"/>
          <w:sz w:val="24"/>
          <w:szCs w:val="24"/>
        </w:rPr>
        <w:t xml:space="preserve"> Например, Интернет-домены  www.adr.ru,  www.adrr.ru содержат полезную и интересную информацию общего плана для всех, кто интересуется альтернативными методами урегулирования конфликтных ситуаций.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[5]</w:t>
      </w:r>
      <w:r>
        <w:rPr>
          <w:color w:val="000000"/>
          <w:sz w:val="24"/>
          <w:szCs w:val="24"/>
        </w:rPr>
        <w:t xml:space="preserve"> Мнение Н. Г. Юркевича, Председателя МАС при ТПП РБ.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[6]</w:t>
      </w:r>
      <w:r>
        <w:rPr>
          <w:color w:val="000000"/>
          <w:sz w:val="24"/>
          <w:szCs w:val="24"/>
        </w:rPr>
        <w:t xml:space="preserve"> Источник: официальный сайт Президента РФ,  www.president.kremlin.ru 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[7]</w:t>
      </w:r>
      <w:r>
        <w:rPr>
          <w:color w:val="000000"/>
          <w:sz w:val="24"/>
          <w:szCs w:val="24"/>
        </w:rPr>
        <w:t xml:space="preserve"> Сравн. ст. 382 ТК РБ.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vertAlign w:val="superscript"/>
        </w:rPr>
        <w:t xml:space="preserve"> </w:t>
      </w:r>
      <w:r>
        <w:rPr>
          <w:color w:val="000000"/>
          <w:sz w:val="24"/>
          <w:szCs w:val="24"/>
          <w:vertAlign w:val="superscript"/>
          <w:lang w:val="en-US"/>
        </w:rPr>
        <w:t>[8]</w:t>
      </w:r>
      <w:r>
        <w:rPr>
          <w:color w:val="000000"/>
          <w:sz w:val="24"/>
          <w:szCs w:val="24"/>
          <w:lang w:val="en-US"/>
        </w:rPr>
        <w:t xml:space="preserve"> Hacke, Der ADR-Vertrag, Verlag Recht und Wirtschaft, 2001, S. 28.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  <w:lang w:val="en-US"/>
        </w:rPr>
        <w:t xml:space="preserve"> </w:t>
      </w:r>
      <w:r>
        <w:rPr>
          <w:color w:val="000000"/>
          <w:sz w:val="24"/>
          <w:szCs w:val="24"/>
          <w:vertAlign w:val="superscript"/>
        </w:rPr>
        <w:t>[9]</w:t>
      </w:r>
      <w:r>
        <w:rPr>
          <w:color w:val="000000"/>
          <w:sz w:val="24"/>
          <w:szCs w:val="24"/>
        </w:rPr>
        <w:t xml:space="preserve"> Текст Регламента на немецком языке в Интернете:  www.berlin.ihk.de (слово "Schlichtung" при поиске по сайту). 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[10]</w:t>
      </w:r>
      <w:r>
        <w:rPr>
          <w:color w:val="000000"/>
          <w:sz w:val="24"/>
          <w:szCs w:val="24"/>
        </w:rPr>
        <w:t xml:space="preserve"> Сравн. Пушмин, Э.А., Посредничество в международном праве, М. "Международные отношения", 1970.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[11]</w:t>
      </w:r>
      <w:r>
        <w:rPr>
          <w:color w:val="000000"/>
          <w:sz w:val="24"/>
          <w:szCs w:val="24"/>
        </w:rPr>
        <w:t xml:space="preserve"> Брунцева, Е.В., Международный коммерческий арбирнаж, СПб. 2001, Изд. дом "Сентябрь", с. 22.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[12]</w:t>
      </w:r>
      <w:r>
        <w:rPr>
          <w:color w:val="000000"/>
          <w:sz w:val="24"/>
          <w:szCs w:val="24"/>
        </w:rPr>
        <w:t xml:space="preserve"> Ст. 3 Нью-Йоркской Конвенции "О признании и исполнении иностранных арбитражных решений".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[13]</w:t>
      </w:r>
      <w:r>
        <w:rPr>
          <w:color w:val="000000"/>
          <w:sz w:val="24"/>
          <w:szCs w:val="24"/>
        </w:rPr>
        <w:t xml:space="preserve"> Ст. 52 ч. 1 п. 1 прежней редакции Регламента МАС при Белорусской ТПП.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[14]</w:t>
      </w:r>
      <w:r>
        <w:rPr>
          <w:color w:val="000000"/>
          <w:sz w:val="24"/>
          <w:szCs w:val="24"/>
        </w:rPr>
        <w:t xml:space="preserve"> Приложение № 3 к ГПК РБ, сравн. законопроект "О третейских судах в Российской Федерации" - в разд. I.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[15]</w:t>
      </w:r>
      <w:r>
        <w:rPr>
          <w:color w:val="000000"/>
          <w:sz w:val="24"/>
          <w:szCs w:val="24"/>
        </w:rPr>
        <w:t xml:space="preserve"> Федеральный Закон РФ от 24.07.2002.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[16]</w:t>
      </w:r>
      <w:r>
        <w:rPr>
          <w:color w:val="000000"/>
          <w:sz w:val="24"/>
          <w:szCs w:val="24"/>
        </w:rPr>
        <w:t xml:space="preserve"> Например, реформа немецкого ГПК, вступ. в силу с 01.01.2002 - новая редакция § 278 о примирительном разбирательстве (ZPO-ReformG).</w:t>
      </w:r>
    </w:p>
    <w:p w:rsidR="00A251D3" w:rsidRDefault="00A251D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[17]</w:t>
      </w:r>
      <w:r>
        <w:rPr>
          <w:color w:val="000000"/>
          <w:sz w:val="24"/>
          <w:szCs w:val="24"/>
        </w:rPr>
        <w:t xml:space="preserve"> Ст. 12 ч. 1 п. 6 Закона «О хозяйственных судах в Республике Беларусь».</w:t>
      </w:r>
      <w:bookmarkStart w:id="0" w:name="_GoBack"/>
      <w:bookmarkEnd w:id="0"/>
    </w:p>
    <w:sectPr w:rsidR="00A251D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04D12"/>
    <w:multiLevelType w:val="hybridMultilevel"/>
    <w:tmpl w:val="EBDA9696"/>
    <w:lvl w:ilvl="0" w:tplc="632E3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A4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EC7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6BA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EF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C2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8CD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5EAA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6E1D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21CCC"/>
    <w:multiLevelType w:val="hybridMultilevel"/>
    <w:tmpl w:val="FF70383C"/>
    <w:lvl w:ilvl="0" w:tplc="DCBA7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B853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0E6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CA6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ACE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A8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CF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60F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D0F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92060"/>
    <w:multiLevelType w:val="hybridMultilevel"/>
    <w:tmpl w:val="69985936"/>
    <w:lvl w:ilvl="0" w:tplc="F34C50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85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25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8E3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AE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C88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4C8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28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22A5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F5A5F"/>
    <w:multiLevelType w:val="hybridMultilevel"/>
    <w:tmpl w:val="7D72239E"/>
    <w:lvl w:ilvl="0" w:tplc="CDC44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69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C6E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2D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528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38CD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28D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0C5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E3D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25C54"/>
    <w:multiLevelType w:val="hybridMultilevel"/>
    <w:tmpl w:val="81A2BF28"/>
    <w:lvl w:ilvl="0" w:tplc="1A64C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4CF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20C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B695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C568A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50D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90EF9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2E63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12E93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66110CC"/>
    <w:multiLevelType w:val="hybridMultilevel"/>
    <w:tmpl w:val="2E3C1D6A"/>
    <w:lvl w:ilvl="0" w:tplc="F53A5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CD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605D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6E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4DA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C0A4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08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CB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5C8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A20BC"/>
    <w:multiLevelType w:val="hybridMultilevel"/>
    <w:tmpl w:val="F076A83C"/>
    <w:lvl w:ilvl="0" w:tplc="79229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72CC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5A0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F7A6F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B62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3C7C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E8E0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5EE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82A5C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B097FF3"/>
    <w:multiLevelType w:val="hybridMultilevel"/>
    <w:tmpl w:val="B52E3E26"/>
    <w:lvl w:ilvl="0" w:tplc="8C204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608C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BA262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F657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1A66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B0E9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84AF9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4D07F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BC02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2CC4471"/>
    <w:multiLevelType w:val="hybridMultilevel"/>
    <w:tmpl w:val="CB529A54"/>
    <w:lvl w:ilvl="0" w:tplc="FA2AD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C94E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A7E93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5CE05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30E34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8569F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A9AB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D6815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28E16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66673B2"/>
    <w:multiLevelType w:val="hybridMultilevel"/>
    <w:tmpl w:val="6B503A9A"/>
    <w:lvl w:ilvl="0" w:tplc="794E3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E41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1C3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86E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A3F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479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6C4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66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5E7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79469D"/>
    <w:multiLevelType w:val="hybridMultilevel"/>
    <w:tmpl w:val="4ACE3CEC"/>
    <w:lvl w:ilvl="0" w:tplc="88A6D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E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60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E62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FB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075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67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439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60C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70556"/>
    <w:multiLevelType w:val="hybridMultilevel"/>
    <w:tmpl w:val="EA50A4F0"/>
    <w:lvl w:ilvl="0" w:tplc="FCCCE0E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CD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EA8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E8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44EA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608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4F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0AC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6E9A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B702E0"/>
    <w:multiLevelType w:val="hybridMultilevel"/>
    <w:tmpl w:val="D4E27ABA"/>
    <w:lvl w:ilvl="0" w:tplc="A6D49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88057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392AE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F7609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AF8A1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CAD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34C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688C7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734C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B504FDA"/>
    <w:multiLevelType w:val="hybridMultilevel"/>
    <w:tmpl w:val="4CC8E1E4"/>
    <w:lvl w:ilvl="0" w:tplc="6BC27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A78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B853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804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EA0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6E6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294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FC6A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4BC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140F3"/>
    <w:multiLevelType w:val="hybridMultilevel"/>
    <w:tmpl w:val="DD083438"/>
    <w:lvl w:ilvl="0" w:tplc="CE263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5ECAB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CBC0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A236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87E8F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29482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CCC0F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D2C6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F066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16A7AAC"/>
    <w:multiLevelType w:val="hybridMultilevel"/>
    <w:tmpl w:val="BD0E3E92"/>
    <w:lvl w:ilvl="0" w:tplc="B80AD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F2B5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0C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E6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C3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EABA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EC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ED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304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D32430"/>
    <w:multiLevelType w:val="hybridMultilevel"/>
    <w:tmpl w:val="06CAB942"/>
    <w:lvl w:ilvl="0" w:tplc="CCCC3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A4ACA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5265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B2F0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5002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2BCD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34F4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08E3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C9E3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0A83654"/>
    <w:multiLevelType w:val="hybridMultilevel"/>
    <w:tmpl w:val="F1A84818"/>
    <w:lvl w:ilvl="0" w:tplc="3F5C12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6A9C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C9C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6C7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E62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D438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7C1D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ED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767A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314D50"/>
    <w:multiLevelType w:val="hybridMultilevel"/>
    <w:tmpl w:val="95EAC476"/>
    <w:lvl w:ilvl="0" w:tplc="656E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AD422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0F67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0ACB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2EC18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2AAE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E12F6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630C3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A4E5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17"/>
  </w:num>
  <w:num w:numId="6">
    <w:abstractNumId w:val="2"/>
  </w:num>
  <w:num w:numId="7">
    <w:abstractNumId w:val="0"/>
  </w:num>
  <w:num w:numId="8">
    <w:abstractNumId w:val="9"/>
  </w:num>
  <w:num w:numId="9">
    <w:abstractNumId w:val="14"/>
  </w:num>
  <w:num w:numId="10">
    <w:abstractNumId w:val="4"/>
  </w:num>
  <w:num w:numId="11">
    <w:abstractNumId w:val="18"/>
  </w:num>
  <w:num w:numId="12">
    <w:abstractNumId w:val="13"/>
  </w:num>
  <w:num w:numId="13">
    <w:abstractNumId w:val="12"/>
  </w:num>
  <w:num w:numId="14">
    <w:abstractNumId w:val="16"/>
  </w:num>
  <w:num w:numId="15">
    <w:abstractNumId w:val="7"/>
  </w:num>
  <w:num w:numId="16">
    <w:abstractNumId w:val="8"/>
  </w:num>
  <w:num w:numId="17">
    <w:abstractNumId w:val="10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034"/>
    <w:rsid w:val="006F5034"/>
    <w:rsid w:val="00A251D3"/>
    <w:rsid w:val="00C925C2"/>
    <w:rsid w:val="00D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844477-3C1D-4839-9C54-C453C2D3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uiPriority w:val="99"/>
  </w:style>
  <w:style w:type="character" w:customStyle="1" w:styleId="a5">
    <w:name w:val="Текст сноски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rPr>
      <w:vertAlign w:val="superscript"/>
    </w:rPr>
  </w:style>
  <w:style w:type="character" w:styleId="a7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9308</Words>
  <Characters>5307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Альтернативное разрешение споров: новинка или исконная традиция</vt:lpstr>
    </vt:vector>
  </TitlesOfParts>
  <Company>PERSONAL COMPUTERS</Company>
  <LinksUpToDate>false</LinksUpToDate>
  <CharactersWithSpaces>14586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Альтернативное разрешение споров: новинка или исконная традиция</dc:title>
  <dc:subject/>
  <dc:creator>USER</dc:creator>
  <cp:keywords/>
  <dc:description/>
  <cp:lastModifiedBy>admin</cp:lastModifiedBy>
  <cp:revision>2</cp:revision>
  <dcterms:created xsi:type="dcterms:W3CDTF">2014-01-26T13:10:00Z</dcterms:created>
  <dcterms:modified xsi:type="dcterms:W3CDTF">2014-01-26T13:10:00Z</dcterms:modified>
</cp:coreProperties>
</file>