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p>
    <w:p w:rsidR="000C526C" w:rsidRPr="00793CE9" w:rsidRDefault="000C526C" w:rsidP="000C526C">
      <w:pPr>
        <w:shd w:val="clear" w:color="000000" w:fill="auto"/>
        <w:spacing w:line="360" w:lineRule="auto"/>
        <w:jc w:val="center"/>
        <w:outlineLvl w:val="0"/>
        <w:rPr>
          <w:b/>
          <w:color w:val="000000"/>
          <w:sz w:val="28"/>
          <w:szCs w:val="18"/>
        </w:rPr>
      </w:pPr>
      <w:r w:rsidRPr="00793CE9">
        <w:rPr>
          <w:b/>
          <w:color w:val="000000"/>
          <w:sz w:val="28"/>
          <w:szCs w:val="18"/>
        </w:rPr>
        <w:t>Реферат</w:t>
      </w:r>
    </w:p>
    <w:p w:rsidR="000C526C" w:rsidRPr="00793CE9" w:rsidRDefault="000C526C" w:rsidP="000C526C">
      <w:pPr>
        <w:shd w:val="clear" w:color="000000" w:fill="auto"/>
        <w:spacing w:line="360" w:lineRule="auto"/>
        <w:jc w:val="center"/>
        <w:outlineLvl w:val="0"/>
        <w:rPr>
          <w:b/>
          <w:color w:val="000000"/>
          <w:sz w:val="28"/>
          <w:szCs w:val="18"/>
        </w:rPr>
      </w:pPr>
    </w:p>
    <w:p w:rsidR="005466BE" w:rsidRPr="00793CE9" w:rsidRDefault="00A547A7" w:rsidP="000C526C">
      <w:pPr>
        <w:shd w:val="clear" w:color="000000" w:fill="auto"/>
        <w:spacing w:line="360" w:lineRule="auto"/>
        <w:jc w:val="center"/>
        <w:outlineLvl w:val="0"/>
        <w:rPr>
          <w:b/>
          <w:color w:val="000000"/>
          <w:sz w:val="28"/>
          <w:szCs w:val="24"/>
        </w:rPr>
      </w:pPr>
      <w:r w:rsidRPr="00793CE9">
        <w:rPr>
          <w:b/>
          <w:color w:val="000000"/>
          <w:sz w:val="28"/>
          <w:szCs w:val="18"/>
        </w:rPr>
        <w:t>Методы определения абсолютного возраста горных пород</w:t>
      </w:r>
    </w:p>
    <w:p w:rsidR="000C526C" w:rsidRPr="00793CE9" w:rsidRDefault="000C526C" w:rsidP="000C526C">
      <w:pPr>
        <w:numPr>
          <w:ilvl w:val="0"/>
          <w:numId w:val="1"/>
        </w:numPr>
        <w:shd w:val="clear" w:color="000000" w:fill="auto"/>
        <w:spacing w:line="360" w:lineRule="auto"/>
        <w:ind w:left="0" w:firstLine="0"/>
        <w:jc w:val="center"/>
        <w:outlineLvl w:val="0"/>
        <w:rPr>
          <w:b/>
          <w:color w:val="000000"/>
          <w:sz w:val="28"/>
          <w:szCs w:val="22"/>
        </w:rPr>
      </w:pPr>
      <w:r w:rsidRPr="00793CE9">
        <w:rPr>
          <w:color w:val="000000"/>
          <w:sz w:val="28"/>
          <w:szCs w:val="22"/>
        </w:rPr>
        <w:br w:type="page"/>
      </w:r>
      <w:r w:rsidRPr="00793CE9">
        <w:rPr>
          <w:b/>
          <w:color w:val="000000"/>
          <w:sz w:val="28"/>
          <w:szCs w:val="22"/>
        </w:rPr>
        <w:t xml:space="preserve">История развития методов определения абсолютного возраста Земли и отдельных этапов в истории ее </w:t>
      </w:r>
      <w:r w:rsidR="00C835CD" w:rsidRPr="00793CE9">
        <w:rPr>
          <w:b/>
          <w:color w:val="000000"/>
          <w:sz w:val="28"/>
          <w:szCs w:val="22"/>
        </w:rPr>
        <w:t>становления</w:t>
      </w:r>
    </w:p>
    <w:p w:rsidR="000C526C" w:rsidRPr="00793CE9" w:rsidRDefault="000C526C" w:rsidP="000C526C">
      <w:pPr>
        <w:widowControl/>
        <w:shd w:val="clear" w:color="000000" w:fill="auto"/>
        <w:suppressAutoHyphens/>
        <w:spacing w:line="360" w:lineRule="auto"/>
        <w:ind w:firstLine="709"/>
        <w:jc w:val="both"/>
        <w:rPr>
          <w:color w:val="000000"/>
          <w:sz w:val="28"/>
          <w:szCs w:val="22"/>
        </w:rPr>
      </w:pPr>
    </w:p>
    <w:p w:rsidR="005466BE" w:rsidRPr="00793CE9" w:rsidRDefault="005466BE"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Относительная геохронология, как бы детально ни была она разработана, не дает реального представления об истинной продолжительности отдельных периодов и эпох, а также о геологическом возрасте Земли в целом. Вопросы об истинной продолжительности (в тысячах и миллионах лет) решает только абсолютная геохронология.</w:t>
      </w:r>
    </w:p>
    <w:p w:rsidR="005466BE" w:rsidRPr="00793CE9" w:rsidRDefault="005466BE"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 xml:space="preserve">Начиная с </w:t>
      </w:r>
      <w:r w:rsidRPr="00793CE9">
        <w:rPr>
          <w:color w:val="000000"/>
          <w:sz w:val="28"/>
          <w:szCs w:val="22"/>
          <w:lang w:val="en-US"/>
        </w:rPr>
        <w:t>XVIII</w:t>
      </w:r>
      <w:r w:rsidRPr="00793CE9">
        <w:rPr>
          <w:color w:val="000000"/>
          <w:sz w:val="28"/>
          <w:szCs w:val="22"/>
        </w:rPr>
        <w:t xml:space="preserve"> в. ученые пытались использовать различные химические, физические, геологические и даже биологические явления для определения абсолютного возраста Земли и отдельных этапов в истории ее развития (подсчет накопления солей в океане, скорость образования осадков и их мощность, быстрота эволюции органического мира на Земле и др.). Однако эти попытки не принесли положительных результатов. Лишь в начале </w:t>
      </w:r>
      <w:r w:rsidRPr="00793CE9">
        <w:rPr>
          <w:color w:val="000000"/>
          <w:sz w:val="28"/>
          <w:szCs w:val="22"/>
          <w:lang w:val="en-US"/>
        </w:rPr>
        <w:t>XIX</w:t>
      </w:r>
      <w:r w:rsidRPr="00793CE9">
        <w:rPr>
          <w:color w:val="000000"/>
          <w:sz w:val="28"/>
          <w:szCs w:val="22"/>
        </w:rPr>
        <w:t xml:space="preserve"> в. геологи нашли способ определения абсолютного возраста горных пород, основанный на изучении процесса радиоактивного распада атомов некоторых</w:t>
      </w:r>
      <w:r w:rsidR="000C526C" w:rsidRPr="00793CE9">
        <w:rPr>
          <w:color w:val="000000"/>
          <w:sz w:val="28"/>
          <w:szCs w:val="22"/>
        </w:rPr>
        <w:t xml:space="preserve"> </w:t>
      </w:r>
      <w:r w:rsidRPr="00793CE9">
        <w:rPr>
          <w:color w:val="000000"/>
          <w:sz w:val="28"/>
          <w:szCs w:val="22"/>
        </w:rPr>
        <w:t>элементов.</w:t>
      </w:r>
    </w:p>
    <w:p w:rsidR="005466BE" w:rsidRPr="00793CE9" w:rsidRDefault="005466BE"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Процессы радиоактивного распада протекают самопроизвольно с постоянной скоростью, различной у разных элементов, причем эта скорость не зависит ни от температуры, ни от давления. Для каждого радиоактивного элемента экспериментальным путем точно определена скорость распада (период полураспада). Зная количество исходного радиоактивного элемента и продуктов его распада в горной породе, а также период полураспада, можно выяснить возраст этой горной породы. Расчет производят по специальным формулам. В настоящее время для определения абсолютного возраста горных пород используют данные, полученные в результате радиоактивного распада урана, тория, калия, рубидия, углерода и некоторых других элементов. Все эти элементы, кроме радиоактивного углерода, имеют длительные периоды полураспада — в сотни миллионов и миллиарды лет. В зависимости от конечных продуктов распада различают свинцовый, гелиевый, аргоновый и стронциевый методы.</w:t>
      </w:r>
    </w:p>
    <w:p w:rsidR="005466BE" w:rsidRPr="00793CE9" w:rsidRDefault="005466BE"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 xml:space="preserve">Свинцовый и гелиевый методы начали применять раньше, чем другие. В их основе </w:t>
      </w:r>
      <w:r w:rsidR="00A547A7" w:rsidRPr="00793CE9">
        <w:rPr>
          <w:color w:val="000000"/>
          <w:sz w:val="28"/>
          <w:szCs w:val="22"/>
        </w:rPr>
        <w:t>ле</w:t>
      </w:r>
      <w:r w:rsidRPr="00793CE9">
        <w:rPr>
          <w:color w:val="000000"/>
          <w:sz w:val="28"/>
          <w:szCs w:val="22"/>
        </w:rPr>
        <w:t>жит процесс превращения радиоактивного урана и тория в инертный газ гелий и свинец</w:t>
      </w:r>
    </w:p>
    <w:p w:rsidR="000C526C" w:rsidRPr="00793CE9" w:rsidRDefault="000C526C" w:rsidP="000C526C">
      <w:pPr>
        <w:shd w:val="clear" w:color="000000" w:fill="auto"/>
        <w:spacing w:line="360" w:lineRule="auto"/>
        <w:jc w:val="center"/>
        <w:outlineLvl w:val="0"/>
        <w:rPr>
          <w:b/>
          <w:color w:val="000000"/>
          <w:sz w:val="28"/>
          <w:szCs w:val="22"/>
        </w:rPr>
      </w:pPr>
    </w:p>
    <w:p w:rsidR="005466BE" w:rsidRPr="00793CE9" w:rsidRDefault="005466BE" w:rsidP="000C526C">
      <w:pPr>
        <w:shd w:val="clear" w:color="000000" w:fill="auto"/>
        <w:spacing w:line="360" w:lineRule="auto"/>
        <w:jc w:val="center"/>
        <w:outlineLvl w:val="0"/>
        <w:rPr>
          <w:color w:val="000000"/>
          <w:sz w:val="28"/>
          <w:szCs w:val="24"/>
        </w:rPr>
      </w:pPr>
      <w:r w:rsidRPr="00793CE9">
        <w:rPr>
          <w:color w:val="000000"/>
          <w:sz w:val="28"/>
          <w:szCs w:val="22"/>
        </w:rPr>
        <w:t>(</w:t>
      </w:r>
      <w:r w:rsidRPr="00793CE9">
        <w:rPr>
          <w:color w:val="000000"/>
          <w:sz w:val="28"/>
          <w:szCs w:val="22"/>
          <w:lang w:val="en-US"/>
        </w:rPr>
        <w:t>U</w:t>
      </w:r>
      <w:r w:rsidRPr="00793CE9">
        <w:rPr>
          <w:color w:val="000000"/>
          <w:sz w:val="28"/>
          <w:szCs w:val="22"/>
          <w:vertAlign w:val="superscript"/>
        </w:rPr>
        <w:t>238</w:t>
      </w:r>
      <w:r w:rsidR="00A547A7" w:rsidRPr="00793CE9">
        <w:rPr>
          <w:color w:val="000000"/>
          <w:sz w:val="28"/>
          <w:szCs w:val="22"/>
          <w:vertAlign w:val="superscript"/>
        </w:rPr>
        <w:t xml:space="preserve"> →</w:t>
      </w:r>
      <w:r w:rsidRPr="00793CE9">
        <w:rPr>
          <w:color w:val="000000"/>
          <w:sz w:val="28"/>
          <w:szCs w:val="22"/>
        </w:rPr>
        <w:t>8Не</w:t>
      </w:r>
      <w:r w:rsidRPr="00793CE9">
        <w:rPr>
          <w:color w:val="000000"/>
          <w:sz w:val="28"/>
          <w:szCs w:val="22"/>
          <w:vertAlign w:val="superscript"/>
        </w:rPr>
        <w:t>4</w:t>
      </w:r>
      <w:r w:rsidRPr="00793CE9">
        <w:rPr>
          <w:color w:val="000000"/>
          <w:sz w:val="28"/>
          <w:szCs w:val="22"/>
        </w:rPr>
        <w:t xml:space="preserve"> + </w:t>
      </w:r>
      <w:r w:rsidRPr="00793CE9">
        <w:rPr>
          <w:color w:val="000000"/>
          <w:sz w:val="28"/>
          <w:szCs w:val="22"/>
          <w:lang w:val="en-US"/>
        </w:rPr>
        <w:t>Pb</w:t>
      </w:r>
      <w:r w:rsidRPr="00793CE9">
        <w:rPr>
          <w:color w:val="000000"/>
          <w:sz w:val="28"/>
          <w:szCs w:val="22"/>
          <w:vertAlign w:val="superscript"/>
        </w:rPr>
        <w:t>2</w:t>
      </w:r>
      <w:r w:rsidR="00A547A7" w:rsidRPr="00793CE9">
        <w:rPr>
          <w:color w:val="000000"/>
          <w:sz w:val="28"/>
          <w:szCs w:val="22"/>
          <w:vertAlign w:val="superscript"/>
        </w:rPr>
        <w:t>06</w:t>
      </w:r>
      <w:r w:rsidRPr="00793CE9">
        <w:rPr>
          <w:color w:val="000000"/>
          <w:sz w:val="28"/>
          <w:szCs w:val="22"/>
        </w:rPr>
        <w:t xml:space="preserve">; </w:t>
      </w:r>
      <w:r w:rsidRPr="00793CE9">
        <w:rPr>
          <w:color w:val="000000"/>
          <w:sz w:val="28"/>
          <w:szCs w:val="22"/>
          <w:lang w:val="en-US"/>
        </w:rPr>
        <w:t>U</w:t>
      </w:r>
      <w:r w:rsidRPr="00793CE9">
        <w:rPr>
          <w:color w:val="000000"/>
          <w:sz w:val="28"/>
          <w:szCs w:val="22"/>
          <w:vertAlign w:val="superscript"/>
        </w:rPr>
        <w:t>23</w:t>
      </w:r>
      <w:r w:rsidR="00A547A7" w:rsidRPr="00793CE9">
        <w:rPr>
          <w:color w:val="000000"/>
          <w:sz w:val="28"/>
          <w:szCs w:val="22"/>
          <w:vertAlign w:val="superscript"/>
        </w:rPr>
        <w:t>5→</w:t>
      </w:r>
      <w:r w:rsidRPr="00793CE9">
        <w:rPr>
          <w:color w:val="000000"/>
          <w:sz w:val="28"/>
          <w:szCs w:val="22"/>
        </w:rPr>
        <w:t>7Не</w:t>
      </w:r>
      <w:r w:rsidRPr="00793CE9">
        <w:rPr>
          <w:color w:val="000000"/>
          <w:sz w:val="28"/>
          <w:szCs w:val="22"/>
          <w:vertAlign w:val="superscript"/>
        </w:rPr>
        <w:t>4</w:t>
      </w:r>
      <w:r w:rsidRPr="00793CE9">
        <w:rPr>
          <w:color w:val="000000"/>
          <w:sz w:val="28"/>
          <w:szCs w:val="22"/>
        </w:rPr>
        <w:t xml:space="preserve"> + РЬ</w:t>
      </w:r>
      <w:r w:rsidRPr="00793CE9">
        <w:rPr>
          <w:color w:val="000000"/>
          <w:sz w:val="28"/>
          <w:szCs w:val="22"/>
          <w:vertAlign w:val="superscript"/>
        </w:rPr>
        <w:t>207</w:t>
      </w:r>
      <w:r w:rsidRPr="00793CE9">
        <w:rPr>
          <w:color w:val="000000"/>
          <w:sz w:val="28"/>
          <w:szCs w:val="22"/>
        </w:rPr>
        <w:t>;</w:t>
      </w:r>
    </w:p>
    <w:p w:rsidR="00A547A7" w:rsidRPr="00793CE9" w:rsidRDefault="005466BE" w:rsidP="000C526C">
      <w:pPr>
        <w:shd w:val="clear" w:color="000000" w:fill="auto"/>
        <w:spacing w:line="360" w:lineRule="auto"/>
        <w:jc w:val="center"/>
        <w:outlineLvl w:val="0"/>
        <w:rPr>
          <w:color w:val="000000"/>
          <w:sz w:val="28"/>
          <w:szCs w:val="22"/>
        </w:rPr>
      </w:pPr>
      <w:r w:rsidRPr="00793CE9">
        <w:rPr>
          <w:color w:val="000000"/>
          <w:sz w:val="28"/>
          <w:szCs w:val="22"/>
          <w:lang w:val="en-US"/>
        </w:rPr>
        <w:t>Th</w:t>
      </w:r>
      <w:r w:rsidRPr="00793CE9">
        <w:rPr>
          <w:color w:val="000000"/>
          <w:sz w:val="28"/>
          <w:szCs w:val="22"/>
          <w:vertAlign w:val="superscript"/>
        </w:rPr>
        <w:t>232</w:t>
      </w:r>
      <w:r w:rsidR="00A547A7" w:rsidRPr="00793CE9">
        <w:rPr>
          <w:color w:val="000000"/>
          <w:sz w:val="28"/>
          <w:szCs w:val="22"/>
          <w:vertAlign w:val="superscript"/>
        </w:rPr>
        <w:t>→</w:t>
      </w:r>
      <w:r w:rsidRPr="00793CE9">
        <w:rPr>
          <w:color w:val="000000"/>
          <w:sz w:val="28"/>
          <w:szCs w:val="22"/>
        </w:rPr>
        <w:t>6</w:t>
      </w:r>
      <w:r w:rsidRPr="00793CE9">
        <w:rPr>
          <w:color w:val="000000"/>
          <w:sz w:val="28"/>
          <w:szCs w:val="22"/>
          <w:lang w:val="en-US"/>
        </w:rPr>
        <w:t>He</w:t>
      </w:r>
      <w:r w:rsidRPr="00793CE9">
        <w:rPr>
          <w:color w:val="000000"/>
          <w:sz w:val="28"/>
          <w:szCs w:val="22"/>
          <w:vertAlign w:val="superscript"/>
        </w:rPr>
        <w:t>4</w:t>
      </w:r>
      <w:r w:rsidRPr="00793CE9">
        <w:rPr>
          <w:color w:val="000000"/>
          <w:sz w:val="28"/>
          <w:szCs w:val="22"/>
        </w:rPr>
        <w:t xml:space="preserve"> + </w:t>
      </w:r>
      <w:r w:rsidRPr="00793CE9">
        <w:rPr>
          <w:color w:val="000000"/>
          <w:sz w:val="28"/>
          <w:szCs w:val="22"/>
          <w:lang w:val="en-US"/>
        </w:rPr>
        <w:t>Pb</w:t>
      </w:r>
      <w:r w:rsidRPr="00793CE9">
        <w:rPr>
          <w:color w:val="000000"/>
          <w:sz w:val="28"/>
          <w:szCs w:val="22"/>
          <w:vertAlign w:val="superscript"/>
        </w:rPr>
        <w:t>208</w:t>
      </w:r>
      <w:r w:rsidRPr="00793CE9">
        <w:rPr>
          <w:color w:val="000000"/>
          <w:sz w:val="28"/>
          <w:szCs w:val="22"/>
        </w:rPr>
        <w:t>).</w:t>
      </w:r>
    </w:p>
    <w:p w:rsidR="000C526C" w:rsidRPr="00793CE9" w:rsidRDefault="000C526C" w:rsidP="000C526C">
      <w:pPr>
        <w:widowControl/>
        <w:shd w:val="clear" w:color="000000" w:fill="auto"/>
        <w:suppressAutoHyphens/>
        <w:spacing w:line="360" w:lineRule="auto"/>
        <w:ind w:firstLine="709"/>
        <w:jc w:val="both"/>
        <w:rPr>
          <w:color w:val="000000"/>
          <w:sz w:val="28"/>
          <w:szCs w:val="22"/>
        </w:rPr>
      </w:pPr>
    </w:p>
    <w:p w:rsidR="005466BE" w:rsidRPr="00793CE9" w:rsidRDefault="005466BE"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Для определения абсолютного возраста используют минералы, содержащие более 1% урана или тория, встречающиеся в магматических породах. Свинцовый метод употребляют чаще, чем гелиевый, так как он точнее.</w:t>
      </w:r>
    </w:p>
    <w:p w:rsidR="00A547A7" w:rsidRPr="00793CE9" w:rsidRDefault="005466BE"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Аргоновый метод основан на распаде радиоактивного калия и превращения его в инертный газ аргон (К</w:t>
      </w:r>
      <w:r w:rsidRPr="00793CE9">
        <w:rPr>
          <w:color w:val="000000"/>
          <w:sz w:val="28"/>
          <w:szCs w:val="22"/>
          <w:vertAlign w:val="superscript"/>
        </w:rPr>
        <w:t>40</w:t>
      </w:r>
      <w:r w:rsidR="00A547A7" w:rsidRPr="00793CE9">
        <w:rPr>
          <w:color w:val="000000"/>
          <w:sz w:val="28"/>
          <w:szCs w:val="22"/>
          <w:vertAlign w:val="superscript"/>
        </w:rPr>
        <w:t>→</w:t>
      </w:r>
      <w:r w:rsidRPr="00793CE9">
        <w:rPr>
          <w:color w:val="000000"/>
          <w:sz w:val="28"/>
          <w:szCs w:val="22"/>
        </w:rPr>
        <w:t>Аг</w:t>
      </w:r>
      <w:r w:rsidRPr="00793CE9">
        <w:rPr>
          <w:color w:val="000000"/>
          <w:sz w:val="28"/>
          <w:szCs w:val="22"/>
          <w:vertAlign w:val="superscript"/>
        </w:rPr>
        <w:t>40</w:t>
      </w:r>
      <w:r w:rsidRPr="00793CE9">
        <w:rPr>
          <w:color w:val="000000"/>
          <w:sz w:val="28"/>
          <w:szCs w:val="22"/>
        </w:rPr>
        <w:t xml:space="preserve">). Он был разработан советскими учеными в </w:t>
      </w:r>
      <w:smartTag w:uri="urn:schemas-microsoft-com:office:smarttags" w:element="metricconverter">
        <w:smartTagPr>
          <w:attr w:name="ProductID" w:val="1949 г"/>
        </w:smartTagPr>
        <w:r w:rsidRPr="00793CE9">
          <w:rPr>
            <w:color w:val="000000"/>
            <w:sz w:val="28"/>
            <w:szCs w:val="22"/>
          </w:rPr>
          <w:t>1949 г</w:t>
        </w:r>
      </w:smartTag>
      <w:r w:rsidRPr="00793CE9">
        <w:rPr>
          <w:color w:val="000000"/>
          <w:sz w:val="28"/>
          <w:szCs w:val="22"/>
        </w:rPr>
        <w:t>. и в настоящее время являет</w:t>
      </w:r>
      <w:r w:rsidR="00A547A7" w:rsidRPr="00793CE9">
        <w:rPr>
          <w:color w:val="000000"/>
          <w:sz w:val="28"/>
          <w:szCs w:val="22"/>
          <w:lang w:val="uk-UA"/>
        </w:rPr>
        <w:t xml:space="preserve">ся </w:t>
      </w:r>
      <w:r w:rsidR="00A547A7" w:rsidRPr="00793CE9">
        <w:rPr>
          <w:color w:val="000000"/>
          <w:sz w:val="28"/>
          <w:szCs w:val="22"/>
        </w:rPr>
        <w:t>основным. Этот метод можно применять для определения возраста магматических и осадочных пород, так как первичные калиевые минералы в большом количестве распространены в магматических (полевые шпаты, слюды) и осадочных породах (глауконит). В отличие от гелия аргон лучше сохраняется в кристаллической решетке минералов.</w:t>
      </w:r>
    </w:p>
    <w:p w:rsidR="00A547A7" w:rsidRPr="00793CE9" w:rsidRDefault="00A547A7"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Стронциевый метод основан на радиоактивном распаде рубидия (</w:t>
      </w:r>
      <w:r w:rsidRPr="00793CE9">
        <w:rPr>
          <w:color w:val="000000"/>
          <w:sz w:val="28"/>
          <w:szCs w:val="22"/>
          <w:lang w:val="en-US"/>
        </w:rPr>
        <w:t>Rb</w:t>
      </w:r>
      <w:r w:rsidRPr="00793CE9">
        <w:rPr>
          <w:color w:val="000000"/>
          <w:sz w:val="28"/>
          <w:szCs w:val="22"/>
          <w:vertAlign w:val="superscript"/>
        </w:rPr>
        <w:t>87→</w:t>
      </w:r>
      <w:r w:rsidRPr="00793CE9">
        <w:rPr>
          <w:color w:val="000000"/>
          <w:sz w:val="28"/>
          <w:szCs w:val="22"/>
          <w:lang w:val="en-US"/>
        </w:rPr>
        <w:t>Sr</w:t>
      </w:r>
      <w:r w:rsidRPr="00793CE9">
        <w:rPr>
          <w:color w:val="000000"/>
          <w:sz w:val="28"/>
          <w:szCs w:val="22"/>
          <w:vertAlign w:val="superscript"/>
        </w:rPr>
        <w:t>87</w:t>
      </w:r>
      <w:r w:rsidRPr="00793CE9">
        <w:rPr>
          <w:color w:val="000000"/>
          <w:sz w:val="28"/>
          <w:szCs w:val="22"/>
        </w:rPr>
        <w:t xml:space="preserve">). Этот метод применим только для определения возраста древних, докембрийских пород, так как период полураспада </w:t>
      </w:r>
      <w:r w:rsidRPr="00793CE9">
        <w:rPr>
          <w:color w:val="000000"/>
          <w:sz w:val="28"/>
          <w:szCs w:val="22"/>
          <w:lang w:val="en-US"/>
        </w:rPr>
        <w:t>Rb</w:t>
      </w:r>
      <w:r w:rsidRPr="00793CE9">
        <w:rPr>
          <w:color w:val="000000"/>
          <w:sz w:val="28"/>
          <w:szCs w:val="22"/>
          <w:vertAlign w:val="superscript"/>
        </w:rPr>
        <w:t xml:space="preserve">87 </w:t>
      </w:r>
      <w:r w:rsidRPr="00793CE9">
        <w:rPr>
          <w:color w:val="000000"/>
          <w:sz w:val="28"/>
          <w:szCs w:val="22"/>
        </w:rPr>
        <w:t>очень велик (50 млрд. лет).</w:t>
      </w:r>
    </w:p>
    <w:p w:rsidR="00A547A7" w:rsidRPr="00793CE9" w:rsidRDefault="00A547A7"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Радиоуглеродный метод основан на изучении радиоактивного изотопа углерода С</w:t>
      </w:r>
      <w:r w:rsidRPr="00793CE9">
        <w:rPr>
          <w:color w:val="000000"/>
          <w:sz w:val="28"/>
          <w:szCs w:val="22"/>
          <w:vertAlign w:val="superscript"/>
        </w:rPr>
        <w:t>14</w:t>
      </w:r>
      <w:r w:rsidRPr="00793CE9">
        <w:rPr>
          <w:color w:val="000000"/>
          <w:sz w:val="28"/>
          <w:szCs w:val="22"/>
        </w:rPr>
        <w:t xml:space="preserve"> в растительной ткани (обычно в древесине). Этот изотоп образуется в атмосфере из азота </w:t>
      </w:r>
      <w:r w:rsidRPr="00793CE9">
        <w:rPr>
          <w:color w:val="000000"/>
          <w:sz w:val="28"/>
          <w:szCs w:val="22"/>
          <w:lang w:val="en-US"/>
        </w:rPr>
        <w:t>N</w:t>
      </w:r>
      <w:r w:rsidRPr="00793CE9">
        <w:rPr>
          <w:color w:val="000000"/>
          <w:sz w:val="28"/>
          <w:szCs w:val="22"/>
          <w:vertAlign w:val="superscript"/>
        </w:rPr>
        <w:t>14</w:t>
      </w:r>
      <w:r w:rsidRPr="00793CE9">
        <w:rPr>
          <w:color w:val="000000"/>
          <w:sz w:val="28"/>
          <w:szCs w:val="22"/>
        </w:rPr>
        <w:t xml:space="preserve"> под воздействием космических лучей и усваивается живыми организмами. После отмирания организма.происходит распад С</w:t>
      </w:r>
      <w:r w:rsidRPr="00793CE9">
        <w:rPr>
          <w:color w:val="000000"/>
          <w:sz w:val="28"/>
          <w:szCs w:val="22"/>
          <w:vertAlign w:val="superscript"/>
        </w:rPr>
        <w:t>14</w:t>
      </w:r>
      <w:r w:rsidRPr="00793CE9">
        <w:rPr>
          <w:color w:val="000000"/>
          <w:sz w:val="28"/>
          <w:szCs w:val="22"/>
        </w:rPr>
        <w:t xml:space="preserve"> с определенной скоростью, что и позволяет определить абсолютный возраст захоронения организма и вмещающих его пород. Период полураспада С</w:t>
      </w:r>
      <w:r w:rsidRPr="00793CE9">
        <w:rPr>
          <w:color w:val="000000"/>
          <w:sz w:val="28"/>
          <w:szCs w:val="22"/>
          <w:vertAlign w:val="superscript"/>
        </w:rPr>
        <w:t xml:space="preserve">14 </w:t>
      </w:r>
      <w:r w:rsidRPr="00793CE9">
        <w:rPr>
          <w:color w:val="000000"/>
          <w:sz w:val="28"/>
          <w:szCs w:val="22"/>
        </w:rPr>
        <w:t>приблизительно равен 5,5—6 тыс. лет, поэтому этот метод используют для определения возраста молодых четвертичных отложений и в археологии (когда возраст объектов исследования не превышает 50—70 тыс. лет).</w:t>
      </w:r>
    </w:p>
    <w:p w:rsidR="00A547A7" w:rsidRPr="00793CE9" w:rsidRDefault="00A547A7"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Радиометрические методы определения абсолютного возраста горных пород быстро развиваются и совершенствуются, область их применения непрерывно расширяется. Наибольшую ценность они имеют для изучения древних, докембрийских отложений. В последние годы широкое применение радиометрических методов привело к полному пересмотру стратиграфии докембрия.</w:t>
      </w:r>
    </w:p>
    <w:p w:rsidR="00A547A7" w:rsidRPr="00793CE9" w:rsidRDefault="00A547A7"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Несмотря на большое значение, радиометрические методы все еще являются вспомогательными по ряду причин. Во-первых, невелика еще точность определения (ошибки составляют 3—5%); во-вторых, далеко не во всякой горной породе можно найти минералы с радиоактивными элементами; в-третьих, радиометрические методы весьма сложны и дорогостоящи. Указанные недостатки снимают ценность этих методов и пока не позволяют сделать их универсальными рабочими методами геохронологии.</w:t>
      </w:r>
    </w:p>
    <w:p w:rsidR="000C526C" w:rsidRPr="00793CE9" w:rsidRDefault="000C526C" w:rsidP="000C526C">
      <w:pPr>
        <w:widowControl/>
        <w:shd w:val="clear" w:color="000000" w:fill="auto"/>
        <w:suppressAutoHyphens/>
        <w:spacing w:line="360" w:lineRule="auto"/>
        <w:ind w:firstLine="709"/>
        <w:jc w:val="both"/>
        <w:rPr>
          <w:color w:val="000000"/>
          <w:sz w:val="28"/>
          <w:szCs w:val="18"/>
        </w:rPr>
      </w:pPr>
    </w:p>
    <w:p w:rsidR="00A547A7" w:rsidRPr="00793CE9" w:rsidRDefault="000C526C" w:rsidP="000C526C">
      <w:pPr>
        <w:shd w:val="clear" w:color="000000" w:fill="auto"/>
        <w:spacing w:line="360" w:lineRule="auto"/>
        <w:jc w:val="center"/>
        <w:outlineLvl w:val="0"/>
        <w:rPr>
          <w:b/>
          <w:color w:val="000000"/>
          <w:sz w:val="28"/>
          <w:szCs w:val="24"/>
        </w:rPr>
      </w:pPr>
      <w:r w:rsidRPr="00793CE9">
        <w:rPr>
          <w:b/>
          <w:color w:val="000000"/>
          <w:sz w:val="28"/>
          <w:szCs w:val="18"/>
        </w:rPr>
        <w:t xml:space="preserve">2. </w:t>
      </w:r>
      <w:r w:rsidR="00A547A7" w:rsidRPr="00793CE9">
        <w:rPr>
          <w:b/>
          <w:color w:val="000000"/>
          <w:sz w:val="28"/>
          <w:szCs w:val="18"/>
        </w:rPr>
        <w:t>Методы восстановления физико-географической обстановки прошлых геологических эпох (основы палеогеографии)</w:t>
      </w:r>
    </w:p>
    <w:p w:rsidR="000C526C" w:rsidRPr="00793CE9" w:rsidRDefault="000C526C" w:rsidP="000C526C">
      <w:pPr>
        <w:widowControl/>
        <w:shd w:val="clear" w:color="000000" w:fill="auto"/>
        <w:suppressAutoHyphens/>
        <w:spacing w:line="360" w:lineRule="auto"/>
        <w:ind w:firstLine="709"/>
        <w:jc w:val="both"/>
        <w:rPr>
          <w:color w:val="000000"/>
          <w:sz w:val="28"/>
          <w:szCs w:val="22"/>
        </w:rPr>
      </w:pPr>
    </w:p>
    <w:p w:rsidR="00A547A7" w:rsidRPr="00793CE9" w:rsidRDefault="00A547A7"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Другой важной задачей исторической геологии является восстановление физико-географической обстановки, в которой образовались породы. В процессе решения этой задачи геолог восстанавливает палеогеографические особенности прошлых эпох: характер древнего рельефа на суше или на морском дне, очертания береговой линии, распределение осадков на морском дне или в пониженностях рельефа на суше, климат, глубину моря, соленость и температуру морской воды, состав органического мира и т. д. Все эти и многие другие палеогеографические вопросы решают с помощью фациального анализа.</w:t>
      </w:r>
    </w:p>
    <w:p w:rsidR="00A547A7" w:rsidRPr="00793CE9" w:rsidRDefault="00A547A7"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 xml:space="preserve">Фациальный анализ — метод восстановления физико-географической обстановки прошлого при помощи всестороннего изучения осадочных горных пород. Название этого метода происходит от термина «фация», введенного в геологию швейцарским ученым А. Грессли в </w:t>
      </w:r>
      <w:smartTag w:uri="urn:schemas-microsoft-com:office:smarttags" w:element="metricconverter">
        <w:smartTagPr>
          <w:attr w:name="ProductID" w:val="1838 г"/>
        </w:smartTagPr>
        <w:r w:rsidRPr="00793CE9">
          <w:rPr>
            <w:color w:val="000000"/>
            <w:sz w:val="28"/>
            <w:szCs w:val="22"/>
          </w:rPr>
          <w:t>1838 г</w:t>
        </w:r>
      </w:smartTag>
      <w:r w:rsidRPr="00793CE9">
        <w:rPr>
          <w:color w:val="000000"/>
          <w:sz w:val="28"/>
          <w:szCs w:val="22"/>
        </w:rPr>
        <w:t>. Изучая юрские отложения в Юрских горах, Грессли установил, что хорошо прослеживающиеся здесь на большом расстоянии слои сохраняют один и тот же литологический состав и сходный комплекс окаменелостей не на всем своем протяжении, а только в пределах определенного участка. Часть слоя горной породы, которая на всем участке своего распространения имеет один и тот же состав и сходный комплекс окаменелостей, Грессли и назвал фацией. Фации испытывают изменения по мере движения по слою, эти изменения называются фациальными.</w:t>
      </w:r>
    </w:p>
    <w:p w:rsidR="00A547A7" w:rsidRPr="00793CE9" w:rsidRDefault="00A547A7"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Фации могут быть ископаемыми, представленными горной породой, и современными — в виде еще не уплотненного осадка. Среди ископаемых и современных фаций выделяют два главных типа: морские и континентальные. Каждая фация формируется на определенном участке морского дна или суши в определенных физико-географических условиях. Поэтому, изучая ту или иную фацию, можно восстановить не только место, но и условия ее формирования: климат, глубину морского дна, температуру, соленость морской воды и т. д. Изучая несколько одновозрастных фаций, можно сделать выводы о физико-географических условиях времени накопления этих фаций на всей площади их распространения.</w:t>
      </w:r>
    </w:p>
    <w:p w:rsidR="00513B44" w:rsidRPr="00793CE9" w:rsidRDefault="00A547A7"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При фациальном анализе подробно изучают состав осадочной породы (литология) и выясняют условия ее образования, а также состав ископаемой фауны и флоры и выясняют условия их оби</w:t>
      </w:r>
      <w:r w:rsidR="00513B44" w:rsidRPr="00793CE9">
        <w:rPr>
          <w:color w:val="000000"/>
          <w:sz w:val="28"/>
          <w:szCs w:val="22"/>
        </w:rPr>
        <w:t>тания. Поэтому фациальный анализ распадается на две части: литологический анализ — метод восстановления палеогеографической обстановки по породам и биономический анализ — метод восстановления палеогеографической обстановки по окаменелостям. При проведении фациального анализа геологи широко используют принцип актуализма — принцип восстановления процессов и явлений прошлых эпох при помощи прямой аналогии с процессами и явлениями современности. Этот принцип стали использовать еще в начале прошлого столетия. В России его применял Д. И. Соколов, а в Западной Европе — Ч. Лайель. Изучая современные фации, геологи используют полученные данные для расшифровки условий формирования ископаемых фаций. Используя данные о современных геологических явлениях для объяснения явлений геологического прошлого, нужно всегда учитывать непрерывное развитие и изменение природы. Чем дальше от нас геологическое прошлое, тем труднее провести аналогию между настоящим и прошлым, тем существеннее должна быть поправка в окончательные результаты палеогеографических выводов.</w:t>
      </w:r>
    </w:p>
    <w:p w:rsidR="000C526C" w:rsidRPr="00793CE9" w:rsidRDefault="000C526C" w:rsidP="000C526C">
      <w:pPr>
        <w:widowControl/>
        <w:shd w:val="clear" w:color="000000" w:fill="auto"/>
        <w:suppressAutoHyphens/>
        <w:spacing w:line="360" w:lineRule="auto"/>
        <w:ind w:firstLine="709"/>
        <w:jc w:val="both"/>
        <w:rPr>
          <w:color w:val="000000"/>
          <w:sz w:val="28"/>
          <w:szCs w:val="22"/>
        </w:rPr>
      </w:pPr>
    </w:p>
    <w:p w:rsidR="00513B44" w:rsidRPr="00793CE9" w:rsidRDefault="00C835CD" w:rsidP="00C835CD">
      <w:pPr>
        <w:shd w:val="clear" w:color="000000" w:fill="auto"/>
        <w:spacing w:line="360" w:lineRule="auto"/>
        <w:jc w:val="center"/>
        <w:outlineLvl w:val="0"/>
        <w:rPr>
          <w:b/>
          <w:color w:val="000000"/>
          <w:sz w:val="28"/>
          <w:szCs w:val="24"/>
        </w:rPr>
      </w:pPr>
      <w:r w:rsidRPr="00793CE9">
        <w:rPr>
          <w:b/>
          <w:color w:val="000000"/>
          <w:sz w:val="28"/>
          <w:szCs w:val="22"/>
        </w:rPr>
        <w:t xml:space="preserve">3. </w:t>
      </w:r>
      <w:r w:rsidR="00513B44" w:rsidRPr="00793CE9">
        <w:rPr>
          <w:b/>
          <w:color w:val="000000"/>
          <w:sz w:val="28"/>
          <w:szCs w:val="22"/>
        </w:rPr>
        <w:t>Основы фациального анализа морских отложений</w:t>
      </w:r>
    </w:p>
    <w:p w:rsidR="000C526C" w:rsidRPr="00793CE9" w:rsidRDefault="000C526C" w:rsidP="000C526C">
      <w:pPr>
        <w:widowControl/>
        <w:shd w:val="clear" w:color="000000" w:fill="auto"/>
        <w:suppressAutoHyphens/>
        <w:spacing w:line="360" w:lineRule="auto"/>
        <w:ind w:firstLine="709"/>
        <w:jc w:val="both"/>
        <w:rPr>
          <w:color w:val="000000"/>
          <w:sz w:val="28"/>
          <w:szCs w:val="22"/>
        </w:rPr>
      </w:pPr>
    </w:p>
    <w:p w:rsidR="00513B44" w:rsidRPr="00793CE9" w:rsidRDefault="00513B4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Литологический анализ. При проведении литологического анализа геолог прежде всего должен восстановить картину распределения осадков на морском дне. Для этого ему необходимо знать закономерности накопления осадков в современных морях и океанах.</w:t>
      </w:r>
    </w:p>
    <w:p w:rsidR="00513B44" w:rsidRPr="00793CE9" w:rsidRDefault="00513B4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Моря и океаны — главные области осадконакопления. Источниками накопления осадков являются снос с суши, вулканическая деятельность и космическая пыль. Чтобы понять закономерности распределения осадков на морском дне, необходимо принимать во внимание два первых источника: снос с суши и вулканическую деятельность. Главным источником является снос с суши, он происходит повсеместно и в колоссальных размерах. Реки выносят в моря и океаны огромное количество обломочного и растворенного вещества. Например, годовой вынос Амазонки составляет 3787 км</w:t>
      </w:r>
      <w:r w:rsidRPr="00793CE9">
        <w:rPr>
          <w:color w:val="000000"/>
          <w:sz w:val="28"/>
          <w:szCs w:val="22"/>
          <w:vertAlign w:val="superscript"/>
        </w:rPr>
        <w:t>3</w:t>
      </w:r>
      <w:r w:rsidRPr="00793CE9">
        <w:rPr>
          <w:color w:val="000000"/>
          <w:sz w:val="28"/>
          <w:szCs w:val="22"/>
        </w:rPr>
        <w:t>, Конго — 1260, Миссисипи — 600, Волги — 255 км</w:t>
      </w:r>
      <w:r w:rsidRPr="00793CE9">
        <w:rPr>
          <w:color w:val="000000"/>
          <w:sz w:val="28"/>
          <w:szCs w:val="22"/>
          <w:vertAlign w:val="superscript"/>
        </w:rPr>
        <w:t>3</w:t>
      </w:r>
      <w:r w:rsidRPr="00793CE9">
        <w:rPr>
          <w:color w:val="000000"/>
          <w:sz w:val="28"/>
          <w:szCs w:val="22"/>
        </w:rPr>
        <w:t xml:space="preserve"> взвешенного материала. Все моря и океаны ежегодно получают за счет рек около </w:t>
      </w:r>
      <w:r w:rsidRPr="00793CE9">
        <w:rPr>
          <w:bCs/>
          <w:color w:val="000000"/>
          <w:sz w:val="28"/>
          <w:szCs w:val="22"/>
        </w:rPr>
        <w:t xml:space="preserve">12,5 </w:t>
      </w:r>
      <w:r w:rsidRPr="00793CE9">
        <w:rPr>
          <w:color w:val="000000"/>
          <w:sz w:val="28"/>
          <w:szCs w:val="22"/>
        </w:rPr>
        <w:t>млрд. т взвешенного и около 5 млрд. т растворенного вещества. Эти цифры поражают своей величиной.</w:t>
      </w:r>
    </w:p>
    <w:p w:rsidR="00513B44" w:rsidRPr="00793CE9" w:rsidRDefault="00513B4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 xml:space="preserve">Вынесенный реками материал осаждается в пределах шельфа, в зоне накопления терригенных осадков (происшедших за счет размыва суши, от латинского слова </w:t>
      </w:r>
      <w:r w:rsidRPr="00793CE9">
        <w:rPr>
          <w:color w:val="000000"/>
          <w:sz w:val="28"/>
          <w:szCs w:val="22"/>
          <w:lang w:val="en-US"/>
        </w:rPr>
        <w:t>terra</w:t>
      </w:r>
      <w:r w:rsidRPr="00793CE9">
        <w:rPr>
          <w:color w:val="000000"/>
          <w:sz w:val="28"/>
          <w:szCs w:val="22"/>
        </w:rPr>
        <w:t xml:space="preserve"> — земля). Терригенные осадки закономерно распределяются по морскому дну: у берега отлагаются галька и грубые пески, дальше от берега — мелкие пески, затем песчанистая глина и наконец в более удаленных от берега местах тонкие глинистые осадки. Здесь же накапливаются хемогенные и органогенные осадки, но в процентном отношении их очень мало по сравнению с терригенными. В зависимости от сноса с суши зона распространения терригенных осадков в разных морях и океанах имеет различную ширину, но она является повсюду зоной максимального осадконакопления. Обширные пространства океанического дна являются зоной накопления пелагических осадков. Здесь выпадают из толщи морской воды хемогенные и органогенные осадки, так как терригенные сюда не достигают.</w:t>
      </w:r>
    </w:p>
    <w:p w:rsidR="00513B44" w:rsidRPr="00793CE9" w:rsidRDefault="00513B4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Изложенная схема распределения литологических типов осадков на морском дне проста и понятна. Однако она является идеализированной, так как в подавляющем большинстве случаев распределение осадков сильно нарушается из-за целого ряда причин, которые</w:t>
      </w:r>
      <w:r w:rsidR="000C526C" w:rsidRPr="00793CE9">
        <w:rPr>
          <w:color w:val="000000"/>
          <w:sz w:val="28"/>
          <w:szCs w:val="22"/>
        </w:rPr>
        <w:t xml:space="preserve"> </w:t>
      </w:r>
      <w:r w:rsidRPr="00793CE9">
        <w:rPr>
          <w:color w:val="000000"/>
          <w:sz w:val="28"/>
          <w:szCs w:val="22"/>
        </w:rPr>
        <w:t>геолог должен</w:t>
      </w:r>
      <w:r w:rsidR="000C526C" w:rsidRPr="00793CE9">
        <w:rPr>
          <w:color w:val="000000"/>
          <w:sz w:val="28"/>
          <w:szCs w:val="22"/>
        </w:rPr>
        <w:t xml:space="preserve"> </w:t>
      </w:r>
      <w:r w:rsidRPr="00793CE9">
        <w:rPr>
          <w:color w:val="000000"/>
          <w:sz w:val="28"/>
          <w:szCs w:val="22"/>
        </w:rPr>
        <w:t>учитывать</w:t>
      </w:r>
      <w:r w:rsidR="000C526C" w:rsidRPr="00793CE9">
        <w:rPr>
          <w:color w:val="000000"/>
          <w:sz w:val="28"/>
          <w:szCs w:val="22"/>
        </w:rPr>
        <w:t xml:space="preserve"> </w:t>
      </w:r>
      <w:r w:rsidRPr="00793CE9">
        <w:rPr>
          <w:color w:val="000000"/>
          <w:sz w:val="28"/>
          <w:szCs w:val="22"/>
        </w:rPr>
        <w:t>при фациальном анализе.</w:t>
      </w:r>
    </w:p>
    <w:p w:rsidR="00513B44" w:rsidRPr="00793CE9" w:rsidRDefault="00513B4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По одному только литологическому составу нельзя безошибочно определить участок морского дна, где та или иная порода образовалась. Поэтому параллельно с литологическим анализом проводится биономический анализ. Это позволяет сделать правильные выводы о распределении осадков на дне древних морей.</w:t>
      </w:r>
    </w:p>
    <w:p w:rsidR="00513B44" w:rsidRPr="00793CE9" w:rsidRDefault="00513B4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В процессе литологического анализа геолог проводит много лабораторных исследований над осадочными горными породами с целью выяснения условий среды, в которой происходило осадконакопление. Кроме минералогического состава, изучают также структуру и текстуру пород, цвет, характер переслаивания пород, их мощность, перерывы в осадконакоплении и т. д. Лабораторные наблюдения позволяют судить о глубине морского бассейна, о солености и температуре воды, о скорости осадконакопления, о составе размывавшихся горных пород на прилежащей суше, о вулканизме и т. д. Важное значение имеют породы и минералы — индикаторы, образование которых связано с определенными условиями среды. Таких индикаторов немало. Например, глауконит и фосфорит свидетельствуют о мелководном морском бассейне нормальной солености; присутствие гипса и ангидрита — о повышенной солености воды и жарком сухом климате в области осадконакопления; обилие пирита — о сероводородном заражении в застойных водах.</w:t>
      </w:r>
    </w:p>
    <w:p w:rsidR="00100E54" w:rsidRPr="00793CE9" w:rsidRDefault="00513B4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Биономический анализ. Главной целью биономического анализа является восстановление палеогеографической обстановки при помощи ископаемых организмов. Исследуя окаменелости, извлеченные из того или иного слоя, геолог в процессе биономического анализа восстанавливает образ жизни вымерших организмов и условия их обитания, т. е. физико-географическую обстановку того времени, когда они жили. Для этого ему необходимо знать закономерности распределения организмов в современных морях и океанах. Об этих закономерностях уже было рассказано в разделе «Органический мир и среда существования». Здесь же мы остановимся на краткой характеристике основ биономического анализа.</w:t>
      </w:r>
    </w:p>
    <w:p w:rsidR="00100E54" w:rsidRPr="00793CE9" w:rsidRDefault="00100E5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При проведении биономического анализа изучают бентосные организмы, т. е. организмы, населяющие морское дно. Они обитают на определенных участках морского дна, и по их составу можно точно установить тот или иной участок местообитания. Пелагические организмы (планктон и нектон), живущие в толще морской воды, для биономического анализа не используются, так как после гибели они могут попасть в осадок на любом участке морского дна.</w:t>
      </w:r>
    </w:p>
    <w:p w:rsidR="00100E54" w:rsidRPr="00793CE9" w:rsidRDefault="00100E5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Бентосные организмы являются хорошими показателями среды обитания. Они живут на морском дне в виде сообществ — биоценозов, в которые входят различные организмы, тесно связанные друг с другом единым местом обитания на морском дне. На огромных пространствах морского дна обитает масса различных биоценозов, состав которых зависит от физико-географической обстановки и среды обитания. С изменением глубины, характера морского дна, солености морской воды, ее температуры и т. д. происходит изменение биоценозов. Таким образом, изучая состав биоценозов, можно установить не только место их обитания, но и физико-географические условия среды: глубину моря, соленость и температуру морской воды и т. д. По биоценозу прежде всего устанавливают биономическую зону: литораль, сублитораль, эпибатиаль, батиаль или абиссаль — зону обитания организмов на морском дне.</w:t>
      </w:r>
    </w:p>
    <w:p w:rsidR="00100E54" w:rsidRPr="00793CE9" w:rsidRDefault="00100E5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В ископаемом состоянии — в горной породе — биоценозы не могут сохраниться в полном составе. Некоторые организмы не превратились в окаменелости, другие после смерти были вынесены течениями с места первоначального обитания. Поэтому в том или ином слое осадочной горной породы сохраняется только часть первоначального биоценоза в виде окаменелостей. Кроме того, в породе встречают ископаемые остатки, которые были привнесены морскими течениями из других участков морского дна, а также упавшие сверху из толщи морской воды различные пелагические организмы. Таким образом, в породе наблюдают очень разнородный комплекс окаменелостей, который не соответствует составу первоначального биоценоза. Задачей геолога, проводящего биономический анализ, является восстановление первоначального биоценоза. Это задача не легкая, в процессе ее решения геолог должен отбросить все органические остатки, чуждые данному участку, и оставить для изучения только окаменелости, входившие в первоначальный биоценоз. По восстановленному биоценозу определяют биономическую зону — место обитания биоценоза, а вместе с этим и физико-географические условия среды обитания. Все это требует очень тщательных наблюдений, к правильным выводам приводит совместное использование литологического и биономического анализов.</w:t>
      </w:r>
    </w:p>
    <w:p w:rsidR="00100E54" w:rsidRPr="00793CE9" w:rsidRDefault="00C835CD" w:rsidP="00C835CD">
      <w:pPr>
        <w:shd w:val="clear" w:color="000000" w:fill="auto"/>
        <w:spacing w:line="360" w:lineRule="auto"/>
        <w:jc w:val="center"/>
        <w:outlineLvl w:val="0"/>
        <w:rPr>
          <w:b/>
          <w:color w:val="000000"/>
          <w:sz w:val="28"/>
          <w:szCs w:val="24"/>
        </w:rPr>
      </w:pPr>
      <w:r w:rsidRPr="00793CE9">
        <w:rPr>
          <w:b/>
          <w:color w:val="000000"/>
          <w:sz w:val="28"/>
          <w:szCs w:val="22"/>
        </w:rPr>
        <w:t xml:space="preserve">4. </w:t>
      </w:r>
      <w:r w:rsidR="00100E54" w:rsidRPr="00793CE9">
        <w:rPr>
          <w:b/>
          <w:color w:val="000000"/>
          <w:sz w:val="28"/>
          <w:szCs w:val="22"/>
        </w:rPr>
        <w:t>Основы фациального анализа континентальных отложений</w:t>
      </w:r>
    </w:p>
    <w:p w:rsidR="000C526C" w:rsidRPr="00793CE9" w:rsidRDefault="000C526C" w:rsidP="000C526C">
      <w:pPr>
        <w:widowControl/>
        <w:shd w:val="clear" w:color="000000" w:fill="auto"/>
        <w:suppressAutoHyphens/>
        <w:spacing w:line="360" w:lineRule="auto"/>
        <w:ind w:firstLine="709"/>
        <w:jc w:val="both"/>
        <w:rPr>
          <w:color w:val="000000"/>
          <w:sz w:val="28"/>
          <w:szCs w:val="22"/>
        </w:rPr>
      </w:pPr>
    </w:p>
    <w:p w:rsidR="00100E54" w:rsidRPr="00793CE9" w:rsidRDefault="00100E5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Суша является преимущественно областью размыва, накопление осадков на суше происходит только в понижениях рельефа. Здесь осадки резко отличаются по составу и строению даже на коротких расстояниях, т. е. фациальная изменчивость выражена гораздо резче, чем в море. Кроме того, на суше осадки располагаются пятнами, а на морском дне накапливаются повсеместно и закономерно. Из-за быстрой фациальной изменчивости для суши нигде нельзя построить даже примитивную схему распределения осадков. Биономический анализ практически проводить невозможно, так как органические остатки встречаются очень редко. Поэтому для континентальных отложений проводится только литологический анализ.</w:t>
      </w:r>
    </w:p>
    <w:p w:rsidR="00100E54" w:rsidRPr="00793CE9" w:rsidRDefault="00100E5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Все современные континентальные отложения представляют собой рыхлые осадочные накопления, среди которых выделяют несколько фаций, называемых генетическими типами: элювиальные, делювиальные, пролювиальные, аллювиальные, озерные, болотные, гравитационные, ледниковые, эоловые отложения.</w:t>
      </w:r>
    </w:p>
    <w:p w:rsidR="00100E54" w:rsidRPr="00793CE9" w:rsidRDefault="00100E5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Изучая континентальные отложения, геологи выделяют указанные генетические типы. Среди современных континентальных отложений их установить нетрудно, а внутри ископаемых, превращенных в твердую горную породу, выделить их зачастую невозможно. В этих случаях геологи стараются выделять комплексы континентальных фаций и по ним устанавливать условия их образования (комплекс фаций аридного климата, гумидного климата, ледниковый комплекс, комплекс предгорий и т. д.). Большое значение имеют окаменелые растительные остатки, встречающиеся в континентальных отложениях. По составу растительности можно установить климатические особенности прошлых эпох.</w:t>
      </w:r>
    </w:p>
    <w:p w:rsidR="00100E54" w:rsidRPr="00793CE9" w:rsidRDefault="00732B26" w:rsidP="00C835CD">
      <w:pPr>
        <w:shd w:val="clear" w:color="000000" w:fill="auto"/>
        <w:spacing w:line="360" w:lineRule="auto"/>
        <w:jc w:val="center"/>
        <w:outlineLvl w:val="0"/>
        <w:rPr>
          <w:b/>
          <w:color w:val="000000"/>
          <w:sz w:val="28"/>
          <w:szCs w:val="24"/>
        </w:rPr>
      </w:pPr>
      <w:r w:rsidRPr="00793CE9">
        <w:rPr>
          <w:b/>
          <w:color w:val="000000"/>
          <w:sz w:val="28"/>
          <w:szCs w:val="22"/>
        </w:rPr>
        <w:br w:type="page"/>
      </w:r>
      <w:r w:rsidR="00C835CD" w:rsidRPr="00793CE9">
        <w:rPr>
          <w:b/>
          <w:color w:val="000000"/>
          <w:sz w:val="28"/>
          <w:szCs w:val="22"/>
        </w:rPr>
        <w:t xml:space="preserve">5. </w:t>
      </w:r>
      <w:r w:rsidR="00100E54" w:rsidRPr="00793CE9">
        <w:rPr>
          <w:b/>
          <w:color w:val="000000"/>
          <w:sz w:val="28"/>
          <w:szCs w:val="22"/>
        </w:rPr>
        <w:t>Палеогеографические карты</w:t>
      </w:r>
    </w:p>
    <w:p w:rsidR="000C526C" w:rsidRPr="00793CE9" w:rsidRDefault="000C526C" w:rsidP="000C526C">
      <w:pPr>
        <w:widowControl/>
        <w:shd w:val="clear" w:color="000000" w:fill="auto"/>
        <w:suppressAutoHyphens/>
        <w:spacing w:line="360" w:lineRule="auto"/>
        <w:ind w:firstLine="709"/>
        <w:jc w:val="both"/>
        <w:rPr>
          <w:color w:val="000000"/>
          <w:sz w:val="28"/>
          <w:szCs w:val="22"/>
        </w:rPr>
      </w:pPr>
    </w:p>
    <w:p w:rsidR="00100E54" w:rsidRPr="00793CE9" w:rsidRDefault="00100E5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На палеогеографических картах обобщают все данные, полученные при проведении фациального анализа, и изображают географию земной поверхности для определенного этапа геологического времени (периода, эпохи, века). Эти карты могут быть различных масштабов: мелкие — для всего земного шара и для отдельных континентов; крупные — для какого-либо участка земной поверхности. В зависимости от масштаба карты на ней показывают различные элементы древнего ландшафта. На крупномасштабных палеогеографических картах можно показать контуры суши и моря, рельеф суши и морского дна, распределение осадков в море и их мощности, контуры озер и древние речные долины, расположение вулканов, направление морских течений, границы климатических и биогеографических зон.</w:t>
      </w:r>
    </w:p>
    <w:p w:rsidR="00D530DC" w:rsidRPr="00793CE9" w:rsidRDefault="00100E54"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В идеале палеогеографическая карта должна быть аналогом современных географических и литологических карт. Однако ни</w:t>
      </w:r>
      <w:r w:rsidR="00D530DC" w:rsidRPr="00793CE9">
        <w:rPr>
          <w:color w:val="000000"/>
          <w:sz w:val="28"/>
          <w:szCs w:val="22"/>
        </w:rPr>
        <w:t xml:space="preserve"> одна палеогеографическая карта не может отвечать этому идеалу. Во-первых, палеогеографические карты всегда имеют неточности и белые пятна со знаком вопроса, что является следствием неполноты геологических данных и несовершенством методов фациального анализа. Во-вторых, на палеогеографические карты нанесены материалы, обобщающие события за определенный отрезок геологического времени (сотни тысяч и миллионы лет), а географические карты составляют для современного момента времени, их регулярно обновляют и уточняют.</w:t>
      </w:r>
    </w:p>
    <w:p w:rsidR="00D530DC" w:rsidRPr="00793CE9" w:rsidRDefault="00D530DC"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Несмотря на отмеченные недостатки, палеогеографические карты имеют большое научное и практическое значение. Они оказывают огромную помощь при восстановлении геологической истории Земли и отдельных ее участков, позволяют судить о процессах и явлениях, имевших место на поверхности Земли в далеком прошлом, и об изменениях их во времени. Детальные палеогеографические карты являются также надежной основой для прогноза осадочных полезных ископаемых, всегда связанных с определенными фациями.</w:t>
      </w:r>
    </w:p>
    <w:p w:rsidR="000C526C" w:rsidRPr="00793CE9" w:rsidRDefault="000C526C" w:rsidP="000C526C">
      <w:pPr>
        <w:widowControl/>
        <w:shd w:val="clear" w:color="000000" w:fill="auto"/>
        <w:suppressAutoHyphens/>
        <w:spacing w:line="360" w:lineRule="auto"/>
        <w:ind w:firstLine="709"/>
        <w:jc w:val="both"/>
        <w:rPr>
          <w:color w:val="000000"/>
          <w:sz w:val="28"/>
          <w:szCs w:val="18"/>
        </w:rPr>
      </w:pPr>
    </w:p>
    <w:p w:rsidR="00D530DC" w:rsidRPr="00793CE9" w:rsidRDefault="00C835CD" w:rsidP="00C835CD">
      <w:pPr>
        <w:shd w:val="clear" w:color="000000" w:fill="auto"/>
        <w:spacing w:line="360" w:lineRule="auto"/>
        <w:jc w:val="center"/>
        <w:outlineLvl w:val="0"/>
        <w:rPr>
          <w:b/>
          <w:color w:val="000000"/>
          <w:sz w:val="28"/>
          <w:szCs w:val="24"/>
        </w:rPr>
      </w:pPr>
      <w:r w:rsidRPr="00793CE9">
        <w:rPr>
          <w:b/>
          <w:color w:val="000000"/>
          <w:sz w:val="28"/>
          <w:szCs w:val="18"/>
        </w:rPr>
        <w:t xml:space="preserve">6. </w:t>
      </w:r>
      <w:r w:rsidR="00D530DC" w:rsidRPr="00793CE9">
        <w:rPr>
          <w:b/>
          <w:color w:val="000000"/>
          <w:sz w:val="28"/>
          <w:szCs w:val="18"/>
        </w:rPr>
        <w:t>Методы восстановления движений земной коры</w:t>
      </w:r>
    </w:p>
    <w:p w:rsidR="000C526C" w:rsidRPr="00793CE9" w:rsidRDefault="000C526C" w:rsidP="000C526C">
      <w:pPr>
        <w:widowControl/>
        <w:shd w:val="clear" w:color="000000" w:fill="auto"/>
        <w:suppressAutoHyphens/>
        <w:spacing w:line="360" w:lineRule="auto"/>
        <w:ind w:firstLine="709"/>
        <w:jc w:val="both"/>
        <w:rPr>
          <w:color w:val="000000"/>
          <w:sz w:val="28"/>
          <w:szCs w:val="22"/>
        </w:rPr>
      </w:pPr>
    </w:p>
    <w:p w:rsidR="00D530DC" w:rsidRPr="00793CE9" w:rsidRDefault="00D530DC"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В течение длительной геологической истории земная кора испытывала тектонические движения, следы которых наблюдают повсеместно на поверхности Земли. Эти движения изменяли первоначальное горизонтальное залегание слоев, вызывали их наклон, складкообразование и дробление. Тектонические движения проявлялись в различных участках нашей планеты, в разное время, с неодинаковой силой. При восстановлении геологической истории необходимо выяснить характер этих движений и установить время их проявления.</w:t>
      </w:r>
    </w:p>
    <w:p w:rsidR="00D530DC" w:rsidRPr="00793CE9" w:rsidRDefault="00D530DC"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Тектонические движения очень разнообразны, среди них выделяют два основных типа: колебательные и дислокационные. Колебательные движения охватывают обширные территории материков и океанических впадин, они проявляются длительное время и приводят к перераспределению морских бассейнов и участков суши, не вызывая резких нарушений первоначального залегания слоев. Следствием этих движений являются морские трансгрессии и регрессии — наступления и отступания морей. Дислокационные движения нарушают структуру земной коры, вызывают образование разнообразных складок, сбросов, надвигов и других складчатых и разрывных нарушений. Оба типа движений сильно отличаются друг от друга, поэтому и методы их изучения различны. Для исторической геологии важно восстановить характер и время проявления колебательных движений. Дислокационные движения являются основным объектом изучения другой геологической науки — структурной геологии.</w:t>
      </w:r>
    </w:p>
    <w:p w:rsidR="000C526C" w:rsidRPr="00793CE9" w:rsidRDefault="000C526C" w:rsidP="000C526C">
      <w:pPr>
        <w:widowControl/>
        <w:shd w:val="clear" w:color="000000" w:fill="auto"/>
        <w:suppressAutoHyphens/>
        <w:spacing w:line="360" w:lineRule="auto"/>
        <w:ind w:firstLine="709"/>
        <w:jc w:val="both"/>
        <w:rPr>
          <w:color w:val="000000"/>
          <w:sz w:val="28"/>
          <w:szCs w:val="22"/>
        </w:rPr>
      </w:pPr>
    </w:p>
    <w:p w:rsidR="000C526C" w:rsidRPr="00793CE9" w:rsidRDefault="00C835CD" w:rsidP="00C835CD">
      <w:pPr>
        <w:shd w:val="clear" w:color="000000" w:fill="auto"/>
        <w:spacing w:line="360" w:lineRule="auto"/>
        <w:jc w:val="center"/>
        <w:outlineLvl w:val="0"/>
        <w:rPr>
          <w:b/>
          <w:color w:val="000000"/>
          <w:sz w:val="28"/>
          <w:szCs w:val="22"/>
        </w:rPr>
      </w:pPr>
      <w:r w:rsidRPr="00793CE9">
        <w:rPr>
          <w:color w:val="000000"/>
          <w:sz w:val="28"/>
          <w:szCs w:val="22"/>
        </w:rPr>
        <w:br w:type="page"/>
      </w:r>
      <w:r w:rsidRPr="00793CE9">
        <w:rPr>
          <w:b/>
          <w:color w:val="000000"/>
          <w:sz w:val="28"/>
          <w:szCs w:val="22"/>
        </w:rPr>
        <w:t xml:space="preserve">7. </w:t>
      </w:r>
      <w:r w:rsidR="00D530DC" w:rsidRPr="00793CE9">
        <w:rPr>
          <w:b/>
          <w:color w:val="000000"/>
          <w:sz w:val="28"/>
          <w:szCs w:val="22"/>
        </w:rPr>
        <w:t>Анализ геологиче</w:t>
      </w:r>
      <w:r w:rsidRPr="00793CE9">
        <w:rPr>
          <w:b/>
          <w:color w:val="000000"/>
          <w:sz w:val="28"/>
          <w:szCs w:val="22"/>
        </w:rPr>
        <w:t>ских и палеогеографических карт</w:t>
      </w:r>
    </w:p>
    <w:p w:rsidR="000C526C" w:rsidRPr="00793CE9" w:rsidRDefault="000C526C" w:rsidP="000C526C">
      <w:pPr>
        <w:widowControl/>
        <w:shd w:val="clear" w:color="000000" w:fill="auto"/>
        <w:suppressAutoHyphens/>
        <w:spacing w:line="360" w:lineRule="auto"/>
        <w:ind w:firstLine="709"/>
        <w:jc w:val="both"/>
        <w:rPr>
          <w:color w:val="000000"/>
          <w:sz w:val="28"/>
          <w:szCs w:val="22"/>
        </w:rPr>
      </w:pPr>
    </w:p>
    <w:p w:rsidR="00D530DC" w:rsidRPr="00793CE9" w:rsidRDefault="00D530DC"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Даже беглое изучение геологической карты позволяет установить места проявления колебательных и дислокационных движений. На участках длительных поднятий распространены древнейшие породы; там, где проявлялись движения отрицательного знака, наблюдаются молодые породы. Зоны проявления дислокационных движений характеризуются узкими линейными структурами и развитием разрывных нарушений. Колебательные движения хорошо восстанавливаются путем сравнения ряда последовательно составленных палеогеографических карт.</w:t>
      </w:r>
    </w:p>
    <w:p w:rsidR="00D530DC" w:rsidRPr="00793CE9" w:rsidRDefault="00D530DC"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Анализ мощностей слоев горных пород позволяет судить о величине и скорости прогибания отдельных участков земной коры: на участках ускоренного прогибания накапливаются осадки большей мощности; на участках замедленного прогибания — меньшей. Цифровые данные о мощностях наносят на палеогеографические карты; обычно их выражают в виде изопахит — линий равных мощностей. По изопахитам можно установить скорость прогибания того или иного участка морского дна или суши.</w:t>
      </w:r>
    </w:p>
    <w:p w:rsidR="00D530DC" w:rsidRPr="00793CE9" w:rsidRDefault="00D530DC"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Анализ перерывов и несогласий на геологических разрезах позволяет установить время, характер и площадь проявления поднятий земной коры. Поверхности перерывов и несогласий фиксируются в разрезе отсутствием тех или иных стратиграфических горизонтов. Интервал перерыва в осадконакоплении соответствует времени проявления поднятия.</w:t>
      </w:r>
    </w:p>
    <w:p w:rsidR="00D530DC" w:rsidRPr="00793CE9" w:rsidRDefault="00D530DC" w:rsidP="000C526C">
      <w:pPr>
        <w:widowControl/>
        <w:shd w:val="clear" w:color="000000" w:fill="auto"/>
        <w:suppressAutoHyphens/>
        <w:spacing w:line="360" w:lineRule="auto"/>
        <w:ind w:firstLine="709"/>
        <w:jc w:val="both"/>
        <w:rPr>
          <w:color w:val="000000"/>
          <w:sz w:val="28"/>
          <w:szCs w:val="24"/>
        </w:rPr>
      </w:pPr>
      <w:r w:rsidRPr="00793CE9">
        <w:rPr>
          <w:color w:val="000000"/>
          <w:sz w:val="28"/>
          <w:szCs w:val="22"/>
        </w:rPr>
        <w:t>Анализ геологического разреза (стратиграфической колонки) является наиболее наглядным методом восстановления колебательных движений. При рассматривании стратиграфической колонки определенного участка обращают внимание на следующие признаки: на присутствие или отсутствие перерывов, на смену литологических типов отложений, на их мощности и на состав ископаемой фауны или флоры.</w:t>
      </w:r>
    </w:p>
    <w:p w:rsidR="00100E54" w:rsidRPr="00793CE9" w:rsidRDefault="009C7D94" w:rsidP="000C526C">
      <w:pPr>
        <w:widowControl/>
        <w:shd w:val="clear" w:color="000000" w:fill="auto"/>
        <w:suppressAutoHyphens/>
        <w:spacing w:line="360" w:lineRule="auto"/>
        <w:ind w:firstLine="709"/>
        <w:jc w:val="both"/>
        <w:rPr>
          <w:color w:val="000000"/>
          <w:sz w:val="28"/>
          <w:szCs w:val="22"/>
        </w:rPr>
      </w:pPr>
      <w:r w:rsidRPr="00793CE9">
        <w:rPr>
          <w:color w:val="000000"/>
          <w:sz w:val="28"/>
          <w:szCs w:val="22"/>
        </w:rPr>
        <w:t>Полученные данные о движении земной коры изображают в виде палеогеографической кривой — графика колебательных движений поверхности осадконакопления или размыва</w:t>
      </w:r>
      <w:r w:rsidRPr="00793CE9">
        <w:rPr>
          <w:iCs/>
          <w:color w:val="000000"/>
          <w:sz w:val="28"/>
          <w:szCs w:val="22"/>
        </w:rPr>
        <w:t xml:space="preserve">. </w:t>
      </w:r>
      <w:r w:rsidRPr="00793CE9">
        <w:rPr>
          <w:color w:val="000000"/>
          <w:sz w:val="28"/>
          <w:szCs w:val="22"/>
        </w:rPr>
        <w:t>Для этого по оси абсцисс откладывают время в произвольном масштабе. По оси ординат выше нулевой линии (уровня моря) показывают сушу, а ниже — биономические зоны моря (обычно литораль, сублитораль, эпибатиаль и батиаль). По полученным данным на графике наносят точки для каждого интервала геологического времени. Кривая, соединяющая эти точки, будет палеогеографической кривой.</w:t>
      </w:r>
    </w:p>
    <w:p w:rsidR="009C7D94" w:rsidRPr="00793CE9" w:rsidRDefault="005466BE" w:rsidP="00C835CD">
      <w:pPr>
        <w:shd w:val="clear" w:color="000000" w:fill="auto"/>
        <w:spacing w:line="360" w:lineRule="auto"/>
        <w:jc w:val="center"/>
        <w:outlineLvl w:val="0"/>
        <w:rPr>
          <w:b/>
          <w:color w:val="000000"/>
          <w:sz w:val="28"/>
          <w:szCs w:val="22"/>
        </w:rPr>
      </w:pPr>
      <w:r w:rsidRPr="00793CE9">
        <w:rPr>
          <w:color w:val="000000"/>
          <w:sz w:val="28"/>
          <w:szCs w:val="22"/>
        </w:rPr>
        <w:br w:type="page"/>
      </w:r>
      <w:r w:rsidRPr="00793CE9">
        <w:rPr>
          <w:b/>
          <w:color w:val="000000"/>
          <w:sz w:val="28"/>
          <w:szCs w:val="22"/>
        </w:rPr>
        <w:t>Литература</w:t>
      </w:r>
    </w:p>
    <w:p w:rsidR="005466BE" w:rsidRPr="00793CE9" w:rsidRDefault="005466BE" w:rsidP="000C526C">
      <w:pPr>
        <w:widowControl/>
        <w:shd w:val="clear" w:color="000000" w:fill="auto"/>
        <w:suppressAutoHyphens/>
        <w:spacing w:line="360" w:lineRule="auto"/>
        <w:ind w:firstLine="709"/>
        <w:jc w:val="both"/>
        <w:rPr>
          <w:color w:val="000000"/>
          <w:sz w:val="28"/>
          <w:szCs w:val="22"/>
        </w:rPr>
      </w:pPr>
    </w:p>
    <w:p w:rsidR="005466BE" w:rsidRPr="00793CE9" w:rsidRDefault="005466BE" w:rsidP="00C835CD">
      <w:pPr>
        <w:widowControl/>
        <w:shd w:val="clear" w:color="000000" w:fill="auto"/>
        <w:suppressAutoHyphens/>
        <w:spacing w:line="360" w:lineRule="auto"/>
        <w:jc w:val="both"/>
        <w:rPr>
          <w:color w:val="000000"/>
          <w:sz w:val="28"/>
          <w:szCs w:val="22"/>
        </w:rPr>
      </w:pPr>
      <w:r w:rsidRPr="00793CE9">
        <w:rPr>
          <w:color w:val="000000"/>
          <w:sz w:val="28"/>
          <w:szCs w:val="22"/>
        </w:rPr>
        <w:t>1.Гангнус А. Через горы времени. – М., 1993</w:t>
      </w:r>
    </w:p>
    <w:p w:rsidR="005466BE" w:rsidRPr="00793CE9" w:rsidRDefault="005466BE" w:rsidP="00C835CD">
      <w:pPr>
        <w:widowControl/>
        <w:shd w:val="clear" w:color="000000" w:fill="auto"/>
        <w:suppressAutoHyphens/>
        <w:spacing w:line="360" w:lineRule="auto"/>
        <w:jc w:val="both"/>
        <w:rPr>
          <w:color w:val="000000"/>
          <w:sz w:val="28"/>
          <w:szCs w:val="22"/>
        </w:rPr>
      </w:pPr>
      <w:r w:rsidRPr="00793CE9">
        <w:rPr>
          <w:color w:val="000000"/>
          <w:sz w:val="28"/>
          <w:szCs w:val="22"/>
        </w:rPr>
        <w:t>2.Музафаров В.Г. Основы геологии. – М., 1989</w:t>
      </w:r>
    </w:p>
    <w:p w:rsidR="005466BE" w:rsidRPr="00793CE9" w:rsidRDefault="005466BE" w:rsidP="00C835CD">
      <w:pPr>
        <w:widowControl/>
        <w:shd w:val="clear" w:color="000000" w:fill="auto"/>
        <w:suppressAutoHyphens/>
        <w:spacing w:line="360" w:lineRule="auto"/>
        <w:jc w:val="both"/>
        <w:rPr>
          <w:color w:val="000000"/>
          <w:sz w:val="28"/>
          <w:szCs w:val="22"/>
        </w:rPr>
      </w:pPr>
      <w:r w:rsidRPr="00793CE9">
        <w:rPr>
          <w:color w:val="000000"/>
          <w:sz w:val="28"/>
          <w:szCs w:val="22"/>
        </w:rPr>
        <w:t>3.Кэлдер Н. Беспокойная Земля. – М., 1995</w:t>
      </w:r>
    </w:p>
    <w:p w:rsidR="005466BE" w:rsidRPr="00793CE9" w:rsidRDefault="005466BE" w:rsidP="00C835CD">
      <w:pPr>
        <w:widowControl/>
        <w:shd w:val="clear" w:color="000000" w:fill="auto"/>
        <w:suppressAutoHyphens/>
        <w:spacing w:line="360" w:lineRule="auto"/>
        <w:jc w:val="both"/>
        <w:rPr>
          <w:color w:val="000000"/>
          <w:sz w:val="28"/>
          <w:szCs w:val="22"/>
        </w:rPr>
      </w:pPr>
      <w:r w:rsidRPr="00793CE9">
        <w:rPr>
          <w:color w:val="000000"/>
          <w:sz w:val="28"/>
          <w:szCs w:val="22"/>
        </w:rPr>
        <w:t>4.Ларионов А.К. Занимательная инженерная геология. – М., 1988</w:t>
      </w:r>
    </w:p>
    <w:p w:rsidR="005466BE" w:rsidRPr="00793CE9" w:rsidRDefault="005466BE" w:rsidP="00C835CD">
      <w:pPr>
        <w:widowControl/>
        <w:shd w:val="clear" w:color="000000" w:fill="auto"/>
        <w:suppressAutoHyphens/>
        <w:spacing w:line="360" w:lineRule="auto"/>
        <w:jc w:val="both"/>
        <w:rPr>
          <w:color w:val="000000"/>
          <w:sz w:val="28"/>
          <w:szCs w:val="24"/>
        </w:rPr>
      </w:pPr>
      <w:r w:rsidRPr="00793CE9">
        <w:rPr>
          <w:color w:val="000000"/>
          <w:sz w:val="28"/>
          <w:szCs w:val="22"/>
        </w:rPr>
        <w:t>5.Опарин А.И. Жизнь, ее природа, происхождение и развитие. – М., 2002</w:t>
      </w:r>
      <w:bookmarkStart w:id="0" w:name="_GoBack"/>
      <w:bookmarkEnd w:id="0"/>
    </w:p>
    <w:sectPr w:rsidR="005466BE" w:rsidRPr="00793CE9" w:rsidSect="000C526C">
      <w:pgSz w:w="11909" w:h="16834"/>
      <w:pgMar w:top="1134" w:right="850" w:bottom="1134"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65F5"/>
    <w:multiLevelType w:val="hybridMultilevel"/>
    <w:tmpl w:val="E8D0F3C4"/>
    <w:lvl w:ilvl="0" w:tplc="B5AC401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7A7"/>
    <w:rsid w:val="0005755D"/>
    <w:rsid w:val="00096008"/>
    <w:rsid w:val="000C526C"/>
    <w:rsid w:val="00100E54"/>
    <w:rsid w:val="00121AF5"/>
    <w:rsid w:val="001E52A5"/>
    <w:rsid w:val="00201C30"/>
    <w:rsid w:val="00513B44"/>
    <w:rsid w:val="005466BE"/>
    <w:rsid w:val="00591D97"/>
    <w:rsid w:val="00625414"/>
    <w:rsid w:val="00732B26"/>
    <w:rsid w:val="00781082"/>
    <w:rsid w:val="00793CE9"/>
    <w:rsid w:val="00804CBB"/>
    <w:rsid w:val="008F1E4E"/>
    <w:rsid w:val="009C7D94"/>
    <w:rsid w:val="00A547A7"/>
    <w:rsid w:val="00BA0D80"/>
    <w:rsid w:val="00C835CD"/>
    <w:rsid w:val="00D53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A057CA4-94A3-4401-A43B-A6217F58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3326</Words>
  <Characters>18959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2014-03-13T15:40:00Z</dcterms:created>
  <dcterms:modified xsi:type="dcterms:W3CDTF">2014-03-13T15:40:00Z</dcterms:modified>
</cp:coreProperties>
</file>