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0E" w:rsidRPr="005F2BA5" w:rsidRDefault="0046490E" w:rsidP="0046490E">
      <w:pPr>
        <w:spacing w:before="120"/>
        <w:jc w:val="center"/>
        <w:rPr>
          <w:b/>
          <w:bCs/>
          <w:sz w:val="32"/>
          <w:szCs w:val="32"/>
        </w:rPr>
      </w:pPr>
      <w:r w:rsidRPr="005F2BA5">
        <w:rPr>
          <w:b/>
          <w:bCs/>
          <w:sz w:val="32"/>
          <w:szCs w:val="32"/>
        </w:rPr>
        <w:t>Силы и средства ликвидации чрезвычайных ситуаций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 xml:space="preserve">Важнейшей составной частью единой государственной системы предупреждений и ликвидации чрезвычайных ситуаций являются ее силы и средства. Они подразделяются на силы и средства наблюдения и контроля и средства ликвидации чрезвычайных ситуаций.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 xml:space="preserve">Министерство Российской Федерации по делам ГО, ЧС и ликвидации последствий стихийных бедствий в качестве основной мобильной силы располагает отрядами и службами Ассоциации спасательных формирований России. Так, в ежегодных отчётных докладах министра МЧС России называются следующие показатели: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 xml:space="preserve">1) всего действует примерно около 130 спасательных формирований (отрядов) поисково-спасательной службы (ПСС) министерства;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 xml:space="preserve">2) силами спасательных отрядов проводиться ежегодно до 2 и более тысяч операций, в которых спасается до 5 и более тысяч человек.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 xml:space="preserve">Кроме отрядов спасателей МЧС России задействует следующие силы: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 xml:space="preserve">1) военизированные и невоенизированные противопожарные, поисково-спасательные и аварийно-восстановительные формирования федеральных органов исполнительной власти и организаций России;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 xml:space="preserve">2) учреждения и формирования службы экстренной медицинской помощи Минздрава России и других федеральных органов исполнительной власти и организаций России;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 xml:space="preserve">3) формирования службы защиты животных и растений Министерства сельского хозяйства России;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 xml:space="preserve">4) части Министерства внутренних дел (МВД) Российской Федерации и подразделения муниципальной милиции;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 xml:space="preserve">5) силы гражданской обороны в воинских соединениях и на объектах экономики;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 xml:space="preserve">6) воинские части и соединения радиационной, химической и биологической защиты и инженерных войск Минобороны России;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 xml:space="preserve">7) силы и службы поискового и аварийно-спасательного обеспечения полетов гражданской авиации;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 xml:space="preserve">8) восстановительные и пожарные поезда Министерства путей сообщения России;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 xml:space="preserve">9) аварийно-спасательные службы Военно-Морского флота России и других министерств;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 xml:space="preserve">10) военизированные противоградовые и противолавинные службы Росгидромета;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11) территориальные аварийно-спасательные формирования Государственной инспекции по маломерным судам</w:t>
      </w:r>
      <w:r>
        <w:t xml:space="preserve"> </w:t>
      </w:r>
      <w:r w:rsidRPr="00442BC9">
        <w:t xml:space="preserve">Минприроды России;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12) подразделения Государственной противопожарной службы МВД России (с января 2002 года в состав МЧС России вошла Государственная противопожарная служба МВД Российской Федерации);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 xml:space="preserve">13) военизированные горноспасательные, противофонтанные и газоспасательные части Минтопэнерго России;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 xml:space="preserve">14) аварийно-технические центры и специализированные отряды Минатома России; </w:t>
      </w:r>
    </w:p>
    <w:p w:rsidR="0046490E" w:rsidRDefault="0046490E" w:rsidP="0046490E">
      <w:pPr>
        <w:spacing w:before="120"/>
        <w:ind w:firstLine="567"/>
        <w:jc w:val="both"/>
      </w:pPr>
      <w:r w:rsidRPr="00442BC9">
        <w:t xml:space="preserve">15) отряды и специалисты-добровольцы общественных объединений. </w:t>
      </w:r>
    </w:p>
    <w:p w:rsidR="0046490E" w:rsidRPr="005F2BA5" w:rsidRDefault="0046490E" w:rsidP="0046490E">
      <w:pPr>
        <w:spacing w:before="120"/>
        <w:jc w:val="center"/>
        <w:rPr>
          <w:b/>
          <w:bCs/>
          <w:sz w:val="28"/>
          <w:szCs w:val="28"/>
        </w:rPr>
      </w:pPr>
      <w:r w:rsidRPr="005F2BA5">
        <w:rPr>
          <w:b/>
          <w:bCs/>
          <w:sz w:val="28"/>
          <w:szCs w:val="28"/>
        </w:rPr>
        <w:t xml:space="preserve">Организационная структура и задачи территориальных комиссий по чрезвычайным ситуациям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Территориальные подсистемы РСЧС создаются в пределах территорий субъектов Российской Федерации и состоят из звеньев, соответствующих административно-территориальному делению. Каждая территориальная подсистема предназначена для предупреждения и ликвидации чрезвычайных ситуаций на подведомственной территории. Она включает в себя: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руководящий орган - республиканскую, краевую (областную), муниципальную комиссию по чрезвычайным ситуациям (КЧС);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постоянно действующий орган управления, специально уполномоченный на решение задач в области защиты населения и территории от чрезвычайных ситуаций;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собственные силы и средства территории, а также силы и средства функциональных подсистем.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 xml:space="preserve">Председателем территориальной комиссии назначается первый заместитель главы администрации исполнительного органа власти. Оперативным органом управления в комиссиях являются соответствующие штабы ГО (областной штаб ГО, городские и районные штабы ГО). В комиссиях по ЧС создаются необходимые подкомиссии и другие подразделения. Непосредственно с населением взаимодействуют районные КЧС и комиссии по ЧС городов областного подчинения.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 xml:space="preserve">С целью обеспечения безопасности жизнедеятельности, территориальные исполнительные органы власти могут образовывать и вспомогательные структуры. Например, при мэрии г. Новосибирска в 1997 году был создан Совет безопасности, который включает в себя городской центр безопасности жизнедеятельности. Данный центр взаимодействует с силовыми ведомствами, городским штабом ГО, Новосибирской таможней и другими структурами.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 xml:space="preserve">Непосредственно в комиссии по чрезвычайным ситуациям передаётся информация: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о стихийных бедствиях;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о случаях залповых и аварийных выбросах и сбросах;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о ситуациях, связанных с высоким уровнем загрязнения и экстремально высоким уровнем загрязнения природной среды.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 xml:space="preserve">Немедленно передается информация: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о стихийных бедствиях, которые могут вызвать заболевания или гибель людей, животных или растений;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об аварийных залповых выбросах (сбросах) загрязняющих веществ, если они угрожают здоровью или жизни людей, животным или растениям;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о визуальном обнаружении негативного воздействия на природу (необычный цвет или запах в реках, озерах; гибель рыб или растений; отклонения от нормы нереста или миграции рыб; гибель животных, в том числе и диких).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При этом существуют определенные критерии оценки загрязнения природной среды, классифицируемые как чрезвычайная ситуация. Под экстремально высоким загрязнением окружающей природной среды понимается следующее.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1. Для атмосферного воздуха: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а) содержание одного или нескольких загрязняющих веществ, превышающее предельно допустимую концентрацию: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в 20-29 раз в течение времени более 2 суток;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в 30-49 раз при сохранении этого уровня от 8 часов и более;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в 50 и более раз (без учета времени);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б) визуальные и органолептические признаки: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появление устойчивого, не свойственного данной местности (сезону) запаха;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обнаружение влияния воздуха на органы чувств человека – резь в глазах, слезотечение, привкус во рту, затруднённое дыхание, покраснение или другие изменения кожи, рвота и др. (одновременно у нескольких десятков человек);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 xml:space="preserve">2. Для поверхностных вод суши, морских вод: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разовое превышение ПДК загрязняющих веществ 1-2 класса опасности в 5 и более раз, для веществ 3-4 класса опасности в 50 и более раз;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пленка на поверхности воды (нефтяная, масляная или другого происхождения) закрывающая более 1/3 поверхности водоема при его обозримой площади до 6 км2;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сильный необычный запах от воды водоема;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попадание в водоем токсичных (ядовитых) веществ;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снижение содержания растворённого в воде кислорода до 2 и менее мг/л;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увеличение биохимического потребления кислорода (БПК) свыше</w:t>
      </w:r>
      <w:r>
        <w:t xml:space="preserve"> </w:t>
      </w:r>
      <w:r w:rsidRPr="00442BC9">
        <w:t>40 мг/л;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массовая гибель рыбы, раков, водорослей и др.;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 xml:space="preserve">3. Для почв и земель: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содержание пестицидов в концентрациях 50 и более ПДК по санитарно-токсилогическим критериям;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содержание загрязняющих веществ технологического происхождения в концентрациях</w:t>
      </w:r>
      <w:r>
        <w:t xml:space="preserve"> </w:t>
      </w:r>
      <w:r w:rsidRPr="00442BC9">
        <w:t xml:space="preserve">50 и более ПДК; 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в случае если ПДК загрязняющего вещества не установлена, то превышение фона более чем в 100 раз;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наличие несанкционированных свалок токсичных отходов;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4. Для радиоактивного загрязнения окружающей природной среды: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мощность экспозиционной дозы гамма-излучения на местности, измеренная на высоте</w:t>
      </w:r>
      <w:r>
        <w:t xml:space="preserve"> </w:t>
      </w:r>
      <w:r w:rsidRPr="00442BC9">
        <w:t>1 м от поверхности земли, составила 60 и более мкР/ч;</w:t>
      </w:r>
    </w:p>
    <w:p w:rsidR="0046490E" w:rsidRPr="00442BC9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суммарная бета-активность выпадений по результатам первых измерений превысила</w:t>
      </w:r>
      <w:r>
        <w:t xml:space="preserve"> </w:t>
      </w:r>
      <w:r w:rsidRPr="00442BC9">
        <w:t>110 Бк/м2;</w:t>
      </w:r>
    </w:p>
    <w:p w:rsidR="0046490E" w:rsidRDefault="0046490E" w:rsidP="0046490E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концентрация радионуклидов в пробах сельскохозяйственной продукции превысила принятые временно допустимые уровни (ВДУ).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90E"/>
    <w:rsid w:val="00051FB8"/>
    <w:rsid w:val="00095BA6"/>
    <w:rsid w:val="00210DB3"/>
    <w:rsid w:val="0031418A"/>
    <w:rsid w:val="00350B15"/>
    <w:rsid w:val="00377A3D"/>
    <w:rsid w:val="00442BC9"/>
    <w:rsid w:val="0046490E"/>
    <w:rsid w:val="0052086C"/>
    <w:rsid w:val="005A2562"/>
    <w:rsid w:val="005F2BA5"/>
    <w:rsid w:val="006D3DE5"/>
    <w:rsid w:val="00755964"/>
    <w:rsid w:val="008C19D7"/>
    <w:rsid w:val="00965EB0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7AE4EC-EC14-460A-8DA2-730407C2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9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6490E"/>
    <w:rPr>
      <w:color w:val="0000FF"/>
      <w:u w:val="single"/>
    </w:rPr>
  </w:style>
  <w:style w:type="character" w:styleId="a4">
    <w:name w:val="FollowedHyperlink"/>
    <w:basedOn w:val="a0"/>
    <w:uiPriority w:val="99"/>
    <w:rsid w:val="0046490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1066</Words>
  <Characters>6082</Characters>
  <Application>Microsoft Office Word</Application>
  <DocSecurity>0</DocSecurity>
  <Lines>50</Lines>
  <Paragraphs>14</Paragraphs>
  <ScaleCrop>false</ScaleCrop>
  <Company>Home</Company>
  <LinksUpToDate>false</LinksUpToDate>
  <CharactersWithSpaces>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Силы и средства ликвидации чрезвычайных ситуаций</dc:title>
  <dc:subject/>
  <dc:creator>Alena</dc:creator>
  <cp:keywords/>
  <dc:description/>
  <cp:lastModifiedBy>admin</cp:lastModifiedBy>
  <cp:revision>2</cp:revision>
  <dcterms:created xsi:type="dcterms:W3CDTF">2014-02-19T09:19:00Z</dcterms:created>
  <dcterms:modified xsi:type="dcterms:W3CDTF">2014-02-19T09:19:00Z</dcterms:modified>
</cp:coreProperties>
</file>