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7A" w:rsidRPr="00F94D7A" w:rsidRDefault="00F94D7A" w:rsidP="00F94D7A">
      <w:pPr>
        <w:spacing w:before="120"/>
        <w:jc w:val="center"/>
        <w:rPr>
          <w:b/>
          <w:bCs/>
          <w:sz w:val="32"/>
          <w:szCs w:val="32"/>
        </w:rPr>
      </w:pPr>
      <w:r w:rsidRPr="00F94D7A">
        <w:rPr>
          <w:b/>
          <w:bCs/>
          <w:sz w:val="32"/>
          <w:szCs w:val="32"/>
        </w:rPr>
        <w:t>Влияние нефтяного загрязнения на почвенных беспозвоночных (мезофауны) в таежных лесах Среднего Приобья</w:t>
      </w:r>
    </w:p>
    <w:p w:rsidR="00F94D7A" w:rsidRPr="00F94D7A" w:rsidRDefault="00F94D7A" w:rsidP="00F94D7A">
      <w:pPr>
        <w:spacing w:before="120"/>
        <w:jc w:val="center"/>
        <w:rPr>
          <w:sz w:val="28"/>
          <w:szCs w:val="28"/>
        </w:rPr>
      </w:pPr>
      <w:r w:rsidRPr="00F94D7A">
        <w:rPr>
          <w:sz w:val="28"/>
          <w:szCs w:val="28"/>
        </w:rPr>
        <w:t>А. В. Соромотин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В статье содержатся сведения о структуре населения почвенных беспозвоночных мезофауны Среднего Приобья. На материалах многолетних исследований дается анализ влияния нефтяного загрязнения на комплексы почвенных беспозвоночных. Показано, что мезофауна почв по сравнению с фитоценозом и фауной мелких млекопитающих обладает повышенной чувствительностью к углеводородному загрязнению среды. Приводятся теоретические уравнения регрессии экспоненциального вида зависимости численности и биомассы почвенных беспозвоночных от концентрации нефти для зоны таежных лесов Среднего Приобья. Предлагаются индикаторные группы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В настоящее время при разработке мероприятий по снижению отрицательного воздействия нефтедобычи на природные комплексы большое внимание уделяется последствиям углеводородного загрязнения окружающей среды. Один из удобных объектов исследований - почвенные беспозвоночные, среди которых есть представители всех трофических групп гетеротрофных организмов. Общеизвестна четкая реакция педобионтов на изменения свойств почвы.</w:t>
      </w:r>
    </w:p>
    <w:p w:rsidR="00F94D7A" w:rsidRPr="00F94D7A" w:rsidRDefault="00F94D7A" w:rsidP="00F94D7A">
      <w:pPr>
        <w:spacing w:before="120"/>
        <w:jc w:val="center"/>
        <w:rPr>
          <w:b/>
          <w:bCs/>
          <w:sz w:val="28"/>
          <w:szCs w:val="28"/>
        </w:rPr>
      </w:pPr>
      <w:r w:rsidRPr="00F94D7A">
        <w:rPr>
          <w:b/>
          <w:bCs/>
          <w:sz w:val="28"/>
          <w:szCs w:val="28"/>
        </w:rPr>
        <w:t>Материалы и методы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К мезофауне относятся крупные почвенные беспозвоночные, легко учитываемые при ручной разборке образцов грунта, такие как дождевые черви, многоножки, моллюски, имаго и личинки многих отрядов насекомых [I].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При проведении работ на территории разлива нефти, характеризующейся равномерным распределением загрязнителя, сходными лесорастительными условиями и однотипным микрорельефом, закладывали пробную площадь (100 м2). Для изучения абсолютных значений численности, биомассы и видового состава использовали наиболее универсальный и доступный способ учета - взятие почвенных проб 25 х 25 см с ручной послойной разборкой: лесная подстилка и далее через 5 см с повторностью от 10 до 50. Биомассу определяли по фиксированным в спирте беспозвоночным. В местах раскопок отбирали образцы почвы по интервалам глубин для определения содержания общего нефтепродукта. В сходных лесорастительных и почвенных условиях - в непосредственной близости от изучаемого разлива закладывали контрольную пробную площадь, на которой проводили работы в том же объеме, за исключением отбора образцов грунта. Отсутствие нефтепродуктов в почвах контроля определяли на месте с помощью хлороформа. Всего обследовано 20 разливов нефти, заложено 24 пробные площади, взято свыше 600 проб, учтено более 10 000 беспозвоночных.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Чтобы избежать чисто качественного подхода в определении дозы нефти, выражаемой иногда такими чисто технологическими понятиями, как "облигатная зона загрязнения", "факельная свеча", "порыв нефтепровода", не имеющими отношения к природе, под интенсивностью загрязнения понимается содержание общего нефтепродукта, выраженное в процентах от воздушно-сухой массы субстрата. Это позволяет реально оценить нагрузку токсиканта на биоценоз в конкретной точке в момент наблюдений, а для обработки материала использовать методы математической статистики.</w:t>
      </w:r>
    </w:p>
    <w:p w:rsidR="00F94D7A" w:rsidRPr="00F94D7A" w:rsidRDefault="00F94D7A" w:rsidP="00F94D7A">
      <w:pPr>
        <w:spacing w:before="120"/>
        <w:jc w:val="center"/>
        <w:rPr>
          <w:b/>
          <w:bCs/>
          <w:sz w:val="28"/>
          <w:szCs w:val="28"/>
        </w:rPr>
      </w:pPr>
      <w:r w:rsidRPr="00F94D7A">
        <w:rPr>
          <w:b/>
          <w:bCs/>
          <w:sz w:val="28"/>
          <w:szCs w:val="28"/>
        </w:rPr>
        <w:t>Результаты и их обсуждение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Наиболее богата и многочисленна мезофауна в кедрово-зеленомошных лесах: за весь период наблюдений средняя численность превосходила аналогичный показатель в кедровниках долго-мошньгх и сосняках лишайниковых на 20,7 и 40,3 % соответственно, а биомасса - более чем в 10 раз (табл. 1). Большое распространение в регионе получили сфагновые леса и верховые болота, видовой состав мезонаселения которых значительно беднее при высокой общей численности, достигающей уровня в зеленомошниках.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Воздействие нефти и нефтепродуктов на комплексы мезофауны определяется в первую очередь интенсивностью загрязнения. Наибольшая гибель животных наблюдается в зонах с максимальным нефтяным загрязнением. Крупные беспозвоночные погибают при этом полностью [2-4]. Как показали исследования, нефтяное загрязнение резко отрицательно влияет на численность и биомассу мезофауны почв. Уравнение регрессии зависимости сохранности этих количественных характеристик сообществ беспозвоночных, выраженной в процентах от контроля, имеет вид: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 xml:space="preserve">у = ехр (а + bх). 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Для таежных лесов Среднего Приобья значения коэффициентов следующие: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по численности: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а = 4,80 ± 0,35; b = -0,10 ± 0,01; коэффициент корреляции r = -0,86 ± 0,10 при Р &lt; 0,001;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по биомассе: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а = 5,20 ± 0,52; b = -0,10 ± 0,02; r = -0,79 ± 0,13 при Р &lt; 0,001.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Если сравнить чувствительность к нефти педобионтов и таких элементов таежных биоценозов, как живой напочвенный покров, подрост хвойных пород, а из консументов - мелких млекопитающих (мышевидные грызуны и насекомоядные), графики устойчивости которых показаны на рисунке, то очевидно, что мезофауна - один из наиболее чувствительных компонентов таежных экосистем к такому виду антропогенного воздействия. Снижение численности педобионтов наполовину вызывается 10 % -ным уровнем содержания нефти в лесной подстилке, тогда как соответствующее уменьшение общего проективного покрытия живым растительным покровом - 15 %, сохранности мелких млекопитающих - 25 %, количества жизнеспособного подроста кедра - даже 35 %, [5]. Литературные данные [3, 6] и результаты собственных учетов (табл. 2) показывают, что и среди почвенных беспозвоночных мезофауна наиболее чувствительна.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При рассмотрении устойчивости к углеводородному загрязнению основных групп мезофауны необходимо выделять уровни загрязнения почвы, так как реакция животных меняется в зависимости от дозы токсиканта. Мы разделили загрязнение на слабое - до 10 % нефти в лесной подстилке, когда сохраняется до 50 % педобионтов, среднее - от 10 до 20 %, когда численность падает еще наполовину, и сильное - более 20 % нефти в подстилке. Характер устойчивости к этим уровням загрязненности хорошо выражен в табл. 3.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Заметим, что наибольшую устойчивость, даже некоторое повышение численности, требующее специального исследования, проявляют дождевые черви (Eisenia nordenskioldi Eisen и Limbricus rubellus Hoff.). Многоножки, пауки и насекомые образуют группу организмов, сходных по степени реакции. Наиболее чувствительны моллюски (табл. 3).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При средней загрязненности Oligochaeta также наиболее устойчивы, a Mollusca - наименее. На участках с загрязнением более 20 % нефти ни дождевые черви, ни моллюски не встречаются - эта концентрация для вышеназванных групп предельна. Наибольшую устойчивость проявляют Chilopoda (Monotarsobius curtipes С. Koch).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Среди наиболее многочисленных отрядов насекомых особой устойчивостью при слабой дозе не выделяется ни один, при средней - преобладают имаго и личинки жуков (Staphylinidae, Carabidae), а при сильной - личинки двукрылых.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Нефтяное загрязнение приводит не только к резкому сокращению численности, но и к значительному обеднению группового состава мезофауны за счет таких малоустойчивых элементов, как почвенные моллюски, гусеницы совок, червецы, личинки мягкотелок, проволочников, долгоносиков.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На загрязненных территориях иногда наблюдается смещение возрастной и размерной структур населения некоторых групп. Так, например, для стафилинид отмечено возрастание доли имаго на разливах на 48 % по сравнению с контролем. У пауков здесь средняя масса одной особи значительно превосходит аналогичный показатель на чистых участках: (4,4 ± 0,5) мг в опыте и (2,4 ± 0,2) мг в контроле (проанализировано 1715 экз., различия достоверны при Р &lt; 0,001). Для многоножек различий не обнаружено: (4,8 ± 0,6) мг в опыте и (4,8 ± 0,3) мг в контроле (421 экз.). Вероятно, из Arachnida на загрязненной территории способны выжить взрослые особи и более крупные виды, а для размерной и возрастной структуры Chilopoda (представленных практически одним видом) наличие нефти значения не имеет. Понятно, что все это может приводить к нарушению характерной для каждого типа леса системы трофических связей, а следовательно, и динамики численности популяций, а дальше - и стабильности всего биоценоза.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 xml:space="preserve">Таблица 1 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Состав мезофауны таежных лесов Среднего Приобья (численность - экз./м2; биомасса - г/м2)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37"/>
        <w:gridCol w:w="2215"/>
        <w:gridCol w:w="2120"/>
        <w:gridCol w:w="2059"/>
        <w:gridCol w:w="1627"/>
      </w:tblGrid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Группа мезофауны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Кедровники зеленомошные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Кедровники долгомошные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Сосняки лишайниковые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Сосняки сфагновые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Oligocheta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14,2+3,6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0,5±0,2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 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Mollusca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9,6±4,2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5,6±2,2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1,1±0,8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Arachnida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134,9±25,5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175,0±15,6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99,2±12,6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153,1±15,1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Myriapoda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30,4±10,1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19,0±4,8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8,0±2,6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22,9±7,8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Insecta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237,5±20,5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138,4+16,6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150,4±16,8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296,5±33,3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4,6±1,8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3,2±1,2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 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Отряды Insecta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Lepidoptera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4,5 + 1,6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1,8 ± 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3,7 + 2,4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Diptera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31,7 ± 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6,9± 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16,0 ± 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31,1 ± 7,7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Homoptera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80,2 ± 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27,4 ± 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4,8 ± 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162,1 ±33,2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Hemiptera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3,8± 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8,2 ± 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Hymenoptera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16,0 ± 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11,7 ± 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8,0 ± 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5,3 ± 2,8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Neuroptera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0,3 ± 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1,0 ± 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Coleoptera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99,2 ± 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76,3± 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100,8 ± 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96,0 ± 12,8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1,8 ±0,3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5,1 ± 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20,8 ± 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Семейства Coleoptera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Elateridae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24,0 ± 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10,1 ± 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25,6 ± 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0,5 ± 0,1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Staphylinidae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44,8 ± 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49,1 + 8,8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60,8 ± 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50,7 ±9,1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Carabidae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11,2 ± 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9,4 ± 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6,4 ± 2,1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Cantharidae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11,5 ±3,0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7,7 ± 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11,2 ± 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6,4 ±2,8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Scarabaeidae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0,6 ± 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Curculionidae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0,7 ± 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6,4 ± 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3,2 + 2,1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30,9 + 6,9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431,2 ±32,2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341,7 + 28,8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257,6 ± 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473,6 ± 43,7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БИОМАССА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14,3 ± 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1,5 + 0,2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1,1 ± 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1,6 ± 0,3</w:t>
            </w:r>
          </w:p>
        </w:tc>
      </w:tr>
    </w:tbl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Таблица 2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Влияние нефтяного загрязнения на численность почвенных беспозвоночных в кедровнике (13 % нефти в почве; экз./м2)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8"/>
        <w:gridCol w:w="1842"/>
        <w:gridCol w:w="1857"/>
      </w:tblGrid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Группа беспозвоночных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Чистая почва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Разлив нефти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Коллемболы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14 440,0 ± 4160,0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15 360,0 ± 1960,0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Клещи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21 080,0 ± 2118,0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20 210,0 ± 3200,0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Мезофауна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450,8 ± 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271,0 ± 22,7*</w:t>
            </w:r>
          </w:p>
        </w:tc>
      </w:tr>
    </w:tbl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· Различия достоверны при Р &lt; 0,001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 xml:space="preserve">Таблица 3 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Устойчивость основных групп мезофауны к нефтяному загрязнению (численность, % от контроля)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6"/>
        <w:gridCol w:w="1495"/>
        <w:gridCol w:w="1590"/>
        <w:gridCol w:w="1542"/>
      </w:tblGrid>
      <w:tr w:rsidR="00F94D7A" w:rsidRPr="00F94D7A" w:rsidTr="00F94D7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Группы мезофауны в порядке</w:t>
            </w:r>
          </w:p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выраженности их устойчивости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Степень загрязнения (% нефти в подстилке)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слабая, 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средняя,10-20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сильная, &gt; 20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Chilopoda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29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Diptera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27,5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Insecta в целом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12,1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Coleoptera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8,7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Arachida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3,6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Homoptera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Mollusca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</w:t>
            </w:r>
          </w:p>
        </w:tc>
      </w:tr>
      <w:tr w:rsidR="00F94D7A" w:rsidRPr="00F94D7A" w:rsidTr="00F94D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Oligochaeta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94D7A" w:rsidRPr="00F94D7A" w:rsidRDefault="00F94D7A" w:rsidP="00F94D7A">
            <w:pPr>
              <w:jc w:val="both"/>
              <w:rPr>
                <w:sz w:val="24"/>
                <w:szCs w:val="24"/>
              </w:rPr>
            </w:pPr>
            <w:r w:rsidRPr="00F94D7A">
              <w:rPr>
                <w:sz w:val="24"/>
                <w:szCs w:val="24"/>
              </w:rPr>
              <w:t>0</w:t>
            </w:r>
          </w:p>
        </w:tc>
      </w:tr>
    </w:tbl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Влияние нефтяного загрязнения почвы на некоторые компоненты таежных экосистем: а - численность мезофауны; 6 - биомассу мезофауны; в - общее проективное покрытие живым напочвенным покровом (1) численность мелких млекопитающих (2) и количество устойчивого подроста кедра (3)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Таким образом, проведенные исследования позволяют говорить о том, что мезофауна почв таежных лесов в Среднем Приобье достаточно обильна и разнообразна для использования ее при оценке степени антропогенных нагрузок на биогеоценозы. Являясь одним из наиболее чувствительных компонентов, она позволяет учитывать слабые и локальные воздействия, что важно при нормировании техногенного загрязнения почв. В качестве индикаторов степени загрязнения наземных экосистем нефтепродуктами можно рекомендовать всех почвенных моллюсков, дождевых червей и один из самых массовых видов с повышенной чувствительностью к нефти - Newsteadia floccosa De Greer (Insecta, Homoptera).</w:t>
      </w:r>
    </w:p>
    <w:p w:rsidR="00F94D7A" w:rsidRPr="00F94D7A" w:rsidRDefault="00F94D7A" w:rsidP="00F94D7A">
      <w:pPr>
        <w:spacing w:before="120"/>
        <w:jc w:val="center"/>
        <w:rPr>
          <w:b/>
          <w:bCs/>
          <w:sz w:val="28"/>
          <w:szCs w:val="28"/>
        </w:rPr>
      </w:pPr>
      <w:r w:rsidRPr="00F94D7A">
        <w:rPr>
          <w:b/>
          <w:bCs/>
          <w:sz w:val="28"/>
          <w:szCs w:val="28"/>
        </w:rPr>
        <w:t>Список литературы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1. М. С. Гиляров, Методы почвеиио-зоологичсских исследований, М., Наука, 1975, 12-29.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2. С. М. Самосова, Т. И. Артемьева, Проблемы почвенной зоологии. Тез. докл. 6-го Всесоюз. совещания, Минск, Наука и техника, 1978, 207-208.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3. Т. И. Артемьева, Комплексы почвенных животных и вопросы рекультивации техногенных территорий, М., Наука, 1989.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4. А. В. Соромотин, Проблемы географии в Западной Сибири, вып. 1, Тюмень, 1992, 129-138.</w:t>
      </w:r>
    </w:p>
    <w:p w:rsid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5. С. Н. Гашсв, Экология, 1992, 2, -'iO-48.</w:t>
      </w:r>
    </w:p>
    <w:p w:rsidR="00F94D7A" w:rsidRPr="00F94D7A" w:rsidRDefault="00F94D7A" w:rsidP="00F94D7A">
      <w:pPr>
        <w:spacing w:before="120"/>
        <w:ind w:firstLine="567"/>
        <w:jc w:val="both"/>
        <w:rPr>
          <w:sz w:val="24"/>
          <w:szCs w:val="24"/>
        </w:rPr>
      </w:pPr>
      <w:r w:rsidRPr="00F94D7A">
        <w:rPr>
          <w:sz w:val="24"/>
          <w:szCs w:val="24"/>
        </w:rPr>
        <w:t>6. Т. И. Артемьева, А. К. Жеребцов, Т. М. Борисович, Восстановление нефтезагрязненных почвенных экосистем, М., Наука, 1988, 82-99.</w:t>
      </w:r>
    </w:p>
    <w:p w:rsidR="002755AD" w:rsidRPr="00F94D7A" w:rsidRDefault="002755AD" w:rsidP="00F94D7A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2755AD" w:rsidRPr="00F94D7A" w:rsidSect="00F94D7A">
      <w:endnotePr>
        <w:numFmt w:val="decimal"/>
        <w:numStart w:val="0"/>
      </w:endnotePr>
      <w:pgSz w:w="11906" w:h="16838"/>
      <w:pgMar w:top="1134" w:right="1134" w:bottom="1134" w:left="1134" w:header="709" w:footer="709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1195C"/>
    <w:multiLevelType w:val="multilevel"/>
    <w:tmpl w:val="253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32425A7"/>
    <w:multiLevelType w:val="multilevel"/>
    <w:tmpl w:val="81C6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29D1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822A1B"/>
    <w:multiLevelType w:val="multilevel"/>
    <w:tmpl w:val="F498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isplayHorizontalDrawingGridEvery w:val="2"/>
  <w:displayVerticalDrawingGridEvery w:val="2"/>
  <w:characterSpacingControl w:val="doNotCompress"/>
  <w:doNotValidateAgainstSchema/>
  <w:doNotDemarcateInvalidXml/>
  <w:endnotePr>
    <w:numFmt w:val="decimal"/>
    <w:numStart w:val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AC2"/>
    <w:rsid w:val="002017FC"/>
    <w:rsid w:val="00204421"/>
    <w:rsid w:val="00236272"/>
    <w:rsid w:val="00250E46"/>
    <w:rsid w:val="002755AD"/>
    <w:rsid w:val="00291CD6"/>
    <w:rsid w:val="00345FF2"/>
    <w:rsid w:val="003C3ADA"/>
    <w:rsid w:val="00430314"/>
    <w:rsid w:val="004C7395"/>
    <w:rsid w:val="004E1197"/>
    <w:rsid w:val="00546999"/>
    <w:rsid w:val="00572CC8"/>
    <w:rsid w:val="005E60B8"/>
    <w:rsid w:val="0062593D"/>
    <w:rsid w:val="00646A92"/>
    <w:rsid w:val="006A70BC"/>
    <w:rsid w:val="0073395F"/>
    <w:rsid w:val="00894AC2"/>
    <w:rsid w:val="00961FDC"/>
    <w:rsid w:val="00A843F9"/>
    <w:rsid w:val="00B6370E"/>
    <w:rsid w:val="00BE242B"/>
    <w:rsid w:val="00C23CCA"/>
    <w:rsid w:val="00C97B34"/>
    <w:rsid w:val="00CA7B23"/>
    <w:rsid w:val="00E37D96"/>
    <w:rsid w:val="00F26C05"/>
    <w:rsid w:val="00F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500A8C-2205-4CDF-8E0B-AF4003EF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23"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69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A7B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250E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iPriority w:val="99"/>
    <w:rsid w:val="00C97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color w:val="000080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iPriority w:val="99"/>
    <w:rsid w:val="00C97B34"/>
    <w:pPr>
      <w:spacing w:before="100" w:beforeAutospacing="1" w:after="100" w:afterAutospacing="1"/>
    </w:pPr>
    <w:rPr>
      <w:rFonts w:ascii="Verdana" w:hAnsi="Verdana" w:cs="Verdana"/>
      <w:color w:val="990033"/>
    </w:rPr>
  </w:style>
  <w:style w:type="character" w:customStyle="1" w:styleId="grame">
    <w:name w:val="grame"/>
    <w:basedOn w:val="a0"/>
    <w:uiPriority w:val="99"/>
    <w:rsid w:val="00C97B34"/>
  </w:style>
  <w:style w:type="character" w:styleId="a4">
    <w:name w:val="Emphasis"/>
    <w:basedOn w:val="a0"/>
    <w:uiPriority w:val="99"/>
    <w:qFormat/>
    <w:rsid w:val="00250E46"/>
    <w:rPr>
      <w:i/>
      <w:iCs/>
    </w:rPr>
  </w:style>
  <w:style w:type="character" w:styleId="a5">
    <w:name w:val="Strong"/>
    <w:basedOn w:val="a0"/>
    <w:uiPriority w:val="99"/>
    <w:qFormat/>
    <w:rsid w:val="00250E46"/>
    <w:rPr>
      <w:b/>
      <w:bCs/>
    </w:rPr>
  </w:style>
  <w:style w:type="character" w:styleId="a6">
    <w:name w:val="Hyperlink"/>
    <w:basedOn w:val="a0"/>
    <w:uiPriority w:val="99"/>
    <w:rsid w:val="00250E46"/>
    <w:rPr>
      <w:color w:val="0000FF"/>
      <w:u w:val="single"/>
    </w:rPr>
  </w:style>
  <w:style w:type="paragraph" w:styleId="a7">
    <w:name w:val="Body Text Indent"/>
    <w:basedOn w:val="a"/>
    <w:link w:val="a8"/>
    <w:uiPriority w:val="99"/>
    <w:rsid w:val="00CA7B23"/>
    <w:pPr>
      <w:ind w:firstLine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sz w:val="20"/>
      <w:szCs w:val="20"/>
      <w:lang w:val="ru-RU" w:eastAsia="ru-RU"/>
    </w:rPr>
  </w:style>
  <w:style w:type="paragraph" w:styleId="a9">
    <w:name w:val="Body Text"/>
    <w:basedOn w:val="a"/>
    <w:link w:val="aa"/>
    <w:uiPriority w:val="99"/>
    <w:rsid w:val="00CA7B23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rPr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rsid w:val="00CA7B23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rsid w:val="00CA7B23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8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4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432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4315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8324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429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0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0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0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1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1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1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1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2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2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2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2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2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2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3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3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3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3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4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4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4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4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5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5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5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6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6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6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6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6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6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7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7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7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7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8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8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9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9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0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0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0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0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0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1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1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1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1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1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1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2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8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4300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8324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429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0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0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0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0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1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1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1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1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1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2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2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3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3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3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4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43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4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4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4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50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5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5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6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6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6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6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7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7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7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7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8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84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85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86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8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88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9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9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39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01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0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07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0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12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4419">
                      <w:marLeft w:val="340"/>
                      <w:marRight w:val="3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7269</Words>
  <Characters>4144</Characters>
  <Application>Microsoft Office Word</Application>
  <DocSecurity>0</DocSecurity>
  <Lines>34</Lines>
  <Paragraphs>22</Paragraphs>
  <ScaleCrop>false</ScaleCrop>
  <Company>Home</Company>
  <LinksUpToDate>false</LinksUpToDate>
  <CharactersWithSpaces>11391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нефтяного загрязнения на почвенных беспозвоночных (мезофауны) в таежных лесах Среднего Приобья</dc:title>
  <dc:subject/>
  <dc:creator>User</dc:creator>
  <cp:keywords/>
  <dc:description/>
  <cp:lastModifiedBy>admin</cp:lastModifiedBy>
  <cp:revision>2</cp:revision>
  <dcterms:created xsi:type="dcterms:W3CDTF">2014-01-25T21:25:00Z</dcterms:created>
  <dcterms:modified xsi:type="dcterms:W3CDTF">2014-01-25T21:25:00Z</dcterms:modified>
</cp:coreProperties>
</file>