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DD8" w:rsidRDefault="00092DD8">
      <w:pPr>
        <w:pStyle w:val="1"/>
        <w:rPr>
          <w:color w:val="808080"/>
          <w:sz w:val="27"/>
          <w:szCs w:val="27"/>
        </w:rPr>
      </w:pPr>
      <w:r>
        <w:rPr>
          <w:color w:val="808080"/>
          <w:sz w:val="27"/>
          <w:szCs w:val="27"/>
        </w:rPr>
        <w:t xml:space="preserve">1. Эволюция мировой валютной системы </w:t>
      </w:r>
    </w:p>
    <w:p w:rsidR="00092DD8" w:rsidRDefault="00092DD8">
      <w:pPr>
        <w:pStyle w:val="afe"/>
        <w:rPr>
          <w:sz w:val="23"/>
          <w:szCs w:val="23"/>
        </w:rPr>
      </w:pPr>
      <w:r>
        <w:rPr>
          <w:sz w:val="23"/>
          <w:szCs w:val="23"/>
        </w:rPr>
        <w:t>Закономерности развития валютной системы определяются воспроизводственным критерием, отражают основные этапы развития национального и мирового хозяйства. Данный критерий проявляется в периодическом несоответствии принципов мировой валютной системы изменениям в структуре мирового хозяйства, а также в расстановке сил между его основными центрами. В этой связи периодически возникает кризис мировой валютной системы. Это взрыв валютных противоречий, резкое нарушение ее функционирования, проявляющееся в несоответствии структурных принципов организации мирового валютного механизма к изменившимся условиям производства, мировой торговли, соотношению сил в мире. Данное понятие возникло с кризисом первой мировой валютной системы — золотого монометаллизма. Периодические кризисы мировой валютной системы занимают относительно длительный исторический период времени: кризис золотомонетного стандарта продолжался около 10 лет (1913—1922 гг.), Генуэзской валютной системы — 8 лет (1929—1936 гг.), Бреттонвудской — 10 лет (1967—1976 гг.).</w:t>
      </w:r>
    </w:p>
    <w:p w:rsidR="00092DD8" w:rsidRDefault="00092DD8">
      <w:pPr>
        <w:pStyle w:val="afe"/>
        <w:rPr>
          <w:sz w:val="23"/>
          <w:szCs w:val="23"/>
        </w:rPr>
      </w:pPr>
      <w:r>
        <w:rPr>
          <w:sz w:val="23"/>
          <w:szCs w:val="23"/>
        </w:rPr>
        <w:t>При кризисе мировой валютной системы нарушается действие ее структурных принципов и резко обостряются валютные противоречия. В основе периодичности кризиса мировой валютной системы лежит приспособление ее структурных принципов к изменившимся условиям и соотношению сил в мире. Острые вспышки и драматические события, связанные с валютным кризисом, не могут долго продолжаться без угрозы воспроизводству. Поэтому используются разнообразные средства для сглаживания острых форм валютного кризиса и проведения реформы мировой валютной системы.</w:t>
      </w:r>
    </w:p>
    <w:p w:rsidR="00092DD8" w:rsidRDefault="00092DD8">
      <w:pPr>
        <w:pStyle w:val="afe"/>
        <w:rPr>
          <w:sz w:val="23"/>
          <w:szCs w:val="23"/>
        </w:rPr>
      </w:pPr>
      <w:r>
        <w:rPr>
          <w:sz w:val="23"/>
          <w:szCs w:val="23"/>
        </w:rPr>
        <w:t>Кризис мировой валютной системы ведет к ломке старой системы и ее замене новой, обеспечивающей относительную валютную стабилизацию. Создание новой мировой валютной системы проходит три основных этапа:</w:t>
      </w:r>
    </w:p>
    <w:p w:rsidR="00092DD8" w:rsidRDefault="00092DD8">
      <w:pPr>
        <w:pStyle w:val="afe"/>
        <w:rPr>
          <w:sz w:val="23"/>
          <w:szCs w:val="23"/>
        </w:rPr>
      </w:pPr>
      <w:r>
        <w:rPr>
          <w:sz w:val="23"/>
          <w:szCs w:val="23"/>
        </w:rPr>
        <w:t>• становление, формирование предпосылок, определение принципов новой системы; при этом сохраняется ее преемственная связь с прежней системой;</w:t>
      </w:r>
    </w:p>
    <w:p w:rsidR="00092DD8" w:rsidRDefault="00092DD8">
      <w:pPr>
        <w:pStyle w:val="afe"/>
        <w:rPr>
          <w:sz w:val="23"/>
          <w:szCs w:val="23"/>
        </w:rPr>
      </w:pPr>
      <w:r>
        <w:rPr>
          <w:sz w:val="23"/>
          <w:szCs w:val="23"/>
        </w:rPr>
        <w:t>• формирование структурного единства, завершение построения, постепенная активизация принципов новой системы;</w:t>
      </w:r>
    </w:p>
    <w:p w:rsidR="00092DD8" w:rsidRDefault="00092DD8">
      <w:pPr>
        <w:pStyle w:val="afe"/>
        <w:rPr>
          <w:sz w:val="23"/>
          <w:szCs w:val="23"/>
        </w:rPr>
      </w:pPr>
      <w:r>
        <w:rPr>
          <w:sz w:val="23"/>
          <w:szCs w:val="23"/>
        </w:rPr>
        <w:t>• образование полноценно функционирующей новой мировой валютной системы на базе законченной целостности и органической увязки ее элементов.</w:t>
      </w:r>
    </w:p>
    <w:p w:rsidR="00092DD8" w:rsidRDefault="00092DD8">
      <w:pPr>
        <w:pStyle w:val="afe"/>
        <w:rPr>
          <w:sz w:val="23"/>
          <w:szCs w:val="23"/>
        </w:rPr>
      </w:pPr>
      <w:r>
        <w:rPr>
          <w:sz w:val="23"/>
          <w:szCs w:val="23"/>
        </w:rPr>
        <w:t>Вслед за этим наступает период, когда валютно-экономическое положение отдельных стран улучшается, а мировая валютная система соответствует в определенных пределах условиям и потребностям экономики и функционирует относительно эффективно в интересах ведущих держав. Так было первое время после создания Парижской, Генуэзской и Бреттонвудской валютных систем. Локальные валютные кризисы поражают отдельные страны или группу стран даже при относительной стабильности мировой валютной системы. Например, после второй мировой войны периодически вспыхивали локальные валютные кризисы во Франции, Великобритании, Италии и других странах.</w:t>
      </w:r>
    </w:p>
    <w:p w:rsidR="00092DD8" w:rsidRDefault="00092DD8">
      <w:pPr>
        <w:pStyle w:val="afe"/>
        <w:rPr>
          <w:sz w:val="23"/>
          <w:szCs w:val="23"/>
        </w:rPr>
      </w:pPr>
      <w:r>
        <w:rPr>
          <w:sz w:val="23"/>
          <w:szCs w:val="23"/>
        </w:rPr>
        <w:t xml:space="preserve">Различаются циклические валютные кризисы как проявление экономического кризиса и специальные кризисы, вызванные иными факторами: кризисом платежного баланса, чрезвычайными событиями и т.д. При золотом стандарте валютные кризисы возникали обычно в периоды войн и циклических экономических кризисов, но не доходили до острых форм. Выравнивание платежного баланса в тот период осуществлялось через стихийный механизм золотого стандарта, а колебания валютных курсов были ограничены золотыми точками. В связи с изменениями в циклическом развитии экономики в </w:t>
      </w:r>
      <w:r>
        <w:rPr>
          <w:sz w:val="23"/>
          <w:szCs w:val="23"/>
          <w:lang w:val="en-US"/>
        </w:rPr>
        <w:t>XX</w:t>
      </w:r>
      <w:r>
        <w:rPr>
          <w:sz w:val="23"/>
          <w:szCs w:val="23"/>
        </w:rPr>
        <w:t xml:space="preserve"> в. стирается четкая грань между циклическим и специальным валютными кризисами.</w:t>
      </w:r>
    </w:p>
    <w:p w:rsidR="00092DD8" w:rsidRDefault="00092DD8">
      <w:pPr>
        <w:pStyle w:val="afe"/>
        <w:rPr>
          <w:sz w:val="23"/>
          <w:szCs w:val="23"/>
        </w:rPr>
      </w:pPr>
      <w:r>
        <w:rPr>
          <w:sz w:val="23"/>
          <w:szCs w:val="23"/>
        </w:rPr>
        <w:t>Существует прямая связь валютного кризиса с процессом общественного воспроизводства, поскольку причины кризиса коренятся в его противоречиях, и обратная связь, проявляющаяся в социально-экономических последствиях потрясений в валютной сфере. Валютные кризисы сопровождаются обострением валютных противоречий, которые периодически перерастают в валютные войны ведущих стран, сопровождаемые борьбой за валютную гегемонию в целях создания оптимальных условий для обогащения ведущих национальных предприятий.</w:t>
      </w:r>
    </w:p>
    <w:p w:rsidR="00092DD8" w:rsidRDefault="00092DD8">
      <w:pPr>
        <w:pStyle w:val="afe"/>
        <w:rPr>
          <w:sz w:val="23"/>
          <w:szCs w:val="23"/>
        </w:rPr>
      </w:pPr>
      <w:r>
        <w:rPr>
          <w:sz w:val="23"/>
          <w:szCs w:val="23"/>
        </w:rPr>
        <w:lastRenderedPageBreak/>
        <w:t>Валютные кризисы обычно переплетаются с нестабильностью международных валютных отношений. Нарушение их устойчивости проявляется в нестабильности курса валют, перераспределении золотовалютных резервов, валютных ограничениях, ухудшении международной валютной ликвидности, валютных противоречиях. Но это не означает непрерывного снижения курсов валют, усиления валютных ограничений и т. д.</w:t>
      </w:r>
    </w:p>
    <w:p w:rsidR="00092DD8" w:rsidRDefault="00092DD8">
      <w:pPr>
        <w:pStyle w:val="afe"/>
        <w:jc w:val="right"/>
        <w:rPr>
          <w:sz w:val="23"/>
          <w:szCs w:val="23"/>
        </w:rPr>
      </w:pPr>
      <w:r>
        <w:rPr>
          <w:sz w:val="23"/>
          <w:szCs w:val="23"/>
        </w:rPr>
        <w:t xml:space="preserve">Таблица 1 </w:t>
      </w:r>
    </w:p>
    <w:p w:rsidR="00092DD8" w:rsidRDefault="00092DD8">
      <w:pPr>
        <w:pStyle w:val="afe"/>
        <w:ind w:firstLine="0"/>
        <w:jc w:val="center"/>
        <w:rPr>
          <w:sz w:val="23"/>
          <w:szCs w:val="23"/>
        </w:rPr>
      </w:pPr>
      <w:r>
        <w:rPr>
          <w:sz w:val="23"/>
          <w:szCs w:val="23"/>
        </w:rPr>
        <w:t>ЭВОЛЮЦИЯ МИРОВОЙ ВАЛЮТНОЙ СИСТЕМЫ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39"/>
        <w:gridCol w:w="1439"/>
        <w:gridCol w:w="1439"/>
        <w:gridCol w:w="1440"/>
        <w:gridCol w:w="2410"/>
      </w:tblGrid>
      <w:tr w:rsidR="00092DD8">
        <w:tc>
          <w:tcPr>
            <w:tcW w:w="1439" w:type="dxa"/>
            <w:vAlign w:val="center"/>
          </w:tcPr>
          <w:p w:rsidR="00092DD8" w:rsidRDefault="00092DD8">
            <w:pPr>
              <w:pStyle w:val="afe"/>
              <w:ind w:firstLine="0"/>
              <w:jc w:val="center"/>
              <w:rPr>
                <w:sz w:val="23"/>
                <w:szCs w:val="23"/>
              </w:rPr>
            </w:pPr>
            <w:r>
              <w:rPr>
                <w:sz w:val="23"/>
                <w:szCs w:val="23"/>
              </w:rPr>
              <w:t>Критерии</w:t>
            </w:r>
          </w:p>
        </w:tc>
        <w:tc>
          <w:tcPr>
            <w:tcW w:w="1439" w:type="dxa"/>
            <w:vAlign w:val="center"/>
          </w:tcPr>
          <w:p w:rsidR="00092DD8" w:rsidRDefault="00092DD8">
            <w:pPr>
              <w:pStyle w:val="afe"/>
              <w:ind w:firstLine="0"/>
              <w:jc w:val="center"/>
              <w:rPr>
                <w:sz w:val="23"/>
                <w:szCs w:val="23"/>
              </w:rPr>
            </w:pPr>
            <w:r>
              <w:rPr>
                <w:sz w:val="23"/>
                <w:szCs w:val="23"/>
              </w:rPr>
              <w:t>Парижская валютная система с 1867 г.</w:t>
            </w:r>
          </w:p>
        </w:tc>
        <w:tc>
          <w:tcPr>
            <w:tcW w:w="1439" w:type="dxa"/>
            <w:vAlign w:val="center"/>
          </w:tcPr>
          <w:p w:rsidR="00092DD8" w:rsidRDefault="00092DD8">
            <w:pPr>
              <w:pStyle w:val="afe"/>
              <w:ind w:firstLine="0"/>
              <w:jc w:val="center"/>
              <w:rPr>
                <w:sz w:val="23"/>
                <w:szCs w:val="23"/>
              </w:rPr>
            </w:pPr>
            <w:r>
              <w:rPr>
                <w:sz w:val="23"/>
                <w:szCs w:val="23"/>
              </w:rPr>
              <w:t>Генуэзская валютная система с 1922 г.</w:t>
            </w:r>
          </w:p>
        </w:tc>
        <w:tc>
          <w:tcPr>
            <w:tcW w:w="1439" w:type="dxa"/>
            <w:vAlign w:val="center"/>
          </w:tcPr>
          <w:p w:rsidR="00092DD8" w:rsidRDefault="00092DD8">
            <w:pPr>
              <w:pStyle w:val="afe"/>
              <w:ind w:firstLine="0"/>
              <w:jc w:val="center"/>
              <w:rPr>
                <w:sz w:val="23"/>
                <w:szCs w:val="23"/>
              </w:rPr>
            </w:pPr>
            <w:r>
              <w:rPr>
                <w:sz w:val="23"/>
                <w:szCs w:val="23"/>
              </w:rPr>
              <w:t>Бреттонвудская валютная система с 1944 г.</w:t>
            </w:r>
          </w:p>
        </w:tc>
        <w:tc>
          <w:tcPr>
            <w:tcW w:w="1440" w:type="dxa"/>
            <w:vAlign w:val="center"/>
          </w:tcPr>
          <w:p w:rsidR="00092DD8" w:rsidRDefault="00092DD8">
            <w:pPr>
              <w:pStyle w:val="afe"/>
              <w:ind w:left="-107" w:right="-56" w:firstLine="0"/>
              <w:jc w:val="center"/>
              <w:rPr>
                <w:sz w:val="23"/>
                <w:szCs w:val="23"/>
              </w:rPr>
            </w:pPr>
            <w:r>
              <w:rPr>
                <w:sz w:val="23"/>
                <w:szCs w:val="23"/>
              </w:rPr>
              <w:t>Ямайская валютная система с 1976-1978 гг.</w:t>
            </w:r>
          </w:p>
        </w:tc>
        <w:tc>
          <w:tcPr>
            <w:tcW w:w="2410" w:type="dxa"/>
            <w:vAlign w:val="center"/>
          </w:tcPr>
          <w:p w:rsidR="00092DD8" w:rsidRDefault="00092DD8">
            <w:pPr>
              <w:pStyle w:val="afe"/>
              <w:ind w:firstLine="0"/>
              <w:jc w:val="center"/>
              <w:rPr>
                <w:sz w:val="23"/>
                <w:szCs w:val="23"/>
              </w:rPr>
            </w:pPr>
            <w:r>
              <w:rPr>
                <w:sz w:val="23"/>
                <w:szCs w:val="23"/>
              </w:rPr>
              <w:t>Европейская валютная система с 1979г. (региональная)</w:t>
            </w:r>
          </w:p>
        </w:tc>
      </w:tr>
      <w:tr w:rsidR="00092DD8">
        <w:tc>
          <w:tcPr>
            <w:tcW w:w="1439" w:type="dxa"/>
            <w:tcBorders>
              <w:bottom w:val="single" w:sz="4" w:space="0" w:color="auto"/>
            </w:tcBorders>
          </w:tcPr>
          <w:p w:rsidR="00092DD8" w:rsidRDefault="00092DD8" w:rsidP="00092DD8">
            <w:pPr>
              <w:pStyle w:val="afe"/>
              <w:numPr>
                <w:ilvl w:val="0"/>
                <w:numId w:val="11"/>
              </w:numPr>
              <w:rPr>
                <w:sz w:val="23"/>
                <w:szCs w:val="23"/>
              </w:rPr>
            </w:pPr>
            <w:r>
              <w:rPr>
                <w:sz w:val="23"/>
                <w:szCs w:val="23"/>
              </w:rPr>
              <w:t>База</w:t>
            </w:r>
          </w:p>
        </w:tc>
        <w:tc>
          <w:tcPr>
            <w:tcW w:w="1439" w:type="dxa"/>
            <w:tcBorders>
              <w:bottom w:val="single" w:sz="4" w:space="0" w:color="auto"/>
            </w:tcBorders>
          </w:tcPr>
          <w:p w:rsidR="00092DD8" w:rsidRDefault="00092DD8">
            <w:pPr>
              <w:pStyle w:val="afe"/>
              <w:ind w:firstLine="0"/>
              <w:rPr>
                <w:sz w:val="23"/>
                <w:szCs w:val="23"/>
              </w:rPr>
            </w:pPr>
            <w:r>
              <w:rPr>
                <w:sz w:val="23"/>
                <w:szCs w:val="23"/>
              </w:rPr>
              <w:t>Золотомонетный стандарт</w:t>
            </w:r>
          </w:p>
        </w:tc>
        <w:tc>
          <w:tcPr>
            <w:tcW w:w="1439" w:type="dxa"/>
            <w:tcBorders>
              <w:bottom w:val="single" w:sz="4" w:space="0" w:color="auto"/>
            </w:tcBorders>
          </w:tcPr>
          <w:p w:rsidR="00092DD8" w:rsidRDefault="00092DD8">
            <w:pPr>
              <w:pStyle w:val="afe"/>
              <w:ind w:firstLine="0"/>
              <w:rPr>
                <w:sz w:val="23"/>
                <w:szCs w:val="23"/>
              </w:rPr>
            </w:pPr>
            <w:r>
              <w:rPr>
                <w:sz w:val="23"/>
                <w:szCs w:val="23"/>
              </w:rPr>
              <w:t>Золотодевизный стандарт</w:t>
            </w:r>
          </w:p>
        </w:tc>
        <w:tc>
          <w:tcPr>
            <w:tcW w:w="1439" w:type="dxa"/>
            <w:tcBorders>
              <w:bottom w:val="single" w:sz="4" w:space="0" w:color="auto"/>
            </w:tcBorders>
          </w:tcPr>
          <w:p w:rsidR="00092DD8" w:rsidRDefault="00092DD8">
            <w:pPr>
              <w:pStyle w:val="afe"/>
              <w:ind w:firstLine="0"/>
              <w:rPr>
                <w:sz w:val="23"/>
                <w:szCs w:val="23"/>
              </w:rPr>
            </w:pPr>
            <w:r>
              <w:rPr>
                <w:sz w:val="23"/>
                <w:szCs w:val="23"/>
              </w:rPr>
              <w:t>Золотодевизный стандарт</w:t>
            </w:r>
          </w:p>
        </w:tc>
        <w:tc>
          <w:tcPr>
            <w:tcW w:w="1440" w:type="dxa"/>
            <w:tcBorders>
              <w:bottom w:val="single" w:sz="4" w:space="0" w:color="auto"/>
            </w:tcBorders>
          </w:tcPr>
          <w:p w:rsidR="00092DD8" w:rsidRDefault="00092DD8">
            <w:pPr>
              <w:pStyle w:val="afe"/>
              <w:ind w:firstLine="0"/>
              <w:rPr>
                <w:sz w:val="23"/>
                <w:szCs w:val="23"/>
              </w:rPr>
            </w:pPr>
            <w:r>
              <w:rPr>
                <w:sz w:val="23"/>
                <w:szCs w:val="23"/>
              </w:rPr>
              <w:t>Стандарт СДР</w:t>
            </w:r>
          </w:p>
        </w:tc>
        <w:tc>
          <w:tcPr>
            <w:tcW w:w="2410" w:type="dxa"/>
            <w:tcBorders>
              <w:bottom w:val="single" w:sz="4" w:space="0" w:color="auto"/>
            </w:tcBorders>
          </w:tcPr>
          <w:p w:rsidR="00092DD8" w:rsidRDefault="00092DD8">
            <w:pPr>
              <w:pStyle w:val="afe"/>
              <w:ind w:firstLine="0"/>
              <w:rPr>
                <w:sz w:val="23"/>
                <w:szCs w:val="23"/>
              </w:rPr>
            </w:pPr>
            <w:r>
              <w:rPr>
                <w:sz w:val="23"/>
                <w:szCs w:val="23"/>
              </w:rPr>
              <w:t>Стандарт ЭКЮ (1979-1988гг.); евро (с 1999г.)</w:t>
            </w:r>
          </w:p>
        </w:tc>
      </w:tr>
      <w:tr w:rsidR="00092DD8">
        <w:trPr>
          <w:cantSplit/>
        </w:trPr>
        <w:tc>
          <w:tcPr>
            <w:tcW w:w="1439" w:type="dxa"/>
            <w:tcBorders>
              <w:bottom w:val="nil"/>
              <w:right w:val="single" w:sz="4" w:space="0" w:color="auto"/>
            </w:tcBorders>
          </w:tcPr>
          <w:p w:rsidR="00092DD8" w:rsidRDefault="00092DD8" w:rsidP="00092DD8">
            <w:pPr>
              <w:pStyle w:val="afe"/>
              <w:numPr>
                <w:ilvl w:val="0"/>
                <w:numId w:val="11"/>
              </w:numPr>
              <w:tabs>
                <w:tab w:val="clear" w:pos="360"/>
                <w:tab w:val="num" w:pos="284"/>
              </w:tabs>
              <w:ind w:left="0" w:firstLine="0"/>
              <w:jc w:val="left"/>
              <w:rPr>
                <w:sz w:val="23"/>
                <w:szCs w:val="23"/>
              </w:rPr>
            </w:pPr>
            <w:r>
              <w:rPr>
                <w:sz w:val="23"/>
                <w:szCs w:val="23"/>
              </w:rPr>
              <w:t>Использование золота как мировых денег</w:t>
            </w:r>
          </w:p>
        </w:tc>
        <w:tc>
          <w:tcPr>
            <w:tcW w:w="4317" w:type="dxa"/>
            <w:gridSpan w:val="3"/>
            <w:tcBorders>
              <w:left w:val="single" w:sz="4" w:space="0" w:color="auto"/>
              <w:bottom w:val="nil"/>
              <w:right w:val="single" w:sz="4" w:space="0" w:color="auto"/>
            </w:tcBorders>
            <w:vAlign w:val="center"/>
          </w:tcPr>
          <w:p w:rsidR="00092DD8" w:rsidRDefault="00092DD8">
            <w:pPr>
              <w:pStyle w:val="afe"/>
              <w:ind w:firstLine="0"/>
              <w:jc w:val="center"/>
              <w:rPr>
                <w:sz w:val="23"/>
                <w:szCs w:val="23"/>
              </w:rPr>
            </w:pPr>
            <w:r>
              <w:rPr>
                <w:sz w:val="23"/>
                <w:szCs w:val="23"/>
              </w:rPr>
              <w:t>Золотые паритеты</w:t>
            </w:r>
          </w:p>
          <w:p w:rsidR="00092DD8" w:rsidRDefault="00092DD8">
            <w:pPr>
              <w:pStyle w:val="afe"/>
              <w:ind w:left="-163" w:right="-130" w:firstLine="0"/>
              <w:jc w:val="center"/>
              <w:rPr>
                <w:sz w:val="23"/>
                <w:szCs w:val="23"/>
              </w:rPr>
            </w:pPr>
            <w:r>
              <w:rPr>
                <w:sz w:val="23"/>
                <w:szCs w:val="23"/>
              </w:rPr>
              <w:t>Золото как резервно-платежное средство Конвертируемость валют в золото</w:t>
            </w:r>
          </w:p>
        </w:tc>
        <w:tc>
          <w:tcPr>
            <w:tcW w:w="1440" w:type="dxa"/>
            <w:tcBorders>
              <w:left w:val="single" w:sz="4" w:space="0" w:color="auto"/>
              <w:bottom w:val="nil"/>
              <w:right w:val="single" w:sz="4" w:space="0" w:color="auto"/>
            </w:tcBorders>
          </w:tcPr>
          <w:p w:rsidR="00092DD8" w:rsidRDefault="00092DD8">
            <w:pPr>
              <w:pStyle w:val="afe"/>
              <w:ind w:firstLine="0"/>
              <w:jc w:val="center"/>
              <w:rPr>
                <w:sz w:val="23"/>
                <w:szCs w:val="23"/>
              </w:rPr>
            </w:pPr>
            <w:r>
              <w:rPr>
                <w:sz w:val="23"/>
                <w:szCs w:val="23"/>
              </w:rPr>
              <w:t>Официальная демонетизация золота</w:t>
            </w:r>
          </w:p>
        </w:tc>
        <w:tc>
          <w:tcPr>
            <w:tcW w:w="2410" w:type="dxa"/>
            <w:tcBorders>
              <w:left w:val="single" w:sz="4" w:space="0" w:color="auto"/>
              <w:bottom w:val="nil"/>
            </w:tcBorders>
          </w:tcPr>
          <w:p w:rsidR="00092DD8" w:rsidRDefault="00092DD8">
            <w:pPr>
              <w:pStyle w:val="afe"/>
              <w:ind w:firstLine="0"/>
              <w:jc w:val="center"/>
              <w:rPr>
                <w:sz w:val="23"/>
                <w:szCs w:val="23"/>
              </w:rPr>
            </w:pPr>
            <w:r>
              <w:rPr>
                <w:sz w:val="23"/>
                <w:szCs w:val="23"/>
              </w:rPr>
              <w:t>Объединение 20% официальных золотодолларовых резервов</w:t>
            </w:r>
          </w:p>
        </w:tc>
      </w:tr>
      <w:tr w:rsidR="00092DD8">
        <w:tc>
          <w:tcPr>
            <w:tcW w:w="1439" w:type="dxa"/>
            <w:tcBorders>
              <w:top w:val="nil"/>
              <w:right w:val="single" w:sz="4" w:space="0" w:color="auto"/>
            </w:tcBorders>
          </w:tcPr>
          <w:p w:rsidR="00092DD8" w:rsidRDefault="00092DD8">
            <w:pPr>
              <w:pStyle w:val="afe"/>
              <w:ind w:firstLine="0"/>
              <w:jc w:val="left"/>
              <w:rPr>
                <w:sz w:val="23"/>
                <w:szCs w:val="23"/>
              </w:rPr>
            </w:pPr>
          </w:p>
        </w:tc>
        <w:tc>
          <w:tcPr>
            <w:tcW w:w="1439" w:type="dxa"/>
            <w:tcBorders>
              <w:top w:val="nil"/>
              <w:left w:val="single" w:sz="4" w:space="0" w:color="auto"/>
              <w:right w:val="nil"/>
            </w:tcBorders>
          </w:tcPr>
          <w:p w:rsidR="00092DD8" w:rsidRDefault="00092DD8">
            <w:pPr>
              <w:pStyle w:val="afe"/>
              <w:ind w:firstLine="0"/>
              <w:rPr>
                <w:sz w:val="23"/>
                <w:szCs w:val="23"/>
              </w:rPr>
            </w:pPr>
          </w:p>
        </w:tc>
        <w:tc>
          <w:tcPr>
            <w:tcW w:w="1439" w:type="dxa"/>
            <w:tcBorders>
              <w:top w:val="nil"/>
              <w:left w:val="nil"/>
              <w:right w:val="nil"/>
            </w:tcBorders>
          </w:tcPr>
          <w:p w:rsidR="00092DD8" w:rsidRDefault="00092DD8">
            <w:pPr>
              <w:pStyle w:val="afe"/>
              <w:ind w:firstLine="0"/>
              <w:rPr>
                <w:sz w:val="23"/>
                <w:szCs w:val="23"/>
              </w:rPr>
            </w:pPr>
          </w:p>
        </w:tc>
        <w:tc>
          <w:tcPr>
            <w:tcW w:w="1439" w:type="dxa"/>
            <w:tcBorders>
              <w:top w:val="nil"/>
              <w:left w:val="nil"/>
              <w:right w:val="single" w:sz="4" w:space="0" w:color="auto"/>
            </w:tcBorders>
          </w:tcPr>
          <w:p w:rsidR="00092DD8" w:rsidRDefault="00092DD8">
            <w:pPr>
              <w:pStyle w:val="afe"/>
              <w:ind w:firstLine="0"/>
              <w:jc w:val="center"/>
              <w:rPr>
                <w:sz w:val="23"/>
                <w:szCs w:val="23"/>
              </w:rPr>
            </w:pPr>
            <w:r>
              <w:rPr>
                <w:sz w:val="23"/>
                <w:szCs w:val="23"/>
              </w:rPr>
              <w:t>Конвертируемость доллара США в золото по официальной цене</w:t>
            </w:r>
          </w:p>
        </w:tc>
        <w:tc>
          <w:tcPr>
            <w:tcW w:w="1440" w:type="dxa"/>
            <w:tcBorders>
              <w:top w:val="nil"/>
              <w:left w:val="single" w:sz="4" w:space="0" w:color="auto"/>
              <w:right w:val="single" w:sz="4" w:space="0" w:color="auto"/>
            </w:tcBorders>
          </w:tcPr>
          <w:p w:rsidR="00092DD8" w:rsidRDefault="00092DD8">
            <w:pPr>
              <w:pStyle w:val="afe"/>
              <w:ind w:firstLine="0"/>
              <w:rPr>
                <w:sz w:val="23"/>
                <w:szCs w:val="23"/>
              </w:rPr>
            </w:pPr>
          </w:p>
        </w:tc>
        <w:tc>
          <w:tcPr>
            <w:tcW w:w="2410" w:type="dxa"/>
            <w:tcBorders>
              <w:top w:val="nil"/>
              <w:left w:val="single" w:sz="4" w:space="0" w:color="auto"/>
            </w:tcBorders>
          </w:tcPr>
          <w:p w:rsidR="00092DD8" w:rsidRDefault="00092DD8">
            <w:pPr>
              <w:pStyle w:val="afe"/>
              <w:ind w:firstLine="0"/>
              <w:jc w:val="center"/>
              <w:rPr>
                <w:sz w:val="23"/>
                <w:szCs w:val="23"/>
              </w:rPr>
            </w:pPr>
            <w:r>
              <w:rPr>
                <w:sz w:val="23"/>
                <w:szCs w:val="23"/>
              </w:rPr>
              <w:t>Использование золота для частичного обеспечения эмиссии ЭКЮ, переоценка золотых резервов по рыночной цене</w:t>
            </w:r>
          </w:p>
        </w:tc>
      </w:tr>
      <w:tr w:rsidR="00092DD8">
        <w:tc>
          <w:tcPr>
            <w:tcW w:w="1439" w:type="dxa"/>
          </w:tcPr>
          <w:p w:rsidR="00092DD8" w:rsidRDefault="00092DD8" w:rsidP="00092DD8">
            <w:pPr>
              <w:pStyle w:val="afe"/>
              <w:numPr>
                <w:ilvl w:val="0"/>
                <w:numId w:val="11"/>
              </w:numPr>
              <w:tabs>
                <w:tab w:val="clear" w:pos="360"/>
                <w:tab w:val="num" w:pos="284"/>
              </w:tabs>
              <w:ind w:left="0" w:firstLine="0"/>
              <w:jc w:val="left"/>
              <w:rPr>
                <w:sz w:val="23"/>
                <w:szCs w:val="23"/>
              </w:rPr>
            </w:pPr>
            <w:r>
              <w:rPr>
                <w:sz w:val="23"/>
                <w:szCs w:val="23"/>
              </w:rPr>
              <w:t>Режим валютного курса</w:t>
            </w:r>
          </w:p>
        </w:tc>
        <w:tc>
          <w:tcPr>
            <w:tcW w:w="1439" w:type="dxa"/>
          </w:tcPr>
          <w:p w:rsidR="00092DD8" w:rsidRDefault="00092DD8">
            <w:pPr>
              <w:pStyle w:val="afe"/>
              <w:ind w:firstLine="0"/>
              <w:jc w:val="center"/>
              <w:rPr>
                <w:sz w:val="23"/>
                <w:szCs w:val="23"/>
              </w:rPr>
            </w:pPr>
            <w:r>
              <w:rPr>
                <w:sz w:val="23"/>
                <w:szCs w:val="23"/>
              </w:rPr>
              <w:t>Свободно колеблющиеся курсы в пределах золотых точек</w:t>
            </w:r>
          </w:p>
        </w:tc>
        <w:tc>
          <w:tcPr>
            <w:tcW w:w="1439" w:type="dxa"/>
          </w:tcPr>
          <w:p w:rsidR="00092DD8" w:rsidRDefault="00092DD8">
            <w:pPr>
              <w:pStyle w:val="afe"/>
              <w:ind w:firstLine="0"/>
              <w:jc w:val="center"/>
              <w:rPr>
                <w:sz w:val="23"/>
                <w:szCs w:val="23"/>
              </w:rPr>
            </w:pPr>
            <w:r>
              <w:rPr>
                <w:sz w:val="23"/>
                <w:szCs w:val="23"/>
              </w:rPr>
              <w:t>Свободно колеблющиеся курсы без золотых точек (с 30-х годов)</w:t>
            </w:r>
          </w:p>
        </w:tc>
        <w:tc>
          <w:tcPr>
            <w:tcW w:w="1439" w:type="dxa"/>
          </w:tcPr>
          <w:p w:rsidR="00092DD8" w:rsidRDefault="00092DD8">
            <w:pPr>
              <w:pStyle w:val="afe"/>
              <w:ind w:left="-64" w:firstLine="0"/>
              <w:jc w:val="center"/>
              <w:rPr>
                <w:sz w:val="23"/>
                <w:szCs w:val="23"/>
              </w:rPr>
            </w:pPr>
            <w:r>
              <w:rPr>
                <w:sz w:val="23"/>
                <w:szCs w:val="23"/>
              </w:rPr>
              <w:t>Фиксированные паритеты и курсы (</w:t>
            </w:r>
            <w:r>
              <w:rPr>
                <w:sz w:val="23"/>
                <w:szCs w:val="23"/>
              </w:rPr>
              <w:sym w:font="Symbol" w:char="F0B1"/>
            </w:r>
            <w:r>
              <w:rPr>
                <w:sz w:val="23"/>
                <w:szCs w:val="23"/>
              </w:rPr>
              <w:t xml:space="preserve">075; </w:t>
            </w:r>
            <w:r>
              <w:rPr>
                <w:sz w:val="23"/>
                <w:szCs w:val="23"/>
              </w:rPr>
              <w:sym w:font="Symbol" w:char="F0B1"/>
            </w:r>
            <w:r>
              <w:rPr>
                <w:sz w:val="23"/>
                <w:szCs w:val="23"/>
              </w:rPr>
              <w:t>1%)</w:t>
            </w:r>
          </w:p>
        </w:tc>
        <w:tc>
          <w:tcPr>
            <w:tcW w:w="1440" w:type="dxa"/>
          </w:tcPr>
          <w:p w:rsidR="00092DD8" w:rsidRDefault="00092DD8">
            <w:pPr>
              <w:pStyle w:val="afe"/>
              <w:ind w:firstLine="0"/>
              <w:jc w:val="center"/>
              <w:rPr>
                <w:sz w:val="23"/>
                <w:szCs w:val="23"/>
              </w:rPr>
            </w:pPr>
            <w:r>
              <w:rPr>
                <w:sz w:val="23"/>
                <w:szCs w:val="23"/>
              </w:rPr>
              <w:t>Свободный выбор режима валютного курса</w:t>
            </w:r>
          </w:p>
        </w:tc>
        <w:tc>
          <w:tcPr>
            <w:tcW w:w="2410" w:type="dxa"/>
          </w:tcPr>
          <w:p w:rsidR="00092DD8" w:rsidRDefault="00092DD8">
            <w:pPr>
              <w:pStyle w:val="afe"/>
              <w:ind w:left="-108" w:right="-108" w:firstLine="0"/>
              <w:jc w:val="center"/>
              <w:rPr>
                <w:sz w:val="23"/>
                <w:szCs w:val="23"/>
              </w:rPr>
            </w:pPr>
            <w:r>
              <w:rPr>
                <w:sz w:val="23"/>
                <w:szCs w:val="23"/>
              </w:rPr>
              <w:t xml:space="preserve">Совместно плавающий валютный курс в пределах </w:t>
            </w:r>
            <w:r>
              <w:rPr>
                <w:sz w:val="23"/>
                <w:szCs w:val="23"/>
              </w:rPr>
              <w:sym w:font="Symbol" w:char="F0B1"/>
            </w:r>
            <w:r>
              <w:rPr>
                <w:sz w:val="23"/>
                <w:szCs w:val="23"/>
              </w:rPr>
              <w:t xml:space="preserve">2,25, </w:t>
            </w:r>
            <w:r>
              <w:rPr>
                <w:sz w:val="23"/>
                <w:szCs w:val="23"/>
              </w:rPr>
              <w:sym w:font="Symbol" w:char="F0B1"/>
            </w:r>
            <w:r>
              <w:rPr>
                <w:sz w:val="23"/>
                <w:szCs w:val="23"/>
              </w:rPr>
              <w:t>15% с августа 1993г. («европейская валютная змея»), с 1999г. только для 4 стран, не присоединившихся к зоне евро</w:t>
            </w:r>
          </w:p>
        </w:tc>
      </w:tr>
      <w:tr w:rsidR="00092DD8">
        <w:tc>
          <w:tcPr>
            <w:tcW w:w="1439" w:type="dxa"/>
          </w:tcPr>
          <w:p w:rsidR="00092DD8" w:rsidRDefault="00092DD8" w:rsidP="00092DD8">
            <w:pPr>
              <w:pStyle w:val="afe"/>
              <w:numPr>
                <w:ilvl w:val="0"/>
                <w:numId w:val="11"/>
              </w:numPr>
              <w:tabs>
                <w:tab w:val="clear" w:pos="360"/>
                <w:tab w:val="num" w:pos="284"/>
              </w:tabs>
              <w:ind w:left="0" w:firstLine="0"/>
              <w:jc w:val="left"/>
              <w:rPr>
                <w:sz w:val="23"/>
                <w:szCs w:val="23"/>
              </w:rPr>
            </w:pPr>
            <w:r>
              <w:rPr>
                <w:sz w:val="23"/>
                <w:szCs w:val="23"/>
              </w:rPr>
              <w:t>Институциональная структура</w:t>
            </w:r>
          </w:p>
        </w:tc>
        <w:tc>
          <w:tcPr>
            <w:tcW w:w="1439" w:type="dxa"/>
          </w:tcPr>
          <w:p w:rsidR="00092DD8" w:rsidRDefault="00092DD8">
            <w:pPr>
              <w:pStyle w:val="afe"/>
              <w:ind w:firstLine="0"/>
              <w:jc w:val="center"/>
              <w:rPr>
                <w:sz w:val="23"/>
                <w:szCs w:val="23"/>
              </w:rPr>
            </w:pPr>
            <w:r>
              <w:rPr>
                <w:sz w:val="23"/>
                <w:szCs w:val="23"/>
              </w:rPr>
              <w:t>Конференция</w:t>
            </w:r>
          </w:p>
        </w:tc>
        <w:tc>
          <w:tcPr>
            <w:tcW w:w="1439" w:type="dxa"/>
          </w:tcPr>
          <w:p w:rsidR="00092DD8" w:rsidRDefault="00092DD8">
            <w:pPr>
              <w:pStyle w:val="afe"/>
              <w:ind w:firstLine="0"/>
              <w:jc w:val="center"/>
              <w:rPr>
                <w:sz w:val="23"/>
                <w:szCs w:val="23"/>
              </w:rPr>
            </w:pPr>
            <w:r>
              <w:rPr>
                <w:sz w:val="23"/>
                <w:szCs w:val="23"/>
              </w:rPr>
              <w:t>Конференция, совещания</w:t>
            </w:r>
          </w:p>
        </w:tc>
        <w:tc>
          <w:tcPr>
            <w:tcW w:w="1439" w:type="dxa"/>
          </w:tcPr>
          <w:p w:rsidR="00092DD8" w:rsidRDefault="00092DD8">
            <w:pPr>
              <w:pStyle w:val="afe"/>
              <w:ind w:left="-64" w:firstLine="0"/>
              <w:jc w:val="center"/>
              <w:rPr>
                <w:sz w:val="23"/>
                <w:szCs w:val="23"/>
              </w:rPr>
            </w:pPr>
            <w:r>
              <w:rPr>
                <w:sz w:val="23"/>
                <w:szCs w:val="23"/>
              </w:rPr>
              <w:t>МВФ – орган межгосударственного валютного регулирования</w:t>
            </w:r>
          </w:p>
        </w:tc>
        <w:tc>
          <w:tcPr>
            <w:tcW w:w="1440" w:type="dxa"/>
          </w:tcPr>
          <w:p w:rsidR="00092DD8" w:rsidRDefault="00092DD8">
            <w:pPr>
              <w:pStyle w:val="afe"/>
              <w:ind w:firstLine="0"/>
              <w:jc w:val="center"/>
              <w:rPr>
                <w:sz w:val="23"/>
                <w:szCs w:val="23"/>
              </w:rPr>
            </w:pPr>
            <w:r>
              <w:rPr>
                <w:sz w:val="23"/>
                <w:szCs w:val="23"/>
              </w:rPr>
              <w:t>МВФ;</w:t>
            </w:r>
            <w:r>
              <w:rPr>
                <w:sz w:val="23"/>
                <w:szCs w:val="23"/>
              </w:rPr>
              <w:br/>
              <w:t xml:space="preserve"> совещания </w:t>
            </w:r>
            <w:r>
              <w:rPr>
                <w:sz w:val="23"/>
                <w:szCs w:val="23"/>
              </w:rPr>
              <w:br/>
              <w:t>«в верхах»</w:t>
            </w:r>
          </w:p>
        </w:tc>
        <w:tc>
          <w:tcPr>
            <w:tcW w:w="2410" w:type="dxa"/>
          </w:tcPr>
          <w:p w:rsidR="00092DD8" w:rsidRDefault="00092DD8">
            <w:pPr>
              <w:pStyle w:val="afe"/>
              <w:ind w:left="-108" w:right="-108" w:firstLine="0"/>
              <w:jc w:val="left"/>
              <w:rPr>
                <w:sz w:val="23"/>
                <w:szCs w:val="23"/>
              </w:rPr>
            </w:pPr>
            <w:r>
              <w:rPr>
                <w:sz w:val="23"/>
                <w:szCs w:val="23"/>
              </w:rPr>
              <w:t>Европейский фонд валютного сотрудничества (1979-1993 гг.);</w:t>
            </w:r>
            <w:r>
              <w:rPr>
                <w:sz w:val="23"/>
                <w:szCs w:val="23"/>
              </w:rPr>
              <w:br/>
              <w:t>Европейский валютный институт (1994-1998 гг.);</w:t>
            </w:r>
            <w:r>
              <w:rPr>
                <w:sz w:val="23"/>
                <w:szCs w:val="23"/>
              </w:rPr>
              <w:br/>
              <w:t>Европейский центральный банк (с 1 июля 1998г.)</w:t>
            </w:r>
          </w:p>
        </w:tc>
      </w:tr>
    </w:tbl>
    <w:p w:rsidR="00092DD8" w:rsidRDefault="00092DD8">
      <w:pPr>
        <w:pStyle w:val="afe"/>
        <w:rPr>
          <w:sz w:val="23"/>
          <w:szCs w:val="23"/>
        </w:rPr>
      </w:pPr>
    </w:p>
    <w:p w:rsidR="00092DD8" w:rsidRDefault="00092DD8">
      <w:pPr>
        <w:pStyle w:val="afe"/>
        <w:rPr>
          <w:sz w:val="23"/>
          <w:szCs w:val="23"/>
        </w:rPr>
      </w:pPr>
      <w:r>
        <w:rPr>
          <w:sz w:val="23"/>
          <w:szCs w:val="23"/>
        </w:rPr>
        <w:t>Эволюция мировой валютной системы определяется развитием и потребностями национальной и мировой экономики, изменениями в расстановке сил в мире.</w:t>
      </w:r>
    </w:p>
    <w:p w:rsidR="00092DD8" w:rsidRDefault="00092DD8">
      <w:pPr>
        <w:pStyle w:val="afe"/>
        <w:rPr>
          <w:sz w:val="23"/>
          <w:szCs w:val="23"/>
        </w:rPr>
      </w:pPr>
    </w:p>
    <w:p w:rsidR="00092DD8" w:rsidRDefault="00092DD8">
      <w:pPr>
        <w:pStyle w:val="afe"/>
        <w:rPr>
          <w:sz w:val="23"/>
          <w:szCs w:val="23"/>
        </w:rPr>
      </w:pPr>
    </w:p>
    <w:p w:rsidR="00092DD8" w:rsidRDefault="00092DD8">
      <w:pPr>
        <w:pStyle w:val="1"/>
        <w:rPr>
          <w:color w:val="808080"/>
          <w:sz w:val="27"/>
          <w:szCs w:val="27"/>
        </w:rPr>
      </w:pPr>
      <w:r>
        <w:rPr>
          <w:color w:val="808080"/>
          <w:sz w:val="27"/>
          <w:szCs w:val="27"/>
        </w:rPr>
        <w:t>2. ФОРМЫ МЕЖДУНАРОДНЫХ РАСЧЕТОВ</w:t>
      </w:r>
    </w:p>
    <w:p w:rsidR="00092DD8" w:rsidRDefault="00092DD8">
      <w:pPr>
        <w:pStyle w:val="afe"/>
        <w:rPr>
          <w:sz w:val="23"/>
          <w:szCs w:val="23"/>
        </w:rPr>
      </w:pPr>
      <w:r>
        <w:rPr>
          <w:sz w:val="23"/>
          <w:szCs w:val="23"/>
        </w:rPr>
        <w:t>В соответствии со сложившейся практикой в настоящее время применяются следующие основные формы международных расчетов: документарный аккредитив, инкассо, банковский перевод, открытый счет, аванс. Кроме того, осуществляются расчеты с использованием векселей и чеков. С международными расчетами тесно связаны гарантийные операции банков по отдельным формам расчетов (например, инкассо, аванс, открытый счет), они служат дополнительным обеспечением выполнения внешнеторговыми партнерами обязательств, взятых на себя по контракту. Исторически сложились следующие особенности международных расчетов.</w:t>
      </w:r>
    </w:p>
    <w:p w:rsidR="00092DD8" w:rsidRDefault="00092DD8">
      <w:pPr>
        <w:pStyle w:val="afe"/>
        <w:rPr>
          <w:sz w:val="23"/>
          <w:szCs w:val="23"/>
        </w:rPr>
      </w:pPr>
      <w:r>
        <w:rPr>
          <w:sz w:val="23"/>
          <w:szCs w:val="23"/>
        </w:rPr>
        <w:t>1. Импортеры и экспортеры, их банки вступают в определенные обособленные от внешнеторгового контракта отношения, связанные с оформлением, пересылкой, обработкой товарораспорядительных и платежных документов, осуществлением платежей. Объем обязательств и распределение ответственности между ними зависят от конкретной формы расчетов.</w:t>
      </w:r>
    </w:p>
    <w:p w:rsidR="00092DD8" w:rsidRDefault="00092DD8">
      <w:pPr>
        <w:pStyle w:val="afe"/>
        <w:rPr>
          <w:sz w:val="23"/>
          <w:szCs w:val="23"/>
        </w:rPr>
      </w:pPr>
      <w:r>
        <w:rPr>
          <w:sz w:val="23"/>
          <w:szCs w:val="23"/>
        </w:rPr>
        <w:t>2. Международные расчеты регулируются нормативными национальными законодательными актами, а также международными банковскими правилами и обычаями. В США единообразный торговый кодекс содержит нормы относительно расчетов, в том числе международных.</w:t>
      </w:r>
    </w:p>
    <w:p w:rsidR="00092DD8" w:rsidRDefault="00092DD8">
      <w:pPr>
        <w:pStyle w:val="afe"/>
        <w:rPr>
          <w:sz w:val="23"/>
          <w:szCs w:val="23"/>
        </w:rPr>
      </w:pPr>
      <w:r>
        <w:rPr>
          <w:sz w:val="23"/>
          <w:szCs w:val="23"/>
        </w:rPr>
        <w:t xml:space="preserve">3. Международные расчеты — объект унификации, что обусловлено интернационализацией хозяйственных связей, универсализацией банковских операций. На конференциях в Женеве в 1930 и 1931 гг. приняты международные Вексельная и Чековая конвенции, направленные на унификацию вексельных и чековых законов и устранение сложностей использования векселей и чеков в международных расчетах. Единообразный вексельный закон служит базой национального законодательства в большинстве стран. Комиссия по праву международной торговли ООН (ЮНСИТРАЛ) осуществляет дальнейшую унификацию вексельного законодательства. Международная торговая палата, созданная в Париже в начале </w:t>
      </w:r>
      <w:r>
        <w:rPr>
          <w:sz w:val="23"/>
          <w:szCs w:val="23"/>
          <w:lang w:val="en-US"/>
        </w:rPr>
        <w:t>XX</w:t>
      </w:r>
      <w:r>
        <w:rPr>
          <w:sz w:val="23"/>
          <w:szCs w:val="23"/>
        </w:rPr>
        <w:t xml:space="preserve"> в., разрабатывает и издает Унифицированные правила и обычаи для документарных аккредитивов, по инкассо. Например, первые правила по инкассо были разработаны в 1936 г., затем переработаны в 1967, 1978, 1995 гг. (вступили в силу с января 1996 г.). Большинство банков мира объявили о своем присоединении к Унифицированным правилам по аккредитивам и инкассо. Международная торговая палата разработала Правила но контрактным гарантиям, ведет работу по подготовке правил по платежным гарантиям.</w:t>
      </w:r>
    </w:p>
    <w:p w:rsidR="00092DD8" w:rsidRDefault="00092DD8">
      <w:pPr>
        <w:pStyle w:val="afe"/>
        <w:rPr>
          <w:sz w:val="23"/>
          <w:szCs w:val="23"/>
        </w:rPr>
      </w:pPr>
      <w:r>
        <w:rPr>
          <w:sz w:val="23"/>
          <w:szCs w:val="23"/>
        </w:rPr>
        <w:t>4. Международные расчеты имеют, как правило, документарный характер, т.е. осуществляются против финансовых и коммерческих документов. К финансовым документам относятся простые и переводные векселя, чеки, платежные расписки. Коммерческие документы включают: а) счета-фактуры; б) документы, подтверждающие отгрузку или отправку товаров, или принятие к погрузке (коносаменты, железнодорожные, автомобильные и авиационные накладные, почтовые квитанции, комбинированные транспортные документы на смешанные перевозки); в) страховые документы страховых компаний морских страховщиков или их агентов, поскольку экспортные грузы обычно страхуются; г) другие документы — сертификаты, удостоверяющие происхождение, вес, качество или анализ товаров, а также пересечение ими границы, таможенные и консульские счета-фактуры для уведомления таможенных служб страны импортера о назначении груза в целях предотвращения мошенничества и т.д. Банк проверяет содержание и комплектность этих документов. Вместе с тем рядом организаций (в частности Международной торговой палатой, Париж, СВИФТ и др.) разрабатывается концепция электронной «безбумажной» торговли, включающая понятия электронных контрактов, электронных финансовых инструментов и расчетов (в том числе аккредитивов), электронных транспортных документов.</w:t>
      </w:r>
    </w:p>
    <w:p w:rsidR="00092DD8" w:rsidRDefault="00092DD8">
      <w:pPr>
        <w:pStyle w:val="afe"/>
        <w:rPr>
          <w:sz w:val="23"/>
          <w:szCs w:val="23"/>
        </w:rPr>
      </w:pPr>
      <w:r>
        <w:rPr>
          <w:sz w:val="23"/>
          <w:szCs w:val="23"/>
        </w:rPr>
        <w:t>5. Международные платежи осуществляются в различных валютах. Поэтому они тесно связаны с валютными операциями, куплей-продажей валют. На эффективность их проведения влияет динамика валютных курсов.</w:t>
      </w:r>
    </w:p>
    <w:p w:rsidR="00092DD8" w:rsidRDefault="00092DD8">
      <w:pPr>
        <w:pStyle w:val="afe"/>
        <w:rPr>
          <w:sz w:val="23"/>
          <w:szCs w:val="23"/>
        </w:rPr>
      </w:pPr>
      <w:r>
        <w:rPr>
          <w:sz w:val="23"/>
          <w:szCs w:val="23"/>
        </w:rPr>
        <w:t>6. Применяются унифицированные правила гарантий (</w:t>
      </w:r>
      <w:r>
        <w:rPr>
          <w:sz w:val="23"/>
          <w:szCs w:val="23"/>
          <w:lang w:val="en-US"/>
        </w:rPr>
        <w:t>demand</w:t>
      </w:r>
      <w:r>
        <w:rPr>
          <w:sz w:val="23"/>
          <w:szCs w:val="23"/>
        </w:rPr>
        <w:t xml:space="preserve"> </w:t>
      </w:r>
      <w:r>
        <w:rPr>
          <w:sz w:val="23"/>
          <w:szCs w:val="23"/>
          <w:lang w:val="en-US"/>
        </w:rPr>
        <w:t>guarantees</w:t>
      </w:r>
      <w:r>
        <w:rPr>
          <w:sz w:val="23"/>
          <w:szCs w:val="23"/>
        </w:rPr>
        <w:t>), изданные Международной торговой палатой. Их текст содержит основные положения, которые необходимо включать в текст гарантии:</w:t>
      </w:r>
    </w:p>
    <w:p w:rsidR="00092DD8" w:rsidRDefault="00092DD8">
      <w:pPr>
        <w:pStyle w:val="afe"/>
        <w:rPr>
          <w:sz w:val="23"/>
          <w:szCs w:val="23"/>
        </w:rPr>
      </w:pPr>
      <w:r>
        <w:rPr>
          <w:sz w:val="23"/>
          <w:szCs w:val="23"/>
        </w:rPr>
        <w:t>1) гарантия не может быть востребована, если не выплачено вознаграждение гаранту;</w:t>
      </w:r>
    </w:p>
    <w:p w:rsidR="00092DD8" w:rsidRDefault="00092DD8">
      <w:pPr>
        <w:pStyle w:val="afe"/>
        <w:rPr>
          <w:sz w:val="23"/>
          <w:szCs w:val="23"/>
        </w:rPr>
      </w:pPr>
      <w:r>
        <w:rPr>
          <w:sz w:val="23"/>
          <w:szCs w:val="23"/>
        </w:rPr>
        <w:t>2) описание сделки;</w:t>
      </w:r>
    </w:p>
    <w:p w:rsidR="00092DD8" w:rsidRDefault="00092DD8">
      <w:pPr>
        <w:pStyle w:val="afe"/>
        <w:rPr>
          <w:sz w:val="23"/>
          <w:szCs w:val="23"/>
        </w:rPr>
      </w:pPr>
      <w:r>
        <w:rPr>
          <w:sz w:val="23"/>
          <w:szCs w:val="23"/>
        </w:rPr>
        <w:t>3) документы, необходимые для предъявления претензии (обычно проверяются банком бенефициара);</w:t>
      </w:r>
    </w:p>
    <w:p w:rsidR="00092DD8" w:rsidRDefault="00092DD8">
      <w:pPr>
        <w:pStyle w:val="afe"/>
        <w:rPr>
          <w:sz w:val="23"/>
          <w:szCs w:val="23"/>
        </w:rPr>
      </w:pPr>
      <w:r>
        <w:rPr>
          <w:sz w:val="23"/>
          <w:szCs w:val="23"/>
        </w:rPr>
        <w:t>4) указание даты истечения срока гарантии и даты представления бенефициаром документов в банк, дающий гарантию;</w:t>
      </w:r>
    </w:p>
    <w:p w:rsidR="00092DD8" w:rsidRDefault="00092DD8">
      <w:pPr>
        <w:pStyle w:val="afe"/>
        <w:rPr>
          <w:sz w:val="23"/>
          <w:szCs w:val="23"/>
        </w:rPr>
      </w:pPr>
      <w:r>
        <w:rPr>
          <w:sz w:val="23"/>
          <w:szCs w:val="23"/>
        </w:rPr>
        <w:t>5) гарантия должна быть возвращена после истечения ее срока, так как она стала недействительной.</w:t>
      </w:r>
    </w:p>
    <w:p w:rsidR="00092DD8" w:rsidRDefault="00092DD8">
      <w:pPr>
        <w:pStyle w:val="afe"/>
        <w:rPr>
          <w:sz w:val="23"/>
          <w:szCs w:val="23"/>
        </w:rPr>
      </w:pPr>
      <w:r>
        <w:rPr>
          <w:sz w:val="23"/>
          <w:szCs w:val="23"/>
        </w:rPr>
        <w:t>На выбор форм международных расчетов влияет ряд факторов:</w:t>
      </w:r>
    </w:p>
    <w:p w:rsidR="00092DD8" w:rsidRDefault="00092DD8">
      <w:pPr>
        <w:pStyle w:val="afe"/>
        <w:rPr>
          <w:sz w:val="23"/>
          <w:szCs w:val="23"/>
        </w:rPr>
      </w:pPr>
      <w:r>
        <w:rPr>
          <w:sz w:val="23"/>
          <w:szCs w:val="23"/>
        </w:rPr>
        <w:t>• вид товара, являющегося объектом внешнеторговой сделки (формы расчетов отличаются при поставках машин и оборудования или, например, продовольствия); по поставкам некоторых товаров — древесины, зерна — применяются традиционные формы, выработанные практикой;</w:t>
      </w:r>
    </w:p>
    <w:p w:rsidR="00092DD8" w:rsidRDefault="00092DD8">
      <w:pPr>
        <w:pStyle w:val="afe"/>
        <w:rPr>
          <w:sz w:val="23"/>
          <w:szCs w:val="23"/>
        </w:rPr>
      </w:pPr>
      <w:r>
        <w:rPr>
          <w:sz w:val="23"/>
          <w:szCs w:val="23"/>
        </w:rPr>
        <w:t>• наличие кредитного соглашения;</w:t>
      </w:r>
    </w:p>
    <w:p w:rsidR="00092DD8" w:rsidRDefault="00092DD8">
      <w:pPr>
        <w:pStyle w:val="afe"/>
        <w:rPr>
          <w:sz w:val="23"/>
          <w:szCs w:val="23"/>
        </w:rPr>
      </w:pPr>
      <w:r>
        <w:rPr>
          <w:sz w:val="23"/>
          <w:szCs w:val="23"/>
        </w:rPr>
        <w:t>• платежеспособность и репутация контрагентов по внешнеэкономическим сделкам, определяющие характер компромисса между ними;</w:t>
      </w:r>
    </w:p>
    <w:p w:rsidR="00092DD8" w:rsidRDefault="00092DD8">
      <w:pPr>
        <w:pStyle w:val="afe"/>
        <w:rPr>
          <w:sz w:val="23"/>
          <w:szCs w:val="23"/>
        </w:rPr>
      </w:pPr>
      <w:r>
        <w:rPr>
          <w:sz w:val="23"/>
          <w:szCs w:val="23"/>
        </w:rPr>
        <w:t>• уровень спроса и предложения на данный товар на мировых рынках.</w:t>
      </w:r>
    </w:p>
    <w:p w:rsidR="00092DD8" w:rsidRDefault="00092DD8">
      <w:pPr>
        <w:pStyle w:val="afe"/>
        <w:rPr>
          <w:sz w:val="23"/>
          <w:szCs w:val="23"/>
        </w:rPr>
      </w:pPr>
      <w:r>
        <w:rPr>
          <w:sz w:val="23"/>
          <w:szCs w:val="23"/>
        </w:rPr>
        <w:t>В контракте оговариваются условия и формы международных расчетов.</w:t>
      </w:r>
    </w:p>
    <w:p w:rsidR="00092DD8" w:rsidRDefault="00092DD8">
      <w:pPr>
        <w:pStyle w:val="afe"/>
        <w:rPr>
          <w:sz w:val="23"/>
          <w:szCs w:val="23"/>
        </w:rPr>
      </w:pPr>
      <w:r>
        <w:rPr>
          <w:b/>
          <w:bCs/>
          <w:sz w:val="23"/>
          <w:szCs w:val="23"/>
        </w:rPr>
        <w:t>Аккредитивная форма расчетов</w:t>
      </w:r>
      <w:r>
        <w:rPr>
          <w:sz w:val="23"/>
          <w:szCs w:val="23"/>
        </w:rPr>
        <w:t xml:space="preserve">. В соответствии с Унифицированными правилами и обычаями для документарных аккредитивов </w:t>
      </w:r>
      <w:r>
        <w:rPr>
          <w:rStyle w:val="af0"/>
          <w:sz w:val="23"/>
          <w:szCs w:val="23"/>
        </w:rPr>
        <w:footnoteReference w:id="1"/>
      </w:r>
      <w:r>
        <w:rPr>
          <w:sz w:val="23"/>
          <w:szCs w:val="23"/>
        </w:rPr>
        <w:t>аккредитив — это соглашение, в силу которого банк обязуется по просьбе клиента произвести оплату документов третьему лицу (бенефициару, в пользу которого открыт аккредитив) или произвести оплату, акцепт тратты, выставленной бенефициаром, или негоциацию (покупку) документов. Обязательство банка по аккредитиву является самостоятельным и не зависит от правоотношений сторон по коммерческому контракту. Это положение направлено на защиту интересов банков и их клиентов: экспортеру обеспечивает ограничение требований к оформлению документов и получению платежа только условиями аккредитива; импортеру — четкое выполнение экспортером всех условий аккредитива.</w:t>
      </w:r>
    </w:p>
    <w:p w:rsidR="00092DD8" w:rsidRDefault="00092DD8">
      <w:pPr>
        <w:pStyle w:val="afe"/>
        <w:rPr>
          <w:sz w:val="23"/>
          <w:szCs w:val="23"/>
        </w:rPr>
      </w:pPr>
      <w:r>
        <w:rPr>
          <w:sz w:val="23"/>
          <w:szCs w:val="23"/>
        </w:rPr>
        <w:t>В расчетах по документарному аккредитиву участвуют:</w:t>
      </w:r>
    </w:p>
    <w:p w:rsidR="00092DD8" w:rsidRDefault="00092DD8">
      <w:pPr>
        <w:pStyle w:val="afe"/>
        <w:rPr>
          <w:sz w:val="23"/>
          <w:szCs w:val="23"/>
        </w:rPr>
      </w:pPr>
      <w:r>
        <w:rPr>
          <w:sz w:val="23"/>
          <w:szCs w:val="23"/>
        </w:rPr>
        <w:t>• импортер (приказодатель), который обращается к банку с просьбой об открытии аккредитива;</w:t>
      </w:r>
    </w:p>
    <w:p w:rsidR="00092DD8" w:rsidRDefault="00092DD8">
      <w:pPr>
        <w:pStyle w:val="afe"/>
        <w:rPr>
          <w:sz w:val="23"/>
          <w:szCs w:val="23"/>
        </w:rPr>
      </w:pPr>
      <w:r>
        <w:rPr>
          <w:sz w:val="23"/>
          <w:szCs w:val="23"/>
        </w:rPr>
        <w:t>• банк-эмитент, открывающий аккредитив;</w:t>
      </w:r>
    </w:p>
    <w:p w:rsidR="00092DD8" w:rsidRDefault="00092DD8">
      <w:pPr>
        <w:pStyle w:val="afe"/>
        <w:rPr>
          <w:sz w:val="23"/>
          <w:szCs w:val="23"/>
        </w:rPr>
      </w:pPr>
      <w:r>
        <w:rPr>
          <w:sz w:val="23"/>
          <w:szCs w:val="23"/>
        </w:rPr>
        <w:t>• авизующий банк, которому поручается известить экспортера об открытии в его пользу аккредитива и передать ему текст аккредитива, удостоверив его подлинность;</w:t>
      </w:r>
    </w:p>
    <w:p w:rsidR="00092DD8" w:rsidRDefault="00092DD8">
      <w:pPr>
        <w:pStyle w:val="afe"/>
        <w:rPr>
          <w:sz w:val="23"/>
          <w:szCs w:val="23"/>
        </w:rPr>
      </w:pPr>
      <w:r>
        <w:rPr>
          <w:sz w:val="23"/>
          <w:szCs w:val="23"/>
        </w:rPr>
        <w:t>• бенефициар-экспортер, в пользу которого открыт аккредитив.</w:t>
      </w:r>
    </w:p>
    <w:p w:rsidR="00092DD8" w:rsidRDefault="00092DD8">
      <w:pPr>
        <w:pStyle w:val="afe"/>
        <w:ind w:firstLine="0"/>
        <w:jc w:val="center"/>
        <w:rPr>
          <w:sz w:val="23"/>
          <w:szCs w:val="23"/>
        </w:rPr>
      </w:pPr>
      <w:r>
        <w:rPr>
          <w:sz w:val="23"/>
          <w:szCs w:val="23"/>
        </w:rPr>
        <w:t>СХЕМА РАСЧЕТОВ ПО ДОКУМЕНТАРНОМУ АККРЕДИТИВУ</w:t>
      </w:r>
    </w:p>
    <w:p w:rsidR="00092DD8" w:rsidRDefault="00092DD8">
      <w:pPr>
        <w:pStyle w:val="afe"/>
        <w:rPr>
          <w:sz w:val="23"/>
          <w:szCs w:val="23"/>
        </w:rPr>
      </w:pPr>
    </w:p>
    <w:p w:rsidR="00092DD8" w:rsidRDefault="00CA0C29">
      <w:pPr>
        <w:pStyle w:val="afe"/>
        <w:rPr>
          <w:sz w:val="23"/>
          <w:szCs w:val="23"/>
        </w:rPr>
      </w:pPr>
      <w:r>
        <w:rPr>
          <w:noProof/>
          <w:sz w:val="19"/>
          <w:szCs w:val="19"/>
        </w:rPr>
        <w:pict>
          <v:shapetype id="_x0000_t202" coordsize="21600,21600" o:spt="202" path="m,l,21600r21600,l21600,xe">
            <v:stroke joinstyle="miter"/>
            <v:path gradientshapeok="t" o:connecttype="rect"/>
          </v:shapetype>
          <v:shape id="_x0000_s1028" type="#_x0000_t202" style="position:absolute;left:0;text-align:left;margin-left:270pt;margin-top:.5pt;width:120pt;height:42pt;z-index:251649536">
            <v:textbox>
              <w:txbxContent>
                <w:p w:rsidR="00092DD8" w:rsidRDefault="00092DD8">
                  <w:pPr>
                    <w:jc w:val="center"/>
                    <w:rPr>
                      <w:sz w:val="23"/>
                      <w:szCs w:val="23"/>
                    </w:rPr>
                  </w:pPr>
                  <w:r>
                    <w:rPr>
                      <w:sz w:val="23"/>
                      <w:szCs w:val="23"/>
                    </w:rPr>
                    <w:t>ИМПОРТЕР-ПРИКАЗОДАТЕЛЬ</w:t>
                  </w:r>
                </w:p>
              </w:txbxContent>
            </v:textbox>
          </v:shape>
        </w:pict>
      </w:r>
      <w:r>
        <w:rPr>
          <w:noProof/>
          <w:sz w:val="19"/>
          <w:szCs w:val="19"/>
        </w:rPr>
        <w:pict>
          <v:shape id="_x0000_s1026" type="#_x0000_t202" style="position:absolute;left:0;text-align:left;margin-left:54pt;margin-top:.5pt;width:114pt;height:42pt;z-index:251647488">
            <v:textbox>
              <w:txbxContent>
                <w:p w:rsidR="00092DD8" w:rsidRDefault="00092DD8">
                  <w:pPr>
                    <w:jc w:val="center"/>
                    <w:rPr>
                      <w:sz w:val="23"/>
                      <w:szCs w:val="23"/>
                    </w:rPr>
                  </w:pPr>
                  <w:r>
                    <w:rPr>
                      <w:sz w:val="23"/>
                      <w:szCs w:val="23"/>
                    </w:rPr>
                    <w:t>ЭКСПОРТЕР-БЕНЕФИЦИАР</w:t>
                  </w:r>
                </w:p>
              </w:txbxContent>
            </v:textbox>
          </v:shape>
        </w:pict>
      </w:r>
    </w:p>
    <w:p w:rsidR="00092DD8" w:rsidRDefault="00CA0C29">
      <w:pPr>
        <w:pStyle w:val="afe"/>
        <w:rPr>
          <w:sz w:val="23"/>
          <w:szCs w:val="23"/>
        </w:rPr>
      </w:pPr>
      <w:r>
        <w:rPr>
          <w:noProof/>
          <w:sz w:val="19"/>
          <w:szCs w:val="19"/>
        </w:rPr>
        <w:pict>
          <v:line id="_x0000_s1046" style="position:absolute;left:0;text-align:left;z-index:251661824" from="228pt,10.7pt" to="270pt,10.7pt"/>
        </w:pict>
      </w:r>
      <w:r>
        <w:rPr>
          <w:noProof/>
          <w:sz w:val="19"/>
          <w:szCs w:val="19"/>
        </w:rPr>
        <w:pict>
          <v:line id="_x0000_s1045" style="position:absolute;left:0;text-align:left;z-index:251660800" from="168pt,10.7pt" to="210pt,10.7pt"/>
        </w:pict>
      </w:r>
      <w:r w:rsidR="00092DD8">
        <w:rPr>
          <w:sz w:val="23"/>
          <w:szCs w:val="23"/>
        </w:rPr>
        <w:tab/>
      </w:r>
      <w:r w:rsidR="00092DD8">
        <w:rPr>
          <w:sz w:val="23"/>
          <w:szCs w:val="23"/>
        </w:rPr>
        <w:tab/>
      </w:r>
      <w:r w:rsidR="00092DD8">
        <w:rPr>
          <w:sz w:val="23"/>
          <w:szCs w:val="23"/>
        </w:rPr>
        <w:tab/>
      </w:r>
      <w:r w:rsidR="00092DD8">
        <w:rPr>
          <w:sz w:val="23"/>
          <w:szCs w:val="23"/>
        </w:rPr>
        <w:tab/>
      </w:r>
      <w:r w:rsidR="00092DD8">
        <w:rPr>
          <w:sz w:val="23"/>
          <w:szCs w:val="23"/>
        </w:rPr>
        <w:tab/>
        <w:t>4</w:t>
      </w:r>
      <w:r w:rsidR="00092DD8">
        <w:rPr>
          <w:sz w:val="23"/>
          <w:szCs w:val="23"/>
        </w:rPr>
        <w:tab/>
      </w:r>
      <w:r w:rsidR="00092DD8">
        <w:rPr>
          <w:sz w:val="23"/>
          <w:szCs w:val="23"/>
        </w:rPr>
        <w:tab/>
      </w:r>
      <w:r w:rsidR="00092DD8">
        <w:rPr>
          <w:sz w:val="23"/>
          <w:szCs w:val="23"/>
        </w:rPr>
        <w:tab/>
      </w:r>
      <w:r w:rsidR="00092DD8">
        <w:rPr>
          <w:sz w:val="23"/>
          <w:szCs w:val="23"/>
        </w:rPr>
        <w:tab/>
      </w:r>
      <w:r w:rsidR="00092DD8">
        <w:rPr>
          <w:sz w:val="23"/>
          <w:szCs w:val="23"/>
        </w:rPr>
        <w:tab/>
      </w:r>
    </w:p>
    <w:p w:rsidR="00092DD8" w:rsidRDefault="00092DD8">
      <w:pPr>
        <w:pStyle w:val="afe"/>
        <w:rPr>
          <w:sz w:val="23"/>
          <w:szCs w:val="23"/>
        </w:rPr>
      </w:pPr>
    </w:p>
    <w:p w:rsidR="00092DD8" w:rsidRDefault="00CA0C29">
      <w:pPr>
        <w:pStyle w:val="afe"/>
        <w:rPr>
          <w:sz w:val="23"/>
          <w:szCs w:val="23"/>
        </w:rPr>
      </w:pPr>
      <w:r>
        <w:rPr>
          <w:noProof/>
          <w:sz w:val="19"/>
          <w:szCs w:val="19"/>
        </w:rPr>
        <w:pict>
          <v:line id="_x0000_s1044" style="position:absolute;left:0;text-align:left;flip:y;z-index:251659776" from="366pt,1.1pt" to="366pt,13.1pt">
            <v:stroke endarrow="open"/>
          </v:line>
        </w:pict>
      </w:r>
      <w:r>
        <w:rPr>
          <w:noProof/>
          <w:sz w:val="19"/>
          <w:szCs w:val="19"/>
        </w:rPr>
        <w:pict>
          <v:line id="_x0000_s1037" style="position:absolute;left:0;text-align:left;z-index:251656704" from="324pt,1.1pt" to="324pt,13.1pt"/>
        </w:pict>
      </w:r>
      <w:r>
        <w:rPr>
          <w:noProof/>
          <w:sz w:val="19"/>
          <w:szCs w:val="19"/>
        </w:rPr>
        <w:pict>
          <v:line id="_x0000_s1034" style="position:absolute;left:0;text-align:left;z-index:251653632" from="108pt,1.1pt" to="108pt,13.1pt"/>
        </w:pict>
      </w:r>
      <w:r>
        <w:rPr>
          <w:noProof/>
          <w:sz w:val="19"/>
          <w:szCs w:val="19"/>
        </w:rPr>
        <w:pict>
          <v:line id="_x0000_s1033" style="position:absolute;left:0;text-align:left;flip:y;z-index:251652608" from="78pt,1.1pt" to="78pt,13.1pt">
            <v:stroke endarrow="open"/>
          </v:line>
        </w:pict>
      </w:r>
    </w:p>
    <w:p w:rsidR="00092DD8" w:rsidRDefault="00CA0C29">
      <w:pPr>
        <w:pStyle w:val="afe"/>
        <w:rPr>
          <w:sz w:val="23"/>
          <w:szCs w:val="23"/>
        </w:rPr>
      </w:pPr>
      <w:r>
        <w:rPr>
          <w:noProof/>
          <w:sz w:val="19"/>
          <w:szCs w:val="19"/>
        </w:rPr>
        <w:pict>
          <v:line id="_x0000_s1043" style="position:absolute;left:0;text-align:left;z-index:251658752" from="324pt,11.3pt" to="324pt,29.3pt">
            <v:stroke endarrow="open"/>
          </v:line>
        </w:pict>
      </w:r>
      <w:r>
        <w:rPr>
          <w:noProof/>
          <w:sz w:val="19"/>
          <w:szCs w:val="19"/>
        </w:rPr>
        <w:pict>
          <v:line id="_x0000_s1038" style="position:absolute;left:0;text-align:left;flip:y;z-index:251657728" from="366pt,11.3pt" to="366pt,29.3pt"/>
        </w:pict>
      </w:r>
      <w:r>
        <w:rPr>
          <w:noProof/>
          <w:sz w:val="19"/>
          <w:szCs w:val="19"/>
        </w:rPr>
        <w:pict>
          <v:line id="_x0000_s1036" style="position:absolute;left:0;text-align:left;flip:y;z-index:251655680" from="2in,11.3pt" to="2in,29.3pt"/>
        </w:pict>
      </w:r>
      <w:r>
        <w:rPr>
          <w:noProof/>
          <w:sz w:val="19"/>
          <w:szCs w:val="19"/>
        </w:rPr>
        <w:pict>
          <v:line id="_x0000_s1035" style="position:absolute;left:0;text-align:left;z-index:251654656" from="108pt,11.3pt" to="108pt,29.3pt">
            <v:stroke endarrow="open"/>
          </v:line>
        </w:pict>
      </w:r>
      <w:r>
        <w:rPr>
          <w:noProof/>
          <w:sz w:val="19"/>
          <w:szCs w:val="19"/>
        </w:rPr>
        <w:pict>
          <v:line id="_x0000_s1032" style="position:absolute;left:0;text-align:left;flip:y;z-index:251651584" from="78pt,11.3pt" to="78pt,29.3pt"/>
        </w:pict>
      </w:r>
      <w:r w:rsidR="00092DD8">
        <w:rPr>
          <w:sz w:val="23"/>
          <w:szCs w:val="23"/>
        </w:rPr>
        <w:tab/>
        <w:t xml:space="preserve"> 9</w:t>
      </w:r>
      <w:r w:rsidR="00092DD8">
        <w:rPr>
          <w:sz w:val="23"/>
          <w:szCs w:val="23"/>
        </w:rPr>
        <w:tab/>
        <w:t>5</w:t>
      </w:r>
      <w:r w:rsidR="00092DD8">
        <w:rPr>
          <w:sz w:val="23"/>
          <w:szCs w:val="23"/>
        </w:rPr>
        <w:tab/>
        <w:t>3</w:t>
      </w:r>
      <w:r w:rsidR="00092DD8">
        <w:rPr>
          <w:sz w:val="23"/>
          <w:szCs w:val="23"/>
        </w:rPr>
        <w:tab/>
      </w:r>
      <w:r w:rsidR="00092DD8">
        <w:rPr>
          <w:sz w:val="23"/>
          <w:szCs w:val="23"/>
        </w:rPr>
        <w:tab/>
      </w:r>
      <w:r w:rsidR="00092DD8">
        <w:rPr>
          <w:sz w:val="23"/>
          <w:szCs w:val="23"/>
        </w:rPr>
        <w:tab/>
      </w:r>
      <w:r w:rsidR="00092DD8">
        <w:rPr>
          <w:sz w:val="23"/>
          <w:szCs w:val="23"/>
        </w:rPr>
        <w:tab/>
      </w:r>
      <w:r w:rsidR="00092DD8">
        <w:rPr>
          <w:sz w:val="23"/>
          <w:szCs w:val="23"/>
        </w:rPr>
        <w:tab/>
        <w:t>1</w:t>
      </w:r>
      <w:r w:rsidR="00092DD8">
        <w:rPr>
          <w:sz w:val="23"/>
          <w:szCs w:val="23"/>
        </w:rPr>
        <w:tab/>
        <w:t>8</w:t>
      </w:r>
    </w:p>
    <w:p w:rsidR="00092DD8" w:rsidRDefault="00092DD8">
      <w:pPr>
        <w:pStyle w:val="afe"/>
        <w:rPr>
          <w:sz w:val="23"/>
          <w:szCs w:val="23"/>
        </w:rPr>
      </w:pPr>
    </w:p>
    <w:p w:rsidR="00092DD8" w:rsidRDefault="00CA0C29">
      <w:pPr>
        <w:pStyle w:val="afe"/>
        <w:rPr>
          <w:sz w:val="23"/>
          <w:szCs w:val="23"/>
        </w:rPr>
      </w:pPr>
      <w:r>
        <w:rPr>
          <w:noProof/>
          <w:sz w:val="19"/>
          <w:szCs w:val="19"/>
        </w:rPr>
        <w:pict>
          <v:line id="_x0000_s1049" style="position:absolute;left:0;text-align:left;z-index:251663872" from="228pt,7.7pt" to="270pt,7.7pt"/>
        </w:pict>
      </w:r>
      <w:r>
        <w:rPr>
          <w:noProof/>
          <w:sz w:val="19"/>
          <w:szCs w:val="19"/>
        </w:rPr>
        <w:pict>
          <v:line id="_x0000_s1048" style="position:absolute;left:0;text-align:left;z-index:251662848" from="168pt,7.7pt" to="210pt,7.7pt"/>
        </w:pict>
      </w:r>
      <w:r>
        <w:rPr>
          <w:noProof/>
          <w:sz w:val="19"/>
          <w:szCs w:val="19"/>
        </w:rPr>
        <w:pict>
          <v:shape id="_x0000_s1029" type="#_x0000_t202" style="position:absolute;left:0;text-align:left;margin-left:270pt;margin-top:1.7pt;width:120pt;height:42pt;z-index:251650560">
            <v:textbox>
              <w:txbxContent>
                <w:p w:rsidR="00092DD8" w:rsidRDefault="00092DD8">
                  <w:pPr>
                    <w:jc w:val="center"/>
                    <w:rPr>
                      <w:sz w:val="23"/>
                      <w:szCs w:val="23"/>
                    </w:rPr>
                  </w:pPr>
                  <w:r>
                    <w:rPr>
                      <w:sz w:val="23"/>
                      <w:szCs w:val="23"/>
                    </w:rPr>
                    <w:t>БАНК - ЭМИТЕНТ</w:t>
                  </w:r>
                </w:p>
              </w:txbxContent>
            </v:textbox>
          </v:shape>
        </w:pict>
      </w:r>
      <w:r>
        <w:rPr>
          <w:noProof/>
          <w:sz w:val="19"/>
          <w:szCs w:val="19"/>
        </w:rPr>
        <w:pict>
          <v:shape id="_x0000_s1027" type="#_x0000_t202" style="position:absolute;left:0;text-align:left;margin-left:54pt;margin-top:1.7pt;width:114pt;height:42pt;z-index:251648512">
            <v:textbox>
              <w:txbxContent>
                <w:p w:rsidR="00092DD8" w:rsidRDefault="00092DD8">
                  <w:pPr>
                    <w:jc w:val="center"/>
                    <w:rPr>
                      <w:sz w:val="23"/>
                      <w:szCs w:val="23"/>
                    </w:rPr>
                  </w:pPr>
                  <w:r>
                    <w:rPr>
                      <w:sz w:val="23"/>
                      <w:szCs w:val="23"/>
                    </w:rPr>
                    <w:t>АВИЗУЮЩИЙ БАНК</w:t>
                  </w:r>
                </w:p>
              </w:txbxContent>
            </v:textbox>
          </v:shape>
        </w:pict>
      </w:r>
      <w:r w:rsidR="00092DD8">
        <w:rPr>
          <w:sz w:val="23"/>
          <w:szCs w:val="23"/>
        </w:rPr>
        <w:tab/>
      </w:r>
      <w:r w:rsidR="00092DD8">
        <w:rPr>
          <w:sz w:val="23"/>
          <w:szCs w:val="23"/>
        </w:rPr>
        <w:tab/>
      </w:r>
      <w:r w:rsidR="00092DD8">
        <w:rPr>
          <w:sz w:val="23"/>
          <w:szCs w:val="23"/>
        </w:rPr>
        <w:tab/>
      </w:r>
      <w:r w:rsidR="00092DD8">
        <w:rPr>
          <w:sz w:val="23"/>
          <w:szCs w:val="23"/>
        </w:rPr>
        <w:tab/>
      </w:r>
      <w:r w:rsidR="00092DD8">
        <w:rPr>
          <w:sz w:val="23"/>
          <w:szCs w:val="23"/>
        </w:rPr>
        <w:tab/>
        <w:t>2</w:t>
      </w:r>
      <w:r w:rsidR="00092DD8">
        <w:rPr>
          <w:sz w:val="23"/>
          <w:szCs w:val="23"/>
        </w:rPr>
        <w:tab/>
      </w:r>
      <w:r w:rsidR="00092DD8">
        <w:rPr>
          <w:sz w:val="23"/>
          <w:szCs w:val="23"/>
        </w:rPr>
        <w:tab/>
      </w:r>
      <w:r w:rsidR="00092DD8">
        <w:rPr>
          <w:sz w:val="23"/>
          <w:szCs w:val="23"/>
        </w:rPr>
        <w:tab/>
      </w:r>
      <w:r w:rsidR="00092DD8">
        <w:rPr>
          <w:sz w:val="23"/>
          <w:szCs w:val="23"/>
        </w:rPr>
        <w:tab/>
      </w:r>
      <w:r w:rsidR="00092DD8">
        <w:rPr>
          <w:sz w:val="23"/>
          <w:szCs w:val="23"/>
        </w:rPr>
        <w:tab/>
      </w:r>
    </w:p>
    <w:p w:rsidR="00092DD8" w:rsidRDefault="00CA0C29">
      <w:pPr>
        <w:pStyle w:val="afe"/>
        <w:rPr>
          <w:sz w:val="23"/>
          <w:szCs w:val="23"/>
        </w:rPr>
      </w:pPr>
      <w:r>
        <w:rPr>
          <w:noProof/>
          <w:sz w:val="19"/>
          <w:szCs w:val="19"/>
        </w:rPr>
        <w:pict>
          <v:line id="_x0000_s1051" style="position:absolute;left:0;text-align:left;z-index:251665920" from="228pt,5.9pt" to="270pt,5.9pt"/>
        </w:pict>
      </w:r>
      <w:r>
        <w:rPr>
          <w:noProof/>
          <w:sz w:val="19"/>
          <w:szCs w:val="19"/>
        </w:rPr>
        <w:pict>
          <v:line id="_x0000_s1050" style="position:absolute;left:0;text-align:left;z-index:251664896" from="168pt,5.9pt" to="210pt,5.9pt"/>
        </w:pict>
      </w:r>
      <w:r w:rsidR="00092DD8">
        <w:rPr>
          <w:sz w:val="23"/>
          <w:szCs w:val="23"/>
        </w:rPr>
        <w:tab/>
      </w:r>
      <w:r w:rsidR="00092DD8">
        <w:rPr>
          <w:sz w:val="23"/>
          <w:szCs w:val="23"/>
        </w:rPr>
        <w:tab/>
      </w:r>
      <w:r w:rsidR="00092DD8">
        <w:rPr>
          <w:sz w:val="23"/>
          <w:szCs w:val="23"/>
        </w:rPr>
        <w:tab/>
      </w:r>
      <w:r w:rsidR="00092DD8">
        <w:rPr>
          <w:sz w:val="23"/>
          <w:szCs w:val="23"/>
        </w:rPr>
        <w:tab/>
      </w:r>
      <w:r w:rsidR="00092DD8">
        <w:rPr>
          <w:sz w:val="23"/>
          <w:szCs w:val="23"/>
        </w:rPr>
        <w:tab/>
        <w:t>6</w:t>
      </w:r>
      <w:r w:rsidR="00092DD8">
        <w:rPr>
          <w:sz w:val="23"/>
          <w:szCs w:val="23"/>
        </w:rPr>
        <w:tab/>
      </w:r>
      <w:r w:rsidR="00092DD8">
        <w:rPr>
          <w:sz w:val="23"/>
          <w:szCs w:val="23"/>
        </w:rPr>
        <w:tab/>
      </w:r>
      <w:r w:rsidR="00092DD8">
        <w:rPr>
          <w:sz w:val="23"/>
          <w:szCs w:val="23"/>
        </w:rPr>
        <w:tab/>
      </w:r>
      <w:r w:rsidR="00092DD8">
        <w:rPr>
          <w:sz w:val="23"/>
          <w:szCs w:val="23"/>
        </w:rPr>
        <w:tab/>
      </w:r>
      <w:r w:rsidR="00092DD8">
        <w:rPr>
          <w:sz w:val="23"/>
          <w:szCs w:val="23"/>
        </w:rPr>
        <w:tab/>
      </w:r>
    </w:p>
    <w:p w:rsidR="00092DD8" w:rsidRDefault="00CA0C29">
      <w:pPr>
        <w:pStyle w:val="afe"/>
        <w:rPr>
          <w:sz w:val="23"/>
          <w:szCs w:val="23"/>
        </w:rPr>
      </w:pPr>
      <w:r>
        <w:rPr>
          <w:noProof/>
          <w:sz w:val="19"/>
          <w:szCs w:val="19"/>
        </w:rPr>
        <w:pict>
          <v:line id="_x0000_s1053" style="position:absolute;left:0;text-align:left;z-index:251667968" from="228pt,4.1pt" to="270pt,4.1pt"/>
        </w:pict>
      </w:r>
      <w:r>
        <w:rPr>
          <w:noProof/>
          <w:sz w:val="19"/>
          <w:szCs w:val="19"/>
        </w:rPr>
        <w:pict>
          <v:line id="_x0000_s1052" style="position:absolute;left:0;text-align:left;z-index:251666944" from="168pt,4.1pt" to="210pt,4.1pt"/>
        </w:pict>
      </w:r>
      <w:r w:rsidR="00092DD8">
        <w:rPr>
          <w:sz w:val="23"/>
          <w:szCs w:val="23"/>
        </w:rPr>
        <w:tab/>
      </w:r>
      <w:r w:rsidR="00092DD8">
        <w:rPr>
          <w:sz w:val="23"/>
          <w:szCs w:val="23"/>
        </w:rPr>
        <w:tab/>
      </w:r>
      <w:r w:rsidR="00092DD8">
        <w:rPr>
          <w:sz w:val="23"/>
          <w:szCs w:val="23"/>
        </w:rPr>
        <w:tab/>
      </w:r>
      <w:r w:rsidR="00092DD8">
        <w:rPr>
          <w:sz w:val="23"/>
          <w:szCs w:val="23"/>
        </w:rPr>
        <w:tab/>
      </w:r>
      <w:r w:rsidR="00092DD8">
        <w:rPr>
          <w:sz w:val="23"/>
          <w:szCs w:val="23"/>
        </w:rPr>
        <w:tab/>
        <w:t>7</w:t>
      </w:r>
      <w:r w:rsidR="00092DD8">
        <w:rPr>
          <w:sz w:val="23"/>
          <w:szCs w:val="23"/>
        </w:rPr>
        <w:tab/>
      </w:r>
      <w:r w:rsidR="00092DD8">
        <w:rPr>
          <w:sz w:val="23"/>
          <w:szCs w:val="23"/>
        </w:rPr>
        <w:tab/>
      </w:r>
      <w:r w:rsidR="00092DD8">
        <w:rPr>
          <w:sz w:val="23"/>
          <w:szCs w:val="23"/>
        </w:rPr>
        <w:tab/>
      </w:r>
      <w:r w:rsidR="00092DD8">
        <w:rPr>
          <w:sz w:val="23"/>
          <w:szCs w:val="23"/>
        </w:rPr>
        <w:tab/>
      </w:r>
      <w:r w:rsidR="00092DD8">
        <w:rPr>
          <w:sz w:val="23"/>
          <w:szCs w:val="23"/>
        </w:rPr>
        <w:tab/>
      </w:r>
    </w:p>
    <w:p w:rsidR="00092DD8" w:rsidRDefault="00092DD8">
      <w:pPr>
        <w:pStyle w:val="afe"/>
        <w:rPr>
          <w:sz w:val="23"/>
          <w:szCs w:val="23"/>
        </w:rPr>
      </w:pPr>
      <w:r>
        <w:rPr>
          <w:sz w:val="23"/>
          <w:szCs w:val="23"/>
        </w:rPr>
        <w:t>1. Представление заявления на открытие аккредитива. 2. Открытие аккредитива банком-эмитентом и направление аккредитива бенефициару через авизующий банк. 3. Извещение (авизование) бенефициара об открытии аккредитива в его пользу. 4. Отгрузка товара на экспорт. 5. Оформление и представление бенефициаром в банк комплекта документов для получения платежа по аккредитиву. 6. Пересылка авизующим банком документов банку-эмитенту. 7. Проверка банком-эмитентом полученных документов и их оплата (при выполнении всех условий аккредитива). 8. Выдача банком-эмитентом оплаченных документов приказодателю аккредитива. 9. Зачисление авизующим банком экспортной выручки бенефициару.</w:t>
      </w:r>
    </w:p>
    <w:p w:rsidR="00092DD8" w:rsidRDefault="00092DD8">
      <w:pPr>
        <w:pStyle w:val="afe"/>
        <w:rPr>
          <w:sz w:val="23"/>
          <w:szCs w:val="23"/>
        </w:rPr>
      </w:pPr>
      <w:r>
        <w:rPr>
          <w:sz w:val="23"/>
          <w:szCs w:val="23"/>
        </w:rPr>
        <w:t>Схема аккредитивной формы расчетов сводится к следующему. Импортер представляет в банк заявление на открытие аккредитива. Банк импортера, открывший аккредитив, направляет аккредитивное письмо одному из своих корреспондентов в стране экспортера, назначая его авизующим банком и поручая ему передать аккредитив бенефициару. После получения открытого в его пользу аккредитива (как обеспечения платежа товара) бенефициар производит отгрузку товара, представляет документы, как правило, в авизующий банк, который пересылает их для оплаты банку-эмитенту. После проверки правильности оформления документов банк, открывший аккредитив, производит их оплату. Если документ соответствует условиям аккредитива, банк переводит деньги согласно инструкциям авизующего банка и выдает документы импортеру, который получает товар. Поступившая выручка зачисляется на счет экспортера. В соответствии с условиями аккредитива в качестве банка, уполномоченного на оплату документов (исполняющий банк), может быть назначен и авизующий банк, который в этом случае производит оплату документов экспортеру в момент их представления в банк, а затем потребует возмещения произведенного платежа у банка-эмитента (по непокрытым аккредитивам). Обычно если у исполняющего банка и банка-эмитента нет взаимных корреспондентских счетов, то в расчетах принимает участие третий (рамбурсирующий) банк, в котором открыты корреспондентские счета указанных банков. При открытии аккредитива банк-эмитент дает инструкции (рамбурсное полномочие) рамбурсирующему банку оплачивать требования исполняющего банка в течение срока действия и в пределах суммы аккредитива.</w:t>
      </w:r>
    </w:p>
    <w:p w:rsidR="00092DD8" w:rsidRDefault="00092DD8">
      <w:pPr>
        <w:pStyle w:val="afe"/>
        <w:rPr>
          <w:sz w:val="23"/>
          <w:szCs w:val="23"/>
        </w:rPr>
      </w:pPr>
      <w:r>
        <w:rPr>
          <w:sz w:val="23"/>
          <w:szCs w:val="23"/>
        </w:rPr>
        <w:t>Виды аккредитивов разнообразны и классифицируются по следующим принципам.</w:t>
      </w:r>
    </w:p>
    <w:p w:rsidR="00092DD8" w:rsidRDefault="00092DD8">
      <w:pPr>
        <w:pStyle w:val="afe"/>
        <w:rPr>
          <w:sz w:val="23"/>
          <w:szCs w:val="23"/>
        </w:rPr>
      </w:pPr>
      <w:r>
        <w:rPr>
          <w:sz w:val="23"/>
          <w:szCs w:val="23"/>
        </w:rPr>
        <w:t>1. С точки зрения возможности изменения или аннулирования аккредитива банком-эмитентом различаются: а) безотзывный аккредитив — твердое обязательство банка-эмитента не изменять и не аннулировать его без согласия заинтересованных сторон; б) отзывный, который может быть изменен или аннулирован в любой момент без предварительного уведомления бенефициара. При отсутствии соответствующего указания аккредитив считается безотзывным.</w:t>
      </w:r>
    </w:p>
    <w:p w:rsidR="00092DD8" w:rsidRDefault="00092DD8">
      <w:pPr>
        <w:pStyle w:val="afe"/>
        <w:rPr>
          <w:sz w:val="23"/>
          <w:szCs w:val="23"/>
        </w:rPr>
      </w:pPr>
      <w:r>
        <w:rPr>
          <w:sz w:val="23"/>
          <w:szCs w:val="23"/>
        </w:rPr>
        <w:t>2. С точки зрения дополнительных обязательств другого банка по аккредитиву различаются подтвержденный и неподтвержденный аккредитивы. Если банк-эмитент уполномочивает или просит другой банк подтвердить его безотзывный аккредитив, то такое подтверждение (если предусмотренные документы представлены и выполнены все условия аккредитива) означает твердое обязательство подтверждающего банка в дополнение к обязательству банка-эмитента по платежу, акцепту или негоциации тратты.  3. С точки зрения возможности возобновления аккредитива применяются ролловерные (револьверные, возобновляемые) аккредитивы, которые открываются на часть стоимости контракта с условием восстановления первоначальной суммы аккредитива после его полного использования (за ряд комплектов документов) либо после представления каждого комплекта документов. Как правило, в тексте аккредитива указывается общая сумма, которую не может превысить совокупность обязательств по данному аккредитиву. Ролловерные аккредитивы, позволяющие сократить издержки обращения, находят широкое применение при расчетах по контрактам на крупные суммы с регулярной отгрузкой товаров в течение длительного периода.</w:t>
      </w:r>
    </w:p>
    <w:p w:rsidR="00092DD8" w:rsidRDefault="00092DD8">
      <w:pPr>
        <w:pStyle w:val="afe"/>
        <w:rPr>
          <w:sz w:val="23"/>
          <w:szCs w:val="23"/>
        </w:rPr>
      </w:pPr>
      <w:r>
        <w:rPr>
          <w:sz w:val="23"/>
          <w:szCs w:val="23"/>
        </w:rPr>
        <w:t>4. С точки зрения возможности использования аккредитива вторыми бенефициарами (непосредственными поставщиками товара) различаются переводные (трансферабельные) аккредитивы. При комплектных поставках, осуществляемых субпоставщиками, по указанию бенефициара аккредитив может быть переведен полностью или частично вторым бенефициаром в стране последнего или в другой стране. Трансферабельный аккредитив переводится не более одного раза.</w:t>
      </w:r>
    </w:p>
    <w:p w:rsidR="00092DD8" w:rsidRDefault="00092DD8">
      <w:pPr>
        <w:pStyle w:val="afe"/>
        <w:rPr>
          <w:sz w:val="23"/>
          <w:szCs w:val="23"/>
        </w:rPr>
      </w:pPr>
      <w:r>
        <w:rPr>
          <w:sz w:val="23"/>
          <w:szCs w:val="23"/>
        </w:rPr>
        <w:t>5. С точки зрения наличия валютного покрытия различаются покрытый и непокрытый аккредитивы. При открытии аккредитива с покрытием банк-эмитент переводит валюту в сумме аккредитива, как правило, авизующему банку. К другим формам покрытия аккредитивов относятся депозитные и блокированные счета, страховые депозиты и т.д. В современных условиях преобладают непокрытые аккредитивы.</w:t>
      </w:r>
    </w:p>
    <w:p w:rsidR="00092DD8" w:rsidRDefault="00092DD8">
      <w:pPr>
        <w:pStyle w:val="afe"/>
        <w:rPr>
          <w:sz w:val="23"/>
          <w:szCs w:val="23"/>
        </w:rPr>
      </w:pPr>
      <w:r>
        <w:rPr>
          <w:sz w:val="23"/>
          <w:szCs w:val="23"/>
        </w:rPr>
        <w:t>6. С точки зрения возможностей реализации аккредитива различаются: аккредитивы с платежом против документов; акцептные аккредитивы, предусматривающие акцепт тратт банком-эмитентом при условии выполнения всех требований аккредитива; аккредитивы с рассрочкой платежа; аккредитивы с негоциацией документов.</w:t>
      </w:r>
    </w:p>
    <w:p w:rsidR="00092DD8" w:rsidRDefault="00092DD8">
      <w:pPr>
        <w:pStyle w:val="afe"/>
        <w:rPr>
          <w:sz w:val="23"/>
          <w:szCs w:val="23"/>
        </w:rPr>
      </w:pPr>
      <w:r>
        <w:rPr>
          <w:sz w:val="23"/>
          <w:szCs w:val="23"/>
        </w:rPr>
        <w:t>В отличие от документарного аккредитива денежный аккредитив — именной документ, содержащий поручение о выплате денег получателю в течение определенного срока при соблюдении указанных в нем условий.</w:t>
      </w:r>
    </w:p>
    <w:p w:rsidR="00092DD8" w:rsidRDefault="00092DD8">
      <w:pPr>
        <w:pStyle w:val="afe"/>
        <w:rPr>
          <w:sz w:val="23"/>
          <w:szCs w:val="23"/>
        </w:rPr>
      </w:pPr>
      <w:r>
        <w:rPr>
          <w:sz w:val="23"/>
          <w:szCs w:val="23"/>
        </w:rPr>
        <w:t>Разновидностью аккредитива является циркулярный аккредитив со свободной негоциацией. Он обращен к любому банку, желающему его выполнить. Такие аккредитивы — безотзывные и выставляются лишь крупными банками, известными в деловых кругах и с первоклассной репутацией, иначе экспортеру трудно их реализовать.</w:t>
      </w:r>
    </w:p>
    <w:p w:rsidR="00092DD8" w:rsidRDefault="00092DD8">
      <w:pPr>
        <w:pStyle w:val="afe"/>
        <w:rPr>
          <w:sz w:val="23"/>
          <w:szCs w:val="23"/>
        </w:rPr>
      </w:pPr>
      <w:r>
        <w:rPr>
          <w:sz w:val="23"/>
          <w:szCs w:val="23"/>
        </w:rPr>
        <w:t>В современных условиях также применяются аккредитивы компенсационные и «бэк-ту-бэк». Экономическое содержание этих видов аккредитивов сводится к следующему. Бенефициар, в пользу которого по поручению иностранного покупателя открывается аккредитив, является посредником, а не производителем товара. Для того чтобы обеспечить поставку товара конечному покупателю, он обязан его закупить. Если расчеты с фирмой — производителем товара должны осуществляться в форме документарного аккредитива, то в качестве обеспечения для открытия такого аккредитива посредническая организация может предложить банку первоначальный аккредитив, открытый в его пользу банком импортера. Некоторые страны, особенно США, используют резервный гарантийный аккредитив («стэнд-бай»), который служит гарантией выполнения контрагентами взятых на себя обязательств по контракту. В случае неоплаты документов импортером экспортер может обратиться в банк импортера за получением платежа. В частности, аккредитив «стэнд-бай» используется в торговле нефтью с участием длинной цепи покупателей и банков, что задерживало поступление документов конечному импортеру.</w:t>
      </w:r>
    </w:p>
    <w:p w:rsidR="00092DD8" w:rsidRDefault="00092DD8">
      <w:pPr>
        <w:pStyle w:val="afe"/>
        <w:rPr>
          <w:sz w:val="23"/>
          <w:szCs w:val="23"/>
        </w:rPr>
      </w:pPr>
      <w:r>
        <w:rPr>
          <w:sz w:val="23"/>
          <w:szCs w:val="23"/>
        </w:rPr>
        <w:t>Аккредитивная форма расчетов — наиболее сложная и дорогостоящая. За выполнение аккредитивных операций (авизование, подтверждение, проверку документов, платеж) банки взимают более высокую комиссию, чем по другим формам расчетов, например инкассо. Кроме того, для открытия аккредитива импортер обычно прибегает к банковскому кредиту, платя за него процент, что удорожает эту форму расчетов. Для импортера аккредитивная форма расчетов ведет к иммобилизации и распылению его капиталов, поскольку он должен открыть аккредитив до получения и реализации товаров, но одновременно дает ему возможность контролировать (через банки) выполнение условий сделки экспортером. Для экспортера после авансовых платежей расчеты в форме аккредитива являются наиболее выгодными, так как это единственная форма расчетов (кроме гарантийных операций банков), содержащая обязательство банка произвести платеж. Таким образом, для экспортера безотзывный аккредитив имеет следующие преимущества по сравнению с инкассовой формой расчетов: надежность расчетов и гарантия своевременной оплаты товаров, так как ее осуществляет банк; быстрота получения платежа, если банк производит выплату немедленно после отгрузки товара против представления отгрузочных документов (в противном случае экспортер может получить кредит в своем банке в национальной валюте до получения платежа по аккредитиву); получение разрешения импортером на перевод валюты в страну экспортера при выставлении аккредитива в иностранной валюте.</w:t>
      </w:r>
    </w:p>
    <w:p w:rsidR="00092DD8" w:rsidRDefault="00092DD8">
      <w:pPr>
        <w:pStyle w:val="afe"/>
        <w:rPr>
          <w:sz w:val="23"/>
          <w:szCs w:val="23"/>
        </w:rPr>
      </w:pPr>
      <w:r>
        <w:rPr>
          <w:b/>
          <w:bCs/>
          <w:sz w:val="23"/>
          <w:szCs w:val="23"/>
        </w:rPr>
        <w:t>Инкассовая форма расчетов</w:t>
      </w:r>
      <w:r>
        <w:rPr>
          <w:sz w:val="23"/>
          <w:szCs w:val="23"/>
        </w:rPr>
        <w:t xml:space="preserve">. Инкассо — банковская операция, посредством которой банк по поручению клиента получает платеж от импортера за отгруженные в его адрес товары и оказанные услуги, зачисляя эти средства на счет экспортера в банке. В соответствии с Унифицированными правилами по инкассо инкассовые операции осуществляются банками на основе полученных от экспортера инструкций. В инкассовой форме расчетов участвуют: 1) доверитель — клиент, поручающий инкассовую операцию своему банку; 2) банк-ремитент, которому доверитель поручает операцию по инкассированию; 3) инкассирующий банк, получающий валютные средства; 4) представляющий банк, делающий представление документов импортеру-плательщику; 5) плательщик. </w:t>
      </w:r>
    </w:p>
    <w:p w:rsidR="00092DD8" w:rsidRDefault="00092DD8">
      <w:pPr>
        <w:pStyle w:val="afe"/>
        <w:ind w:firstLine="0"/>
        <w:jc w:val="center"/>
        <w:rPr>
          <w:sz w:val="23"/>
          <w:szCs w:val="23"/>
        </w:rPr>
      </w:pPr>
      <w:r>
        <w:rPr>
          <w:sz w:val="23"/>
          <w:szCs w:val="23"/>
        </w:rPr>
        <w:t>СХЕМА РАСЧЕТОВ ПО ДОКУМЕНТАРНОМУ ИНКАССО</w:t>
      </w:r>
    </w:p>
    <w:p w:rsidR="00092DD8" w:rsidRDefault="00CA0C29">
      <w:pPr>
        <w:pStyle w:val="afe"/>
        <w:jc w:val="center"/>
        <w:rPr>
          <w:sz w:val="23"/>
          <w:szCs w:val="23"/>
        </w:rPr>
      </w:pPr>
      <w:r>
        <w:rPr>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144.75pt">
            <v:imagedata r:id="rId7" o:title=""/>
          </v:shape>
        </w:pict>
      </w:r>
    </w:p>
    <w:p w:rsidR="00092DD8" w:rsidRDefault="00092DD8">
      <w:pPr>
        <w:pStyle w:val="afe"/>
        <w:rPr>
          <w:sz w:val="23"/>
          <w:szCs w:val="23"/>
        </w:rPr>
      </w:pPr>
      <w:r>
        <w:rPr>
          <w:sz w:val="23"/>
          <w:szCs w:val="23"/>
        </w:rPr>
        <w:t>1. Экспортер заключает контракт с импортером о продаже товаров на условиях расчетов по документарному инкассо и отправляет ему товар (1а). 2. Экспортер направляет своему банку инкассовое поручение и коммерческие документы. 3. Банк экспортера пересылает инкассовое поручение и коммерческие документы представляющему банку (или банку импортера). 4. Представляющий банк предъявляет эти документы импортеру. 5. Импортер производит оплату документов инкассирующему (или своему) банку. 6. Инкассирующий банк переводит платеж банку-ремитенту (или банку экспортера). 7. Банк-ремитент зачисляет переведенную сумму на счет экспортера.</w:t>
      </w:r>
    </w:p>
    <w:p w:rsidR="00092DD8" w:rsidRDefault="00092DD8">
      <w:pPr>
        <w:pStyle w:val="afe"/>
        <w:rPr>
          <w:sz w:val="23"/>
          <w:szCs w:val="23"/>
        </w:rPr>
      </w:pPr>
      <w:r>
        <w:rPr>
          <w:sz w:val="23"/>
          <w:szCs w:val="23"/>
        </w:rPr>
        <w:t>Различают простое и документарное инкассо. Простое (чистое) инкассо означает взыскание платежа по финансовым документам, не сопровождаемым коммерческими документами; документарное (коммерческое) инкассо финансовых документов, сопровождаемых коммерческими документами, либо только коммерческих документов. При этом на банках не лежит каких-либо обязательств по оплате документов.</w:t>
      </w:r>
    </w:p>
    <w:p w:rsidR="00092DD8" w:rsidRDefault="00092DD8">
      <w:pPr>
        <w:pStyle w:val="afe"/>
        <w:rPr>
          <w:sz w:val="23"/>
          <w:szCs w:val="23"/>
        </w:rPr>
      </w:pPr>
      <w:r>
        <w:rPr>
          <w:sz w:val="23"/>
          <w:szCs w:val="23"/>
        </w:rPr>
        <w:t>Экспортер после отправки товара поручает своему банку получить от импортера определенную сумму валюты на условиях, указанных в инкассовом поручении, содержащем полные и точные инструкции. Имеются две основные разновидности инкассового поручения: а) документы выдаются плательщику против платежа (Д/П) и б) против акцепта (Д/А). Иногда практикуется выдача документов импортеру без оплаты против его письменного обязательства произвести платеж в установленный период времени. Используя такие условия, импортер имеет возможность продать купленный товар, получить выручку и затем оплатить инкассо экспортеру. В целях ускорения получения валютной выручки экспортером банк может учесть тратты или предоставить кредит под коммерческие документы. Таким образом, инкассовая форма расчетов связана с кредитными отношениями. Инкассо является основной формой расчетов по контрактам на условиях коммерческого кредита. При этом экспортер выставляет тратту на инкассо для акцепта плательщиком, как правило, против вручения ему коммерческих документов (документарное инкассо), при наступлении срока платежа акцептованные векселя отсылаются для оплаты на инкассо (чистое инкассо).</w:t>
      </w:r>
    </w:p>
    <w:p w:rsidR="00092DD8" w:rsidRDefault="00092DD8">
      <w:pPr>
        <w:pStyle w:val="afe"/>
        <w:rPr>
          <w:sz w:val="23"/>
          <w:szCs w:val="23"/>
        </w:rPr>
      </w:pPr>
      <w:r>
        <w:rPr>
          <w:sz w:val="23"/>
          <w:szCs w:val="23"/>
        </w:rPr>
        <w:t>Расчеты в форме инкассо дают определенные преимущества импортеру, основное обязательство которого состоит в осуществлении платежа против товарных документов, дающих ему право на товар, при этом нет необходимости заранее отвлекать средства из своего оборота. Однако экспортер продолжает сохранять юридически право распоряжения товаром до оплаты импортером, если не практикуется пересылка непосредственно покупателю одного из оригиналов коносамента для ускорения получения товара.</w:t>
      </w:r>
    </w:p>
    <w:p w:rsidR="00092DD8" w:rsidRDefault="00092DD8">
      <w:pPr>
        <w:pStyle w:val="afe"/>
        <w:rPr>
          <w:sz w:val="23"/>
          <w:szCs w:val="23"/>
        </w:rPr>
      </w:pPr>
      <w:r>
        <w:rPr>
          <w:sz w:val="23"/>
          <w:szCs w:val="23"/>
        </w:rPr>
        <w:t>Вместе с тем инкассовая форма расчетов имеет существенные недостатки для экспортера. Во-первых, экспортер несет риск, связанный с возможным отказом импортера от платежа, что может быть связано с ухудшением конъюнктуры рынка или финансового положения плательщика. Поэтому условием инкассовой формы расчетов является доверие экспортера к платежеспособности импортера и его добросовестности. Во-вторых, существует значительный разрыв во времени между поступлением валютной выручки по инкассо и отгрузкой товара, особенно при длительной транспортировке груза. Для устранения этих недостатков инкассо на практике применяются дополнительные условия:</w:t>
      </w:r>
    </w:p>
    <w:p w:rsidR="00092DD8" w:rsidRDefault="00092DD8">
      <w:pPr>
        <w:pStyle w:val="afe"/>
        <w:rPr>
          <w:sz w:val="23"/>
          <w:szCs w:val="23"/>
        </w:rPr>
      </w:pPr>
      <w:r>
        <w:rPr>
          <w:sz w:val="23"/>
          <w:szCs w:val="23"/>
        </w:rPr>
        <w:t>1) импортер производит оплату против телеграммы банка экспортера о приеме и отсылке на инкассо товарных документов (телеграфное инкассо). Этот вид инкассо не получил широкого распространения;</w:t>
      </w:r>
    </w:p>
    <w:p w:rsidR="00092DD8" w:rsidRDefault="00092DD8">
      <w:pPr>
        <w:pStyle w:val="afe"/>
        <w:rPr>
          <w:sz w:val="23"/>
          <w:szCs w:val="23"/>
        </w:rPr>
      </w:pPr>
      <w:r>
        <w:rPr>
          <w:sz w:val="23"/>
          <w:szCs w:val="23"/>
        </w:rPr>
        <w:t>2) по поручению импортера банк выдает в пользу экспортера платежную гарантию, принимая на себя обязательство перед экспортером оплатить сумму инкассо при неплатеже со стороны импортера. Дополнительная гарантия платежа обычно применяется при расчетах по коммерческому кредиту, так как при отсрочке оплаты возрастает риск неоплаты импортером документов в связи с возможным изменением в финансовом положении плательщика. Иногда банк импортера авалирует вексель. Аваль (гарантия платежа) — вексельное поручительство. Банк-авалист принимает ответственность за платеж, ставя подпись обычно на лицевой стороне векселя с оговоркой, за кого конкретно выдана гарантия платежа; иначе считается, что аваль выдан за векселедателя переводного векселя (экспортера);</w:t>
      </w:r>
    </w:p>
    <w:p w:rsidR="00092DD8" w:rsidRDefault="00092DD8">
      <w:pPr>
        <w:pStyle w:val="afe"/>
        <w:rPr>
          <w:sz w:val="23"/>
          <w:szCs w:val="23"/>
        </w:rPr>
      </w:pPr>
      <w:r>
        <w:rPr>
          <w:sz w:val="23"/>
          <w:szCs w:val="23"/>
        </w:rPr>
        <w:t>3) экспортер прибегает к банковскому кредиту для покрытия иммобилизованных ресурсов.</w:t>
      </w:r>
    </w:p>
    <w:p w:rsidR="00092DD8" w:rsidRDefault="00092DD8">
      <w:pPr>
        <w:pStyle w:val="afe"/>
        <w:rPr>
          <w:sz w:val="23"/>
          <w:szCs w:val="23"/>
        </w:rPr>
      </w:pPr>
      <w:r>
        <w:rPr>
          <w:b/>
          <w:bCs/>
          <w:sz w:val="23"/>
          <w:szCs w:val="23"/>
        </w:rPr>
        <w:t>Банковский перевод</w:t>
      </w:r>
      <w:r>
        <w:rPr>
          <w:sz w:val="23"/>
          <w:szCs w:val="23"/>
        </w:rPr>
        <w:t>. Он представляет собой поручение одного банка другому выплатить переводополучателю определенную сумму. В международных расчетах банки зачастую выполняют переводы по поручению своих клиентов. В этих операциях участвуют: перевододатель-должник; банк перевододателя, принявший поручение; банк, осуществляющий зачисление суммы перевода переводополучателю; переводополучатель. В форме банковского перевода осуществляются оплата инкассо, платежи в счет окончательных расчетов, авансовые платежи. Кроме того, посредством перевода производятся перерасчеты и другие операции. Банковский перевод осуществляется по почте или телеграфу соответственно почтовыми или телеграфными платежными поручениями; в настоящее время — по системе СВИФТ. Банковские переводы могут сочетаться с другими формами расчетов (например, с инкассо), а также с гарантиями. Экспортер предпочитает сочетать переводы с гарантией банка, который в случае неоплаты товара импортером производит платеж в счет гарантии. Для осуществления перевода за товары импортер часто прибегает к банковскому кредиту, срок которого короче, чем по кредиту для открытия аккредитива.</w:t>
      </w:r>
    </w:p>
    <w:p w:rsidR="00092DD8" w:rsidRDefault="00092DD8">
      <w:pPr>
        <w:pStyle w:val="afe"/>
        <w:rPr>
          <w:sz w:val="23"/>
          <w:szCs w:val="23"/>
        </w:rPr>
      </w:pPr>
      <w:r>
        <w:rPr>
          <w:sz w:val="23"/>
          <w:szCs w:val="23"/>
        </w:rPr>
        <w:t>Экономическое содержание банковских переводов зависит от того, осуществляется оплата товаров или услуг до их поставки (авансовые платежи) или после их получения импортером (расчеты в форме открытого счета).</w:t>
      </w:r>
    </w:p>
    <w:p w:rsidR="00092DD8" w:rsidRDefault="00092DD8">
      <w:pPr>
        <w:pStyle w:val="afe"/>
        <w:rPr>
          <w:sz w:val="23"/>
          <w:szCs w:val="23"/>
        </w:rPr>
      </w:pPr>
      <w:r>
        <w:rPr>
          <w:b/>
          <w:bCs/>
          <w:sz w:val="23"/>
          <w:szCs w:val="23"/>
        </w:rPr>
        <w:t>Расчеты в форме аванса</w:t>
      </w:r>
      <w:r>
        <w:rPr>
          <w:sz w:val="23"/>
          <w:szCs w:val="23"/>
        </w:rPr>
        <w:t>. Эти расчеты наиболее выгодны для экспортера, так как оплата товаров производится импортером до отгрузки, а иногда даже до их производства. Если импортер оплачивает товар авансом, он кредитует экспортера. Например, авансовые платежи на часть стоимости контракта включаются в условия контрактов на строительство объектов за границей. При импорте дорогостоящего оборудования, судов, самолетов, изготовленных по индивидуальному заказу, также практикуются частично авансовые платежи. Согласно международной практике платежи в форме аванса составляют 10—33% суммы контракта. По поручению экспортера на сумму авансового платежа банк экспортера обычно выдает в пользу импортера гарантию возврата полученного аванса в случае невыполнения условий контракта и непоставки товара. Кроме того, принято оплачивать авансом ряд товаров: драгоценные металлы, ядерное топливо, оружие и др. Согласие импортера на эти условия расчетов связано либо с его заинтересованностью в поставке товара, либо с давлением экспортера, заинтересованного в гарантиях.</w:t>
      </w:r>
    </w:p>
    <w:p w:rsidR="00092DD8" w:rsidRDefault="00092DD8">
      <w:pPr>
        <w:pStyle w:val="afe"/>
        <w:rPr>
          <w:sz w:val="23"/>
          <w:szCs w:val="23"/>
        </w:rPr>
      </w:pPr>
      <w:r>
        <w:rPr>
          <w:b/>
          <w:bCs/>
          <w:sz w:val="23"/>
          <w:szCs w:val="23"/>
        </w:rPr>
        <w:t>Расчеты по открытому счету</w:t>
      </w:r>
      <w:r>
        <w:rPr>
          <w:sz w:val="23"/>
          <w:szCs w:val="23"/>
        </w:rPr>
        <w:t>. Их сущность состоит в периодических платежах импортера экспортеру после получения товара. Сумма текущей задолженности учитывается в книгах торговых партнеров. Данная форма международных расчетов связана с кредитом по открытому счету. Порядок расчетов по погашению задолженности по открытому счету определяется соглашением между контрагентами. Обычно предусматриваются периодические платежи в установленные сроки (после завершения поставок или перепродажи товара импортером в середине или конце месяца). После выверки расчетов окончательное погашение задолженности по открытому счету производится через банки, как правило, с использованием банковского перевода или чека. В этой связи банковская статистика часто включает расчеты по открытому счету в банковские переводы.</w:t>
      </w:r>
    </w:p>
    <w:p w:rsidR="00092DD8" w:rsidRDefault="00092DD8">
      <w:pPr>
        <w:pStyle w:val="afe"/>
        <w:rPr>
          <w:sz w:val="23"/>
          <w:szCs w:val="23"/>
        </w:rPr>
      </w:pPr>
      <w:r>
        <w:rPr>
          <w:sz w:val="23"/>
          <w:szCs w:val="23"/>
        </w:rPr>
        <w:t>Открытый счет используется при расчетах между: фирмами, связанными традиционными торговыми отношениями; ТНК и ее заграничными филиалами по экспортным поставкам; экспортером и брокерской фирмой; смешанными фирмами с участием экспортера; за товары, отправляемые на консигнацию для продажи со склада. Обычно расчеты по открытому счету применяются при регулярных поставках, когда доверие подкрепляется длительными деловыми отношениями, а покупатель — солидная фирма. Особенностью данной формы расчетов является то, что движение товаров опережает движение денег. Расчеты при этом оторваны от товарных поставок и связаны с коммерческим кредитом, причем обычно экспортер односторонне кредитует импортера. Если поставки товаров осуществляются взаимно с последующими расчетами по открытому счету, то они отражаются на контокорренте (едином счете), происходят двухстороннее кредитование и зачет взаимных требований.</w:t>
      </w:r>
    </w:p>
    <w:p w:rsidR="00092DD8" w:rsidRDefault="00092DD8">
      <w:pPr>
        <w:pStyle w:val="afe"/>
        <w:rPr>
          <w:sz w:val="23"/>
          <w:szCs w:val="23"/>
        </w:rPr>
      </w:pPr>
      <w:r>
        <w:rPr>
          <w:sz w:val="23"/>
          <w:szCs w:val="23"/>
        </w:rPr>
        <w:t>Расчеты по открытому счету наиболее выгодны для импортера, так как он производит последующую оплату полученных товаров, а процент за предоставляемый кредит при этом отдельно не взимается: отсутствует риск оплаты не поставленного или не принятого товара. Для экспортера эта форма расчетов наименее выгодна, поскольку не содержит надежной гарантии своевременности платежа, замедляет оборачиваемость его капитала, иногда вызывает необходимость прибегать к банковскому кредиту. Риск неоплаты импортером товара при одностороннем использовании этой формы расчетов аналогичен риску недопоставки товара экспортером при авансовых платежах. Фактически эта форма расчетов применяется для кредитования импортера и отражает доверие к нему со стороны экспортера. Поэтому эта форма расчетов обычно применяется лишь на условиях взаимности, когда контрагенты попеременно выступают в роли продавца и покупателя и невыполнение обязательств импортером влечет за собой приостановку товарных поставок экспортером. При односторонних поставках расчеты по открытому счету применяются редко.</w:t>
      </w:r>
    </w:p>
    <w:p w:rsidR="00092DD8" w:rsidRDefault="00092DD8">
      <w:pPr>
        <w:pStyle w:val="afe"/>
        <w:rPr>
          <w:sz w:val="23"/>
          <w:szCs w:val="23"/>
        </w:rPr>
      </w:pPr>
      <w:r>
        <w:rPr>
          <w:sz w:val="23"/>
          <w:szCs w:val="23"/>
        </w:rPr>
        <w:t>Иногда применяется соглашение об открытии специального счета «эскроу», на который зачисляются доходы от экспорта в конвертируемой валюте. Наличие такого счета повышает доверие экспортера к платежеспособности импортера.</w:t>
      </w:r>
    </w:p>
    <w:p w:rsidR="00092DD8" w:rsidRDefault="00092DD8">
      <w:pPr>
        <w:pStyle w:val="afe"/>
        <w:rPr>
          <w:sz w:val="23"/>
          <w:szCs w:val="23"/>
        </w:rPr>
      </w:pPr>
      <w:r>
        <w:rPr>
          <w:sz w:val="23"/>
          <w:szCs w:val="23"/>
        </w:rPr>
        <w:t>Расчеты по бартерным (товарообменным) сделкам, которые охватывают 10—15% мировой торговли, осуществляются в общепринятых формах (открытый счет, аккредитив и др.).</w:t>
      </w:r>
    </w:p>
    <w:p w:rsidR="00092DD8" w:rsidRDefault="00092DD8">
      <w:pPr>
        <w:pStyle w:val="afe"/>
        <w:rPr>
          <w:sz w:val="23"/>
          <w:szCs w:val="23"/>
        </w:rPr>
      </w:pPr>
      <w:r>
        <w:rPr>
          <w:b/>
          <w:bCs/>
          <w:sz w:val="23"/>
          <w:szCs w:val="23"/>
        </w:rPr>
        <w:t>Расчеты с использованием векселей и чеков</w:t>
      </w:r>
      <w:r>
        <w:rPr>
          <w:sz w:val="23"/>
          <w:szCs w:val="23"/>
        </w:rPr>
        <w:t xml:space="preserve">. В международных расчетах применяются переводные векселя, выставляемые экспортером на импортера. Тратта — документ, составленный в установленной законом форме и содержащий безусловный приказ кредитора (трассанта) заемщику (трассату) об уплате в указанный срок определенной суммы денег названному в векселе третьему лицу (ремитенту) или предъявителю. За оплату векселя ответственность несет акцептант, в качестве которого выступает импортер или банк. Акцептованные банками тратты легко превратить в наличные деньги путем учета. Форма, реквизиты, условия выставления и оплаты тратт регулируются вексельным законодательством, которое базируется на Единообразном вексельном законе, принятом Женевской вексельной конвенцией 1930 г. Прообразом тратты были появившиеся в </w:t>
      </w:r>
      <w:r>
        <w:rPr>
          <w:sz w:val="23"/>
          <w:szCs w:val="23"/>
          <w:lang w:val="en-US"/>
        </w:rPr>
        <w:t>XII</w:t>
      </w:r>
      <w:r>
        <w:rPr>
          <w:sz w:val="23"/>
          <w:szCs w:val="23"/>
        </w:rPr>
        <w:t>—</w:t>
      </w:r>
      <w:r>
        <w:rPr>
          <w:sz w:val="23"/>
          <w:szCs w:val="23"/>
          <w:lang w:val="en-US"/>
        </w:rPr>
        <w:t>XIII</w:t>
      </w:r>
      <w:r>
        <w:rPr>
          <w:sz w:val="23"/>
          <w:szCs w:val="23"/>
        </w:rPr>
        <w:t xml:space="preserve"> вв. сопроводительные письма с просьбой выплатить подателю (обычно купцу) соответствующую сумму в местной валюте. С развитием товарно-денежных отношений и глобализацией хозяйственных связей вексель стал универсальным кредитно-расчетным документом. Использование тратты в дополнение к инкассо и аккредитиву дает право на получение кредита и валютной выручки.</w:t>
      </w:r>
    </w:p>
    <w:p w:rsidR="00092DD8" w:rsidRDefault="00092DD8">
      <w:pPr>
        <w:pStyle w:val="afe"/>
        <w:rPr>
          <w:sz w:val="23"/>
          <w:szCs w:val="23"/>
        </w:rPr>
      </w:pPr>
      <w:r>
        <w:rPr>
          <w:sz w:val="23"/>
          <w:szCs w:val="23"/>
        </w:rPr>
        <w:t>При расчетах с использованием векселя экспортер передает тратту и товарные документы на инкассо своему банку, который получает валюту с импортера. Импортер становится собственником этих документов лишь против оплаты или акцепта тратты. Срок оплаты векселя при экспортных поставках в кредит обусловлен договоренностью сторон. Используя один вексель как средство платежа, можно погасить несколько различных денежных обязательств с помощью передаточной надписи (индоссамента) на нем. Различаются индоссаменты: именной («платите приказу «х», подпись «у»); бланковый (подпись «у») ограниченный (платите только «х», подпись «у»); безоборотный (платите без оборота приказу «х», подпись «у»), условный (например, после выборов платите приказу «х», подпись «у»).</w:t>
      </w:r>
    </w:p>
    <w:p w:rsidR="00092DD8" w:rsidRDefault="00092DD8">
      <w:pPr>
        <w:pStyle w:val="afe"/>
        <w:rPr>
          <w:sz w:val="23"/>
          <w:szCs w:val="23"/>
        </w:rPr>
      </w:pPr>
      <w:r>
        <w:rPr>
          <w:sz w:val="23"/>
          <w:szCs w:val="23"/>
        </w:rPr>
        <w:t>Ретратта — встречный переводный вексель, выписанный держателем неоплаченного или неакцептованного переводного векселя на трассанта или индоссанта на сумму векселя плюс издержки.</w:t>
      </w:r>
    </w:p>
    <w:p w:rsidR="00092DD8" w:rsidRDefault="00092DD8">
      <w:pPr>
        <w:pStyle w:val="afe"/>
        <w:rPr>
          <w:sz w:val="23"/>
          <w:szCs w:val="23"/>
        </w:rPr>
      </w:pPr>
      <w:r>
        <w:rPr>
          <w:sz w:val="23"/>
          <w:szCs w:val="23"/>
        </w:rPr>
        <w:t xml:space="preserve">В международных расчетах используются также чеки, впервые появившиеся в </w:t>
      </w:r>
      <w:r>
        <w:rPr>
          <w:sz w:val="23"/>
          <w:szCs w:val="23"/>
          <w:lang w:val="en-US"/>
        </w:rPr>
        <w:t>XVI</w:t>
      </w:r>
      <w:r>
        <w:rPr>
          <w:sz w:val="23"/>
          <w:szCs w:val="23"/>
        </w:rPr>
        <w:t xml:space="preserve"> в. в виде квитанции кассиров, которые за хранение денег взимали проценты с вкладчиков. Если платеж осуществляется с помощью чека, то должник (покупатель) либо самостоятельно выставляет чек (чек клиента), либо поручает его выписку банку (чек банка). Формы и реквизиты чека регулируются национальным и международным законодательством (Чековой конвенцией 1931 г.). Чек подлежит оплате (инкассации) по предъявлении.</w:t>
      </w:r>
    </w:p>
    <w:p w:rsidR="00092DD8" w:rsidRDefault="00092DD8">
      <w:pPr>
        <w:pStyle w:val="afe"/>
        <w:rPr>
          <w:sz w:val="23"/>
          <w:szCs w:val="23"/>
        </w:rPr>
      </w:pPr>
      <w:r>
        <w:rPr>
          <w:sz w:val="23"/>
          <w:szCs w:val="23"/>
        </w:rPr>
        <w:t>В качестве средства платежа в международных расчетах неторгового характера используются дорожные чеки и еврочеки. Дорожный (туристский) чек — платежный документ, денежное обязательство (приказ) выплатить обозначенную на нем сумму валюты его владельцу. Дорожные чеки выписываются крупными банками в национальной и иностранных валютах разного достоинства. Образец подписи владельца проставляется в момент продажи ему чека. Еврочек — чек в евровалюте — выписывается банком без предварительного взноса клиентом наличных денег и на более крупные суммы в счет банковского кредита сроком до месяца; оплачивается в любой стране — участнице соглашения «Еврочек» (с 1968 г.). Единая форма еврочеков, оплата их лишь при условии предъявления владельцами гарантийных карточек, контроль за обработкой еврочеков с помощью ЭВМ способствуют совершенствованию расчетов по международному туризму.</w:t>
      </w:r>
    </w:p>
    <w:p w:rsidR="00092DD8" w:rsidRDefault="00092DD8">
      <w:pPr>
        <w:pStyle w:val="afe"/>
        <w:rPr>
          <w:sz w:val="23"/>
          <w:szCs w:val="23"/>
        </w:rPr>
      </w:pPr>
      <w:r>
        <w:rPr>
          <w:sz w:val="23"/>
          <w:szCs w:val="23"/>
        </w:rPr>
        <w:t xml:space="preserve">С 60-х годов </w:t>
      </w:r>
      <w:r>
        <w:rPr>
          <w:sz w:val="23"/>
          <w:szCs w:val="23"/>
          <w:lang w:val="en-US"/>
        </w:rPr>
        <w:t>XX</w:t>
      </w:r>
      <w:r>
        <w:rPr>
          <w:sz w:val="23"/>
          <w:szCs w:val="23"/>
        </w:rPr>
        <w:t xml:space="preserve"> в. в международных расчетах активно используются кредитные карточки. Кредитная карточка — именной денежный документ, дающий право владельцу приобретать товары и услуги с использованием безналичных расчетов. Преобладают кредитные карточки американского происхождения (Виза Интернэшнл, Мастеркард, Америкэн Экспресс и др.). Для их обработки используется компьютерная, электронная и космическая связь. Компьютеры банков и магазинов через телефон подключаются к центральным компьютерам системы, которые обрабатывают информацию. С переходом к евро с 1999 г. расчеты с использованием многовалютных платежных инструментов ассоциации </w:t>
      </w:r>
      <w:r>
        <w:rPr>
          <w:sz w:val="23"/>
          <w:szCs w:val="23"/>
          <w:lang w:val="en-US"/>
        </w:rPr>
        <w:t>Europay</w:t>
      </w:r>
      <w:r>
        <w:rPr>
          <w:sz w:val="23"/>
          <w:szCs w:val="23"/>
        </w:rPr>
        <w:t xml:space="preserve"> </w:t>
      </w:r>
      <w:r>
        <w:rPr>
          <w:sz w:val="23"/>
          <w:szCs w:val="23"/>
          <w:lang w:val="en-US"/>
        </w:rPr>
        <w:t>International</w:t>
      </w:r>
      <w:r>
        <w:rPr>
          <w:sz w:val="23"/>
          <w:szCs w:val="23"/>
        </w:rPr>
        <w:t xml:space="preserve"> с логотипами </w:t>
      </w:r>
      <w:r>
        <w:rPr>
          <w:sz w:val="23"/>
          <w:szCs w:val="23"/>
          <w:lang w:val="en-US"/>
        </w:rPr>
        <w:t>Maestro</w:t>
      </w:r>
      <w:r>
        <w:rPr>
          <w:sz w:val="23"/>
          <w:szCs w:val="23"/>
        </w:rPr>
        <w:t xml:space="preserve">, </w:t>
      </w:r>
      <w:r>
        <w:rPr>
          <w:sz w:val="23"/>
          <w:szCs w:val="23"/>
          <w:lang w:val="en-US"/>
        </w:rPr>
        <w:t>Eurocard</w:t>
      </w:r>
      <w:r>
        <w:rPr>
          <w:sz w:val="23"/>
          <w:szCs w:val="23"/>
        </w:rPr>
        <w:t>-</w:t>
      </w:r>
      <w:r>
        <w:rPr>
          <w:sz w:val="23"/>
          <w:szCs w:val="23"/>
          <w:lang w:val="en-US"/>
        </w:rPr>
        <w:t>Master</w:t>
      </w:r>
      <w:r>
        <w:rPr>
          <w:sz w:val="23"/>
          <w:szCs w:val="23"/>
        </w:rPr>
        <w:t xml:space="preserve"> </w:t>
      </w:r>
      <w:r>
        <w:rPr>
          <w:sz w:val="23"/>
          <w:szCs w:val="23"/>
          <w:lang w:val="en-US"/>
        </w:rPr>
        <w:t>Card</w:t>
      </w:r>
      <w:r>
        <w:rPr>
          <w:sz w:val="23"/>
          <w:szCs w:val="23"/>
        </w:rPr>
        <w:t xml:space="preserve"> (еврочеки, кредитные карточки) номинированы в общеевропейской валюте. В выписках по счету клиента указываются сумма покупки в евро и эквивалент в валюте банковского счета. Это позволяет сравнивать цены на товары в разных странах, конвертировать банковские счета в евро, т. е. приобрести опыт использования общеевропейской валюты. В сеть Интернет введена информация о платежных продуктах и услугах в евро.</w:t>
      </w:r>
    </w:p>
    <w:p w:rsidR="00092DD8" w:rsidRDefault="00092DD8">
      <w:pPr>
        <w:pStyle w:val="afe"/>
        <w:rPr>
          <w:sz w:val="23"/>
          <w:szCs w:val="23"/>
        </w:rPr>
      </w:pPr>
      <w:r>
        <w:rPr>
          <w:sz w:val="23"/>
          <w:szCs w:val="23"/>
        </w:rPr>
        <w:t>С конца 80-х годов банки России стали выпускать кредитные карточки. В середине 90-х годов в России применялось 3 млн. пластиковых карточек, включая международные. Это немного по сравнению с населением (около 150 млн.) и развитыми странами, где их количество превышает численность населения.</w:t>
      </w:r>
    </w:p>
    <w:p w:rsidR="00092DD8" w:rsidRDefault="00092DD8">
      <w:pPr>
        <w:pStyle w:val="afe"/>
        <w:rPr>
          <w:sz w:val="23"/>
          <w:szCs w:val="23"/>
        </w:rPr>
      </w:pPr>
      <w:r>
        <w:rPr>
          <w:sz w:val="23"/>
          <w:szCs w:val="23"/>
        </w:rPr>
        <w:t>Под влиянием НТР в международные расчеты активно внедряются ЭВМ, используются электронные сигналы в виде записей в памяти банковских компьютеров, передаваемых по каналам дистанционной связи. Передача информации по межбанковским расчетам осуществляется через СВИФТ.</w:t>
      </w:r>
    </w:p>
    <w:p w:rsidR="00092DD8" w:rsidRDefault="00092DD8">
      <w:pPr>
        <w:pStyle w:val="1"/>
        <w:rPr>
          <w:color w:val="808080"/>
          <w:sz w:val="27"/>
          <w:szCs w:val="27"/>
        </w:rPr>
      </w:pPr>
      <w:r>
        <w:rPr>
          <w:color w:val="808080"/>
          <w:sz w:val="27"/>
          <w:szCs w:val="27"/>
        </w:rPr>
        <w:t>3. ПЛАТЕЖНЫЙ БАЛАНС РОССИИ</w:t>
      </w:r>
    </w:p>
    <w:p w:rsidR="00092DD8" w:rsidRDefault="00092DD8">
      <w:pPr>
        <w:pStyle w:val="afe"/>
        <w:rPr>
          <w:sz w:val="23"/>
          <w:szCs w:val="23"/>
        </w:rPr>
      </w:pPr>
      <w:r>
        <w:rPr>
          <w:sz w:val="23"/>
          <w:szCs w:val="23"/>
        </w:rPr>
        <w:t>В СССР платежный баланс страны был секретным документом и никогда не публиковался. В составлении его участвовали Министерство финансов и Внешэкономбанк. С 1992 г. платежный баланс России составляется в соответствии с пятым изданием (1993 г.) Руководства МВФ по составлению платежного баланса. Ответственность за составление платежного баланса лежит на Центральном банке РФ, который на основе представленной ему отчетности составляет финансовые счета, и Госкомстате РФ, который несет ответственность за обобщение данных по текущим операциям платежного баланса.</w:t>
      </w:r>
    </w:p>
    <w:p w:rsidR="00092DD8" w:rsidRDefault="00092DD8">
      <w:pPr>
        <w:pStyle w:val="afe"/>
        <w:rPr>
          <w:sz w:val="23"/>
          <w:szCs w:val="23"/>
        </w:rPr>
      </w:pPr>
      <w:r>
        <w:rPr>
          <w:sz w:val="23"/>
          <w:szCs w:val="23"/>
        </w:rPr>
        <w:t xml:space="preserve">В соответствии с требованиями Руководства платежный баланс составляется по методу начислений, т.е. операции отражаются в момент передачи прав собственности на товары, активы и завершения оказанных услуг. Этот метод отличается от метода учета на кассовой основе, в соответствии с которым операция отражается на момент ее оплаты. Однако составить балансы по такому методу сложно, и они редко встречаются на практике. Платежный баланс РФ формируется на поквартальной основе, составляются и публикуются сводные балансы за первое полугодие и за год (табл. 2). </w:t>
      </w:r>
    </w:p>
    <w:p w:rsidR="00092DD8" w:rsidRDefault="00092DD8">
      <w:pPr>
        <w:pStyle w:val="afe"/>
        <w:rPr>
          <w:sz w:val="23"/>
          <w:szCs w:val="23"/>
        </w:rPr>
      </w:pPr>
      <w:r>
        <w:rPr>
          <w:sz w:val="23"/>
          <w:szCs w:val="23"/>
        </w:rPr>
        <w:t>Руководство по платежному балансу ориентирует на увязку его основных показателей с показателями системы национальных счетов, которая является основой для анализа макроэкономических процессов и включает показатели ВВП, сбережений, инвестиций, потребления. Измененное Руководство учитывает распространение в международной практике новых финансовых инструментов, расширение масштабов реструктуризации долга развивающихся стран. Последнее обстоятельство особенно важно для составления платежного баланса России.</w:t>
      </w:r>
    </w:p>
    <w:p w:rsidR="00092DD8" w:rsidRDefault="00092DD8">
      <w:pPr>
        <w:pStyle w:val="afe"/>
        <w:rPr>
          <w:sz w:val="23"/>
          <w:szCs w:val="23"/>
        </w:rPr>
      </w:pPr>
      <w:r>
        <w:rPr>
          <w:sz w:val="23"/>
          <w:szCs w:val="23"/>
        </w:rPr>
        <w:t>Платежный баланс России состоит из двух основных разделов: текущие операции и операции с капиталом и финансовыми инструментами. Поскольку сумма всех кредитовых проводок должна совпадать с суммой дебетовых, а сальдо должно равняться нулю, то показатели этих двух счетов теоретически должны уравновешиваться. Однако на практике это недостижимо, и поэтому вводится балансирующая статья «Ошибки и пропуски». В российском платежном балансе этот показатель составляет 7—9% экспорта, что много даже по меркам развивающихся стран. К тому же подлинные масштабы ошибок и пропусков всегда остаются неизвестны, поскольку неучтенные кредитовые и дебетовые операции могут взаимно уравновешиваться. Чем больше размер ошибок и пропусков, тем менее адекватно платежный баланс отражает международные экономические операции страны. Большой показатель ошибок и пропусков в российском платежном балансе обусловлен как несовершенством учета операций по текущим и капитальным статьям, так и скрытыми формами «бегства» капитала. Поэтому статья «Ошибки и пропуски» обычно имеет знак минус, что свидетельствует об увеличении активов за рубежом.</w:t>
      </w:r>
    </w:p>
    <w:p w:rsidR="00092DD8" w:rsidRDefault="00092DD8">
      <w:pPr>
        <w:pStyle w:val="afe"/>
        <w:rPr>
          <w:sz w:val="23"/>
          <w:szCs w:val="23"/>
        </w:rPr>
      </w:pPr>
    </w:p>
    <w:p w:rsidR="00092DD8" w:rsidRDefault="00092DD8">
      <w:pPr>
        <w:pStyle w:val="afe"/>
        <w:tabs>
          <w:tab w:val="right" w:pos="9358"/>
        </w:tabs>
        <w:jc w:val="right"/>
        <w:rPr>
          <w:sz w:val="23"/>
          <w:szCs w:val="23"/>
        </w:rPr>
      </w:pPr>
      <w:r>
        <w:rPr>
          <w:sz w:val="23"/>
          <w:szCs w:val="23"/>
        </w:rPr>
        <w:t>Таблица 2</w:t>
      </w:r>
    </w:p>
    <w:p w:rsidR="00092DD8" w:rsidRDefault="00092DD8">
      <w:pPr>
        <w:pStyle w:val="afe"/>
        <w:ind w:firstLine="0"/>
        <w:jc w:val="center"/>
        <w:rPr>
          <w:sz w:val="23"/>
          <w:szCs w:val="23"/>
        </w:rPr>
      </w:pPr>
      <w:r>
        <w:rPr>
          <w:sz w:val="23"/>
          <w:szCs w:val="23"/>
        </w:rPr>
        <w:t>ПЛАТЕЖНЫЙ БАЛАНС РОССИЙСКОЙ ФЕДЕРАЦИИ</w:t>
      </w:r>
    </w:p>
    <w:p w:rsidR="00092DD8" w:rsidRDefault="00092DD8">
      <w:pPr>
        <w:pStyle w:val="afe"/>
        <w:ind w:firstLine="0"/>
        <w:jc w:val="center"/>
        <w:rPr>
          <w:sz w:val="23"/>
          <w:szCs w:val="23"/>
        </w:rPr>
      </w:pPr>
      <w:r>
        <w:rPr>
          <w:sz w:val="23"/>
          <w:szCs w:val="23"/>
        </w:rPr>
        <w:t>(млрд. долл. США)</w:t>
      </w:r>
    </w:p>
    <w:tbl>
      <w:tblPr>
        <w:tblW w:w="0" w:type="auto"/>
        <w:tblCellMar>
          <w:left w:w="40" w:type="dxa"/>
          <w:right w:w="40" w:type="dxa"/>
        </w:tblCellMar>
        <w:tblLook w:val="0000" w:firstRow="0" w:lastRow="0" w:firstColumn="0" w:lastColumn="0" w:noHBand="0" w:noVBand="0"/>
      </w:tblPr>
      <w:tblGrid>
        <w:gridCol w:w="4481"/>
        <w:gridCol w:w="838"/>
        <w:gridCol w:w="838"/>
        <w:gridCol w:w="810"/>
        <w:gridCol w:w="889"/>
        <w:gridCol w:w="1581"/>
      </w:tblGrid>
      <w:tr w:rsidR="00092DD8">
        <w:trPr>
          <w:trHeight w:val="510"/>
        </w:trPr>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Показатели</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1994</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1995</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1996</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1997</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xml:space="preserve">1998 </w:t>
            </w:r>
            <w:r>
              <w:rPr>
                <w:color w:val="808080"/>
                <w:sz w:val="23"/>
                <w:szCs w:val="23"/>
              </w:rPr>
              <w:br/>
              <w:t xml:space="preserve">(первое </w:t>
            </w:r>
            <w:r>
              <w:rPr>
                <w:color w:val="808080"/>
                <w:sz w:val="23"/>
                <w:szCs w:val="23"/>
              </w:rPr>
              <w:br/>
              <w:t>полугодие)</w:t>
            </w:r>
          </w:p>
        </w:tc>
      </w:tr>
      <w:tr w:rsidR="00092DD8">
        <w:trPr>
          <w:trHeight w:val="462"/>
        </w:trPr>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left"/>
              <w:rPr>
                <w:color w:val="808080"/>
                <w:sz w:val="23"/>
                <w:szCs w:val="23"/>
              </w:rPr>
            </w:pPr>
            <w:r>
              <w:rPr>
                <w:color w:val="808080"/>
                <w:sz w:val="23"/>
                <w:szCs w:val="23"/>
                <w:lang w:val="en-US"/>
              </w:rPr>
              <w:t>I</w:t>
            </w:r>
            <w:r>
              <w:rPr>
                <w:color w:val="808080"/>
                <w:sz w:val="23"/>
                <w:szCs w:val="23"/>
              </w:rPr>
              <w:t>. Счет текущих операций</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+ 9,3</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+ 8,0</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+ 12,0</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+ 3,3</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—6,0</w:t>
            </w:r>
          </w:p>
        </w:tc>
      </w:tr>
      <w:tr w:rsidR="00092DD8">
        <w:trPr>
          <w:trHeight w:val="463"/>
        </w:trPr>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left"/>
              <w:rPr>
                <w:color w:val="808080"/>
                <w:sz w:val="23"/>
                <w:szCs w:val="23"/>
              </w:rPr>
            </w:pPr>
            <w:r>
              <w:rPr>
                <w:color w:val="808080"/>
                <w:sz w:val="23"/>
                <w:szCs w:val="23"/>
              </w:rPr>
              <w:t>1. Товары в том числе:</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+ 17,8</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+ 20,8</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+ 23,0</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+ 17,6</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+ 2,1</w:t>
            </w:r>
          </w:p>
        </w:tc>
      </w:tr>
      <w:tr w:rsidR="00092DD8">
        <w:trPr>
          <w:trHeight w:val="463"/>
        </w:trPr>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left"/>
              <w:rPr>
                <w:color w:val="808080"/>
                <w:sz w:val="23"/>
                <w:szCs w:val="23"/>
              </w:rPr>
            </w:pPr>
            <w:r>
              <w:rPr>
                <w:color w:val="808080"/>
                <w:sz w:val="23"/>
                <w:szCs w:val="23"/>
              </w:rPr>
              <w:t xml:space="preserve">                экспорт</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+ 67,8</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+ 82,6</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+ 90,5</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+ 89,0</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+ 36,5</w:t>
            </w:r>
          </w:p>
        </w:tc>
      </w:tr>
      <w:tr w:rsidR="00092DD8">
        <w:trPr>
          <w:trHeight w:val="463"/>
        </w:trPr>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left"/>
              <w:rPr>
                <w:color w:val="808080"/>
                <w:sz w:val="23"/>
                <w:szCs w:val="23"/>
              </w:rPr>
            </w:pPr>
            <w:r>
              <w:rPr>
                <w:color w:val="808080"/>
                <w:sz w:val="23"/>
                <w:szCs w:val="23"/>
              </w:rPr>
              <w:t xml:space="preserve">                импорт</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—50,0</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—61,8</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-67,5</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—71,4</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—34,4</w:t>
            </w:r>
          </w:p>
        </w:tc>
      </w:tr>
      <w:tr w:rsidR="00092DD8">
        <w:trPr>
          <w:trHeight w:val="510"/>
        </w:trPr>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left"/>
              <w:rPr>
                <w:color w:val="808080"/>
                <w:sz w:val="23"/>
                <w:szCs w:val="23"/>
              </w:rPr>
            </w:pPr>
            <w:r>
              <w:rPr>
                <w:color w:val="808080"/>
                <w:sz w:val="23"/>
                <w:szCs w:val="23"/>
              </w:rPr>
              <w:t>2. Услуги</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—6,6</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—9,6</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-5,8</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—5,1</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-2,5</w:t>
            </w:r>
          </w:p>
        </w:tc>
      </w:tr>
      <w:tr w:rsidR="00092DD8">
        <w:trPr>
          <w:trHeight w:val="511"/>
        </w:trPr>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left"/>
              <w:rPr>
                <w:color w:val="808080"/>
                <w:sz w:val="23"/>
                <w:szCs w:val="23"/>
              </w:rPr>
            </w:pPr>
            <w:r>
              <w:rPr>
                <w:color w:val="808080"/>
                <w:sz w:val="23"/>
                <w:szCs w:val="23"/>
              </w:rPr>
              <w:t>3. Оплата труда</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—0,1</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—0,3</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—0,4</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-0,3</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—0,2</w:t>
            </w:r>
          </w:p>
        </w:tc>
      </w:tr>
      <w:tr w:rsidR="00092DD8">
        <w:trPr>
          <w:trHeight w:hRule="exact" w:val="510"/>
        </w:trPr>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left"/>
              <w:rPr>
                <w:color w:val="808080"/>
                <w:sz w:val="23"/>
                <w:szCs w:val="23"/>
              </w:rPr>
            </w:pPr>
            <w:r>
              <w:rPr>
                <w:color w:val="808080"/>
                <w:sz w:val="23"/>
                <w:szCs w:val="23"/>
              </w:rPr>
              <w:t>4. Доходы от инвестиций</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—1,7</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—3,0</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—5,0</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—8,2</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-5,0</w:t>
            </w:r>
          </w:p>
        </w:tc>
      </w:tr>
      <w:tr w:rsidR="00092DD8">
        <w:trPr>
          <w:trHeight w:val="510"/>
        </w:trPr>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left"/>
              <w:rPr>
                <w:color w:val="808080"/>
                <w:sz w:val="23"/>
                <w:szCs w:val="23"/>
              </w:rPr>
            </w:pPr>
            <w:r>
              <w:rPr>
                <w:color w:val="808080"/>
                <w:sz w:val="23"/>
                <w:szCs w:val="23"/>
              </w:rPr>
              <w:t>5. Текущие трансферты</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-0,1</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+ 0,1</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+ 0,2</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—0,6</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-0,5</w:t>
            </w:r>
          </w:p>
        </w:tc>
      </w:tr>
      <w:tr w:rsidR="00092DD8">
        <w:trPr>
          <w:trHeight w:val="511"/>
        </w:trPr>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left"/>
              <w:rPr>
                <w:color w:val="808080"/>
                <w:sz w:val="23"/>
                <w:szCs w:val="23"/>
              </w:rPr>
            </w:pPr>
            <w:r>
              <w:rPr>
                <w:color w:val="808080"/>
                <w:sz w:val="23"/>
                <w:szCs w:val="23"/>
              </w:rPr>
              <w:t>П. Счет операций с капиталом (трансферты капитала)</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+ 2,0</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—0,3</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-0,4</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—0,8</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-0,3</w:t>
            </w:r>
          </w:p>
        </w:tc>
      </w:tr>
      <w:tr w:rsidR="00092DD8">
        <w:trPr>
          <w:trHeight w:val="510"/>
        </w:trPr>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left"/>
              <w:rPr>
                <w:color w:val="808080"/>
                <w:sz w:val="23"/>
                <w:szCs w:val="23"/>
              </w:rPr>
            </w:pPr>
            <w:r>
              <w:rPr>
                <w:color w:val="808080"/>
                <w:sz w:val="23"/>
                <w:szCs w:val="23"/>
                <w:lang w:val="en-US"/>
              </w:rPr>
              <w:t>III</w:t>
            </w:r>
            <w:r>
              <w:rPr>
                <w:color w:val="808080"/>
                <w:sz w:val="23"/>
                <w:szCs w:val="23"/>
              </w:rPr>
              <w:t>. Финансовый счет</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—10,9</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+ 0,2</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-3,1</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+ 4,5</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+ 8,9</w:t>
            </w:r>
          </w:p>
        </w:tc>
      </w:tr>
      <w:tr w:rsidR="00092DD8">
        <w:trPr>
          <w:trHeight w:val="511"/>
        </w:trPr>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left"/>
              <w:rPr>
                <w:color w:val="808080"/>
                <w:sz w:val="23"/>
                <w:szCs w:val="23"/>
              </w:rPr>
            </w:pPr>
            <w:r>
              <w:rPr>
                <w:color w:val="808080"/>
                <w:sz w:val="23"/>
                <w:szCs w:val="23"/>
              </w:rPr>
              <w:t>1. Прямые инвестиции</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+ 0,5</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+ 1,6</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+ 1,7</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+ 3,5</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+ 0,7</w:t>
            </w:r>
          </w:p>
        </w:tc>
      </w:tr>
      <w:tr w:rsidR="00092DD8">
        <w:trPr>
          <w:trHeight w:val="511"/>
        </w:trPr>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left"/>
              <w:rPr>
                <w:color w:val="808080"/>
                <w:sz w:val="23"/>
                <w:szCs w:val="23"/>
              </w:rPr>
            </w:pPr>
            <w:r>
              <w:rPr>
                <w:color w:val="808080"/>
                <w:sz w:val="23"/>
                <w:szCs w:val="23"/>
              </w:rPr>
              <w:t>2. Портфельные инвестиции</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+ 0,1</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1,6</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+ 9,7</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+45,4</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+ 7,4</w:t>
            </w:r>
          </w:p>
        </w:tc>
      </w:tr>
      <w:tr w:rsidR="00092DD8">
        <w:trPr>
          <w:trHeight w:val="510"/>
        </w:trPr>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left"/>
              <w:rPr>
                <w:color w:val="808080"/>
                <w:sz w:val="23"/>
                <w:szCs w:val="23"/>
              </w:rPr>
            </w:pPr>
            <w:r>
              <w:rPr>
                <w:color w:val="808080"/>
                <w:sz w:val="23"/>
                <w:szCs w:val="23"/>
              </w:rPr>
              <w:t>3. Прочие инвестиции</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—11,7</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+ 9,5</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-15,9</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-42,5</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—0,8</w:t>
            </w:r>
          </w:p>
        </w:tc>
      </w:tr>
      <w:tr w:rsidR="00092DD8">
        <w:trPr>
          <w:trHeight w:val="511"/>
        </w:trPr>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left"/>
              <w:rPr>
                <w:color w:val="808080"/>
                <w:sz w:val="23"/>
                <w:szCs w:val="23"/>
              </w:rPr>
            </w:pPr>
            <w:r>
              <w:rPr>
                <w:color w:val="808080"/>
                <w:sz w:val="23"/>
                <w:szCs w:val="23"/>
              </w:rPr>
              <w:t>4. Резервные активы</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+ 1,9</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—10,4</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+ 2,8</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-1,9</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+ 1,6</w:t>
            </w:r>
          </w:p>
        </w:tc>
      </w:tr>
      <w:tr w:rsidR="00092DD8">
        <w:trPr>
          <w:trHeight w:val="511"/>
        </w:trPr>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pStyle w:val="aff6"/>
              <w:keepNext w:val="0"/>
              <w:keepLines w:val="0"/>
              <w:widowControl w:val="0"/>
              <w:autoSpaceDE w:val="0"/>
              <w:autoSpaceDN w:val="0"/>
              <w:adjustRightInd w:val="0"/>
              <w:rPr>
                <w:color w:val="808080"/>
                <w:kern w:val="0"/>
                <w:sz w:val="23"/>
                <w:szCs w:val="20"/>
              </w:rPr>
            </w:pPr>
            <w:r>
              <w:rPr>
                <w:color w:val="808080"/>
                <w:kern w:val="0"/>
                <w:sz w:val="23"/>
                <w:szCs w:val="20"/>
              </w:rPr>
              <w:t>5. Поправка к резервным активам*</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—1,9</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+ 1,0</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-1,5</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092DD8" w:rsidRDefault="00092DD8">
            <w:pPr>
              <w:jc w:val="center"/>
              <w:rPr>
                <w:color w:val="808080"/>
                <w:sz w:val="23"/>
                <w:szCs w:val="23"/>
              </w:rPr>
            </w:pPr>
            <w:r>
              <w:rPr>
                <w:color w:val="808080"/>
                <w:sz w:val="23"/>
                <w:szCs w:val="23"/>
              </w:rPr>
              <w:t>—</w:t>
            </w:r>
          </w:p>
        </w:tc>
      </w:tr>
      <w:tr w:rsidR="00092DD8">
        <w:trPr>
          <w:trHeight w:val="510"/>
        </w:trPr>
        <w:tc>
          <w:tcPr>
            <w:tcW w:w="0" w:type="auto"/>
            <w:tcBorders>
              <w:top w:val="single" w:sz="6" w:space="0" w:color="000000"/>
              <w:left w:val="single" w:sz="6" w:space="0" w:color="000000"/>
              <w:bottom w:val="single" w:sz="4" w:space="0" w:color="auto"/>
              <w:right w:val="single" w:sz="6" w:space="0" w:color="000000"/>
            </w:tcBorders>
            <w:vAlign w:val="center"/>
          </w:tcPr>
          <w:p w:rsidR="00092DD8" w:rsidRDefault="00092DD8">
            <w:pPr>
              <w:jc w:val="left"/>
              <w:rPr>
                <w:color w:val="808080"/>
                <w:sz w:val="23"/>
                <w:szCs w:val="23"/>
              </w:rPr>
            </w:pPr>
            <w:r>
              <w:rPr>
                <w:color w:val="808080"/>
                <w:sz w:val="23"/>
                <w:szCs w:val="23"/>
                <w:lang w:val="en-US"/>
              </w:rPr>
              <w:t>IV</w:t>
            </w:r>
            <w:r>
              <w:rPr>
                <w:color w:val="808080"/>
                <w:sz w:val="23"/>
                <w:szCs w:val="23"/>
              </w:rPr>
              <w:t>. Чистые  ошибки  и  пропуски</w:t>
            </w:r>
          </w:p>
        </w:tc>
        <w:tc>
          <w:tcPr>
            <w:tcW w:w="0" w:type="auto"/>
            <w:tcBorders>
              <w:top w:val="single" w:sz="6" w:space="0" w:color="000000"/>
              <w:left w:val="single" w:sz="6" w:space="0" w:color="000000"/>
              <w:bottom w:val="single" w:sz="4" w:space="0" w:color="auto"/>
              <w:right w:val="single" w:sz="6" w:space="0" w:color="000000"/>
            </w:tcBorders>
            <w:vAlign w:val="center"/>
          </w:tcPr>
          <w:p w:rsidR="00092DD8" w:rsidRDefault="00092DD8">
            <w:pPr>
              <w:jc w:val="center"/>
              <w:rPr>
                <w:color w:val="808080"/>
                <w:sz w:val="23"/>
                <w:szCs w:val="23"/>
              </w:rPr>
            </w:pPr>
            <w:r>
              <w:rPr>
                <w:color w:val="808080"/>
                <w:sz w:val="23"/>
                <w:szCs w:val="23"/>
              </w:rPr>
              <w:t>-0,4</w:t>
            </w:r>
          </w:p>
        </w:tc>
        <w:tc>
          <w:tcPr>
            <w:tcW w:w="0" w:type="auto"/>
            <w:tcBorders>
              <w:top w:val="single" w:sz="6" w:space="0" w:color="000000"/>
              <w:left w:val="single" w:sz="6" w:space="0" w:color="000000"/>
              <w:bottom w:val="single" w:sz="4" w:space="0" w:color="auto"/>
              <w:right w:val="single" w:sz="6" w:space="0" w:color="000000"/>
            </w:tcBorders>
            <w:vAlign w:val="center"/>
          </w:tcPr>
          <w:p w:rsidR="00092DD8" w:rsidRDefault="00092DD8">
            <w:pPr>
              <w:jc w:val="center"/>
              <w:rPr>
                <w:color w:val="808080"/>
                <w:sz w:val="23"/>
                <w:szCs w:val="23"/>
              </w:rPr>
            </w:pPr>
            <w:r>
              <w:rPr>
                <w:color w:val="808080"/>
                <w:sz w:val="23"/>
                <w:szCs w:val="23"/>
              </w:rPr>
              <w:t>—7,9</w:t>
            </w:r>
          </w:p>
        </w:tc>
        <w:tc>
          <w:tcPr>
            <w:tcW w:w="0" w:type="auto"/>
            <w:tcBorders>
              <w:top w:val="single" w:sz="6" w:space="0" w:color="000000"/>
              <w:left w:val="single" w:sz="6" w:space="0" w:color="000000"/>
              <w:bottom w:val="single" w:sz="4" w:space="0" w:color="auto"/>
              <w:right w:val="single" w:sz="6" w:space="0" w:color="000000"/>
            </w:tcBorders>
            <w:vAlign w:val="center"/>
          </w:tcPr>
          <w:p w:rsidR="00092DD8" w:rsidRDefault="00092DD8">
            <w:pPr>
              <w:jc w:val="center"/>
              <w:rPr>
                <w:color w:val="808080"/>
                <w:sz w:val="23"/>
                <w:szCs w:val="23"/>
              </w:rPr>
            </w:pPr>
            <w:r>
              <w:rPr>
                <w:color w:val="808080"/>
                <w:sz w:val="23"/>
                <w:szCs w:val="23"/>
              </w:rPr>
              <w:t>-8,5</w:t>
            </w:r>
          </w:p>
        </w:tc>
        <w:tc>
          <w:tcPr>
            <w:tcW w:w="0" w:type="auto"/>
            <w:tcBorders>
              <w:top w:val="single" w:sz="6" w:space="0" w:color="000000"/>
              <w:left w:val="single" w:sz="6" w:space="0" w:color="000000"/>
              <w:bottom w:val="single" w:sz="4" w:space="0" w:color="auto"/>
              <w:right w:val="single" w:sz="6" w:space="0" w:color="000000"/>
            </w:tcBorders>
            <w:vAlign w:val="center"/>
          </w:tcPr>
          <w:p w:rsidR="00092DD8" w:rsidRDefault="00092DD8">
            <w:pPr>
              <w:jc w:val="center"/>
              <w:rPr>
                <w:color w:val="808080"/>
                <w:sz w:val="23"/>
                <w:szCs w:val="23"/>
              </w:rPr>
            </w:pPr>
            <w:r>
              <w:rPr>
                <w:color w:val="808080"/>
                <w:sz w:val="23"/>
                <w:szCs w:val="23"/>
              </w:rPr>
              <w:t>—7,0</w:t>
            </w:r>
          </w:p>
        </w:tc>
        <w:tc>
          <w:tcPr>
            <w:tcW w:w="0" w:type="auto"/>
            <w:tcBorders>
              <w:top w:val="single" w:sz="6" w:space="0" w:color="000000"/>
              <w:left w:val="single" w:sz="6" w:space="0" w:color="000000"/>
              <w:bottom w:val="single" w:sz="4" w:space="0" w:color="auto"/>
              <w:right w:val="single" w:sz="6" w:space="0" w:color="000000"/>
            </w:tcBorders>
            <w:vAlign w:val="center"/>
          </w:tcPr>
          <w:p w:rsidR="00092DD8" w:rsidRDefault="00092DD8">
            <w:pPr>
              <w:jc w:val="center"/>
              <w:rPr>
                <w:color w:val="808080"/>
                <w:sz w:val="23"/>
                <w:szCs w:val="23"/>
              </w:rPr>
            </w:pPr>
            <w:r>
              <w:rPr>
                <w:color w:val="808080"/>
                <w:sz w:val="23"/>
                <w:szCs w:val="23"/>
              </w:rPr>
              <w:t>-2,6</w:t>
            </w:r>
          </w:p>
        </w:tc>
      </w:tr>
      <w:tr w:rsidR="00092DD8">
        <w:trPr>
          <w:trHeight w:val="511"/>
        </w:trPr>
        <w:tc>
          <w:tcPr>
            <w:tcW w:w="0" w:type="auto"/>
            <w:tcBorders>
              <w:top w:val="single" w:sz="4" w:space="0" w:color="auto"/>
              <w:left w:val="single" w:sz="4" w:space="0" w:color="auto"/>
              <w:bottom w:val="single" w:sz="4" w:space="0" w:color="auto"/>
              <w:right w:val="single" w:sz="4" w:space="0" w:color="auto"/>
            </w:tcBorders>
            <w:vAlign w:val="center"/>
          </w:tcPr>
          <w:p w:rsidR="00092DD8" w:rsidRDefault="00092DD8">
            <w:pPr>
              <w:jc w:val="left"/>
              <w:rPr>
                <w:color w:val="808080"/>
                <w:sz w:val="23"/>
                <w:szCs w:val="23"/>
              </w:rPr>
            </w:pPr>
            <w:r>
              <w:rPr>
                <w:color w:val="808080"/>
                <w:sz w:val="23"/>
                <w:szCs w:val="23"/>
              </w:rPr>
              <w:t>Общее сальдо</w:t>
            </w:r>
          </w:p>
        </w:tc>
        <w:tc>
          <w:tcPr>
            <w:tcW w:w="0" w:type="auto"/>
            <w:tcBorders>
              <w:top w:val="single" w:sz="4" w:space="0" w:color="auto"/>
              <w:left w:val="single" w:sz="4" w:space="0" w:color="auto"/>
              <w:bottom w:val="single" w:sz="4" w:space="0" w:color="auto"/>
              <w:right w:val="single" w:sz="4" w:space="0" w:color="auto"/>
            </w:tcBorders>
            <w:vAlign w:val="center"/>
          </w:tcPr>
          <w:p w:rsidR="00092DD8" w:rsidRDefault="00092DD8">
            <w:pPr>
              <w:jc w:val="center"/>
              <w:rPr>
                <w:color w:val="808080"/>
                <w:sz w:val="23"/>
                <w:szCs w:val="23"/>
              </w:rPr>
            </w:pPr>
            <w:r>
              <w:rPr>
                <w:color w:val="808080"/>
                <w:sz w:val="23"/>
                <w:szCs w:val="23"/>
              </w:rPr>
              <w:t>0</w:t>
            </w:r>
          </w:p>
        </w:tc>
        <w:tc>
          <w:tcPr>
            <w:tcW w:w="0" w:type="auto"/>
            <w:tcBorders>
              <w:top w:val="single" w:sz="4" w:space="0" w:color="auto"/>
              <w:left w:val="single" w:sz="4" w:space="0" w:color="auto"/>
              <w:bottom w:val="single" w:sz="4" w:space="0" w:color="auto"/>
              <w:right w:val="single" w:sz="4" w:space="0" w:color="auto"/>
            </w:tcBorders>
            <w:vAlign w:val="center"/>
          </w:tcPr>
          <w:p w:rsidR="00092DD8" w:rsidRDefault="00092DD8">
            <w:pPr>
              <w:jc w:val="center"/>
              <w:rPr>
                <w:color w:val="808080"/>
                <w:sz w:val="23"/>
                <w:szCs w:val="23"/>
              </w:rPr>
            </w:pPr>
            <w:r>
              <w:rPr>
                <w:color w:val="808080"/>
                <w:sz w:val="23"/>
                <w:szCs w:val="23"/>
              </w:rPr>
              <w:t>0</w:t>
            </w:r>
          </w:p>
        </w:tc>
        <w:tc>
          <w:tcPr>
            <w:tcW w:w="0" w:type="auto"/>
            <w:tcBorders>
              <w:top w:val="single" w:sz="4" w:space="0" w:color="auto"/>
              <w:left w:val="single" w:sz="4" w:space="0" w:color="auto"/>
              <w:bottom w:val="single" w:sz="4" w:space="0" w:color="auto"/>
              <w:right w:val="single" w:sz="4" w:space="0" w:color="auto"/>
            </w:tcBorders>
            <w:vAlign w:val="center"/>
          </w:tcPr>
          <w:p w:rsidR="00092DD8" w:rsidRDefault="00092DD8">
            <w:pPr>
              <w:jc w:val="center"/>
              <w:rPr>
                <w:color w:val="808080"/>
                <w:sz w:val="23"/>
                <w:szCs w:val="23"/>
              </w:rPr>
            </w:pPr>
            <w:r>
              <w:rPr>
                <w:color w:val="808080"/>
                <w:sz w:val="23"/>
                <w:szCs w:val="23"/>
              </w:rPr>
              <w:t>0</w:t>
            </w:r>
          </w:p>
        </w:tc>
        <w:tc>
          <w:tcPr>
            <w:tcW w:w="0" w:type="auto"/>
            <w:tcBorders>
              <w:top w:val="single" w:sz="4" w:space="0" w:color="auto"/>
              <w:left w:val="single" w:sz="4" w:space="0" w:color="auto"/>
              <w:bottom w:val="single" w:sz="4" w:space="0" w:color="auto"/>
              <w:right w:val="single" w:sz="4" w:space="0" w:color="auto"/>
            </w:tcBorders>
            <w:vAlign w:val="center"/>
          </w:tcPr>
          <w:p w:rsidR="00092DD8" w:rsidRDefault="00092DD8">
            <w:pPr>
              <w:jc w:val="center"/>
              <w:rPr>
                <w:color w:val="808080"/>
                <w:sz w:val="23"/>
                <w:szCs w:val="23"/>
              </w:rPr>
            </w:pPr>
            <w:r>
              <w:rPr>
                <w:color w:val="808080"/>
                <w:sz w:val="23"/>
                <w:szCs w:val="23"/>
              </w:rPr>
              <w:t>0</w:t>
            </w:r>
          </w:p>
        </w:tc>
        <w:tc>
          <w:tcPr>
            <w:tcW w:w="0" w:type="auto"/>
            <w:tcBorders>
              <w:top w:val="single" w:sz="4" w:space="0" w:color="auto"/>
              <w:left w:val="single" w:sz="4" w:space="0" w:color="auto"/>
              <w:bottom w:val="single" w:sz="4" w:space="0" w:color="auto"/>
              <w:right w:val="single" w:sz="4" w:space="0" w:color="auto"/>
            </w:tcBorders>
            <w:vAlign w:val="center"/>
          </w:tcPr>
          <w:p w:rsidR="00092DD8" w:rsidRDefault="00092DD8">
            <w:pPr>
              <w:jc w:val="center"/>
              <w:rPr>
                <w:color w:val="808080"/>
                <w:sz w:val="23"/>
                <w:szCs w:val="23"/>
              </w:rPr>
            </w:pPr>
            <w:r>
              <w:rPr>
                <w:color w:val="808080"/>
                <w:sz w:val="23"/>
                <w:szCs w:val="23"/>
              </w:rPr>
              <w:t>0</w:t>
            </w:r>
          </w:p>
        </w:tc>
      </w:tr>
      <w:tr w:rsidR="00092DD8">
        <w:trPr>
          <w:trHeight w:val="511"/>
        </w:trPr>
        <w:tc>
          <w:tcPr>
            <w:tcW w:w="0" w:type="auto"/>
            <w:gridSpan w:val="6"/>
            <w:tcBorders>
              <w:top w:val="single" w:sz="4" w:space="0" w:color="auto"/>
              <w:left w:val="single" w:sz="4" w:space="0" w:color="auto"/>
              <w:bottom w:val="single" w:sz="4" w:space="0" w:color="auto"/>
              <w:right w:val="single" w:sz="4" w:space="0" w:color="auto"/>
            </w:tcBorders>
          </w:tcPr>
          <w:p w:rsidR="00092DD8" w:rsidRDefault="00092DD8">
            <w:pPr>
              <w:pStyle w:val="afe"/>
              <w:rPr>
                <w:sz w:val="23"/>
                <w:szCs w:val="23"/>
              </w:rPr>
            </w:pPr>
            <w:r>
              <w:rPr>
                <w:sz w:val="23"/>
                <w:szCs w:val="23"/>
              </w:rPr>
              <w:t>* Данная поправка обусловлена тем, что в России в состав резервных активов включены активы Минфина, что противоречит методологии Руководства МВФ по составлению платежного баланса.</w:t>
            </w:r>
          </w:p>
        </w:tc>
      </w:tr>
    </w:tbl>
    <w:p w:rsidR="00092DD8" w:rsidRDefault="00092DD8">
      <w:pPr>
        <w:pStyle w:val="afe"/>
        <w:rPr>
          <w:sz w:val="23"/>
          <w:szCs w:val="23"/>
        </w:rPr>
      </w:pPr>
      <w:r>
        <w:rPr>
          <w:sz w:val="23"/>
          <w:szCs w:val="23"/>
        </w:rPr>
        <w:t>В России до 1996 г. включительно баланс текущих операций сводился крупным активным сальдо, которое в 1997 г. значительно уменьшилось, а в 1998 г. оно стало отрицательным. Вопрос о том, какое сальдо наиболее подходит в тот или иной момент для страны, зависит от конкретных обстоятельств. Положительное сальдо играет роль стабилизирующего фактора в отношении валютного рынка. Оно позволяет при прочих равных условиях поддерживать более либеральный режим валютных операций. Именно по этой причине резиденты в России с 1992 г. имеют возможность свободно покупать валюту, несмотря на серьезные экономические трудности. Однако развивающиеся страны нередко в течение многих лет и десятилетий имели отрицательное сальдо по текущим операциям, выступая в качестве нетто-импортера капитала и тем самым поддерживая высокий уровень капиталовложений.</w:t>
      </w:r>
    </w:p>
    <w:p w:rsidR="00092DD8" w:rsidRDefault="00092DD8">
      <w:pPr>
        <w:pStyle w:val="afe"/>
        <w:rPr>
          <w:sz w:val="23"/>
          <w:szCs w:val="23"/>
        </w:rPr>
      </w:pPr>
      <w:r>
        <w:rPr>
          <w:sz w:val="23"/>
          <w:szCs w:val="23"/>
        </w:rPr>
        <w:t>Для страны, выступающей в качестве нетто-экспортера капитала, важно, в каких формах вывозятся ресурсы. Если в результате создается «вторая экономика» за рубежом, компании получают высокие прибыли и переводят их к месту дислокации материнской компании, то такой экспорт капитала можно признать эффективным. Однако подобный экспорт капитала из России незначителен. Осуществляется он в основном нефтяными компаниями и Газпромом, возможности которых из-за падения цен на нефть и газ в конце 90-х годов также ограничены. Зато крупное отрицательное сальдо по статье «Ошибки и пропуски» свидетельствует о громадных масштабах «бегства» капитала, которое не дает притока в страну доходов от этих активов. Накопленные населением наличные доллары (50—80 млрд. долл.) являются, по существу, беспроцентным кредитом, предоставленным российским населением федеральной резервной системе США.</w:t>
      </w:r>
    </w:p>
    <w:p w:rsidR="00092DD8" w:rsidRDefault="00092DD8">
      <w:pPr>
        <w:pStyle w:val="afe"/>
        <w:rPr>
          <w:sz w:val="23"/>
          <w:szCs w:val="23"/>
        </w:rPr>
      </w:pPr>
      <w:r>
        <w:rPr>
          <w:sz w:val="23"/>
          <w:szCs w:val="23"/>
        </w:rPr>
        <w:t>Отрицательное сальдо баланса текущих операций в 1998 г. в России было обусловлено следующими обстоятельствами: завышенный курс рубля, что сдерживало экспорт и стимулировало импорт товаров; снижение цен на основные экспортные товары, особенно на нефть; возросшие платежи по обслуживанию внешнего долга. Центральный банк РФ после массированных валютных интервенций оказался не в состоянии поддерживать валютный курс в рамках установленного коридора. Был введен режим свободно плавающего валютного курса, в результате курс рубля резко упал. Тем самым экспортные отрасли получили дополнительный стимул, а импортные закупки снизились. Государство провело реструктуризацию внутреннего долга (ГКО-ОФЗ) для нерезидентов, переговоры об урегулировании внешнего долга. Однако низкий уровень цен на основные товары российского экспорта сохранялся, дискриминационный режим на западных рынках в отношении российских товаров продолжает действовать.</w:t>
      </w:r>
    </w:p>
    <w:p w:rsidR="00092DD8" w:rsidRDefault="00092DD8">
      <w:pPr>
        <w:pStyle w:val="afe"/>
        <w:rPr>
          <w:sz w:val="23"/>
          <w:szCs w:val="23"/>
        </w:rPr>
      </w:pPr>
      <w:r>
        <w:rPr>
          <w:sz w:val="23"/>
          <w:szCs w:val="23"/>
        </w:rPr>
        <w:t>Состояние внешней торговли имеет для покрытия пассивного сальдо по «невидимым операциям» платежного баланса России решающее значение.</w:t>
      </w:r>
    </w:p>
    <w:p w:rsidR="00092DD8" w:rsidRDefault="00092DD8">
      <w:pPr>
        <w:pStyle w:val="afe"/>
        <w:rPr>
          <w:sz w:val="23"/>
          <w:szCs w:val="23"/>
        </w:rPr>
      </w:pPr>
      <w:r>
        <w:rPr>
          <w:sz w:val="23"/>
          <w:szCs w:val="23"/>
        </w:rPr>
        <w:t>Экспорт России упал до минимального уровня в 41 млрд. долл. в 1992 г. Но после этого он до 1996 г. включительно увеличивался и достиг 90 млрд. долл. В 1997 г. экспорт незначительно сократился, а в первом полугодии 1998 г. снизился на 13% по сравнению с соответствующим периодом предыдущего года, хотя в физическом выражении он вырос. Сокращение экспортной выручки обусловлено исключительно снижением цен.</w:t>
      </w:r>
    </w:p>
    <w:p w:rsidR="00092DD8" w:rsidRDefault="00092DD8">
      <w:pPr>
        <w:pStyle w:val="afe"/>
        <w:rPr>
          <w:sz w:val="23"/>
          <w:szCs w:val="23"/>
        </w:rPr>
      </w:pPr>
      <w:r>
        <w:rPr>
          <w:sz w:val="23"/>
          <w:szCs w:val="23"/>
        </w:rPr>
        <w:t>Резкое падение цен сырьевых товаров периодически происходит на мировом рынке. На неэнергетические сырьевые товары оно имело место в начале 80-х годов, на энергетические — в середине того десятилетия. В послевоенный период происходит ухудшение условий торговли сырьем по сравнению с обработанными товарами (измеряется соотношением индексов соответствующих цен). Поэтому многие страны стремятся отойти от сырьевой структуры экспорта, увеличивая в его составе промышленные изделия. Однако сырьевая специализация российского экспорта продолжает сохраняться.</w:t>
      </w:r>
    </w:p>
    <w:p w:rsidR="00092DD8" w:rsidRDefault="00092DD8">
      <w:pPr>
        <w:pStyle w:val="afe"/>
        <w:rPr>
          <w:sz w:val="23"/>
          <w:szCs w:val="23"/>
        </w:rPr>
      </w:pPr>
      <w:r>
        <w:rPr>
          <w:sz w:val="23"/>
          <w:szCs w:val="23"/>
        </w:rPr>
        <w:t>В первом полугодии 1998 г. в российском экспорте на минеральные продукты приходилось 45,7%, в том числе на топливоэнергетические товары — 44,3%. Хотя в 1991 г. первый показатель был еще выше — 52%. В качестве положительных сдвигов можно отметить увеличение доли вывозимых черных и цветных металлов с 14 до 21%, поскольку эти товары прошли первичную стадию обработки и в них содержится добавленной стоимости больше, чем в сырье. Вывоз химической продукции повысился с 6,6 до 7,8%, древесины и изделий из нее — с 3,9 до 4,9%. Экспорт машин и оборудования остался на уровне 10%. В промежуточные годы он падал до 6%, а своего максимального уровня достиг в 1990 г. — 17,6%.</w:t>
      </w:r>
    </w:p>
    <w:p w:rsidR="00092DD8" w:rsidRDefault="00092DD8">
      <w:pPr>
        <w:pStyle w:val="afe"/>
        <w:rPr>
          <w:sz w:val="23"/>
          <w:szCs w:val="23"/>
        </w:rPr>
      </w:pPr>
      <w:r>
        <w:rPr>
          <w:sz w:val="23"/>
          <w:szCs w:val="23"/>
        </w:rPr>
        <w:t>Импорт товаров имел устойчивую тенденцию к росту вплоть до девальвации рубля в августе 1998 г. Этому способствовали открытие российского рынка, введение конвертируемости рубля по текущим операциям, повышение реального (с поправкой на инфляцию) курса рубля.</w:t>
      </w:r>
    </w:p>
    <w:p w:rsidR="00092DD8" w:rsidRDefault="00092DD8">
      <w:pPr>
        <w:pStyle w:val="afe"/>
        <w:rPr>
          <w:sz w:val="23"/>
          <w:szCs w:val="23"/>
        </w:rPr>
      </w:pPr>
      <w:r>
        <w:rPr>
          <w:sz w:val="23"/>
          <w:szCs w:val="23"/>
        </w:rPr>
        <w:t>Рост импорта позволил наполнить рынок товаров, способствовал спаду производства, усилению зависимости от импортных поставок. Импортозависимость в середине 1998 г. составила по мясу 68%, по подсолнечному маслу — 34%, по маслу сливочному — 31%. Количество ввезенных в первом полугодии 1998 г. легковых автомобилей было лишь на четверть меньше, чем производство внутри страны. На продовольственные товары приходилось 26% общего объема импорта. На машины и оборудование, несмотря на инвестиционный кризис, — около 33%.</w:t>
      </w:r>
    </w:p>
    <w:p w:rsidR="00092DD8" w:rsidRDefault="00092DD8">
      <w:pPr>
        <w:pStyle w:val="afe"/>
        <w:rPr>
          <w:sz w:val="23"/>
          <w:szCs w:val="23"/>
        </w:rPr>
      </w:pPr>
      <w:r>
        <w:rPr>
          <w:sz w:val="23"/>
          <w:szCs w:val="23"/>
        </w:rPr>
        <w:t>Наиболее крупными импортерами российских товаров в 1998 г. были Украина (9%), Германия (8%), Белоруссия и США (по 7%), Китай, Италия, Индонезия (по 5%). Россия закупала товары главным образом в Германии (12%), Белоруссии (10%), США и Украины (по 8%). Значительная часть (примерно 50%) российского импорта осуществляется в форме неорганизованного («челночного») бизнеса. Однако девальвация рубля в августе 1998 г. нанесла существенный удар по этому виду внешней торговли.</w:t>
      </w:r>
    </w:p>
    <w:p w:rsidR="00092DD8" w:rsidRDefault="00092DD8">
      <w:pPr>
        <w:pStyle w:val="afe"/>
        <w:rPr>
          <w:sz w:val="23"/>
          <w:szCs w:val="23"/>
        </w:rPr>
      </w:pPr>
      <w:r>
        <w:rPr>
          <w:sz w:val="23"/>
          <w:szCs w:val="23"/>
        </w:rPr>
        <w:t>Баланс услуг складывается с отрицательным сальдо. Подавляющая часть импорта услуг приходится на «путешествия» (около 50%) и транспорт (около 20%). Введение конвертируемости рубля, повышение его реального курса, упрощение процедуры выезда за границу стимулировали развитие зарубежного туризма. Однако прием иностранных туристов в Россию ограничен из-за неразвитости инфраструктуры. В отличие от товарного импорта импорт услуг не имеет широкой ниши на российском рынке. На 100 долл. производимых в стране услуг приходится около 8 долл. импортных услуг.</w:t>
      </w:r>
    </w:p>
    <w:p w:rsidR="00092DD8" w:rsidRDefault="00092DD8">
      <w:pPr>
        <w:pStyle w:val="afe"/>
        <w:rPr>
          <w:sz w:val="23"/>
          <w:szCs w:val="23"/>
        </w:rPr>
      </w:pPr>
      <w:r>
        <w:rPr>
          <w:sz w:val="23"/>
          <w:szCs w:val="23"/>
        </w:rPr>
        <w:t>Баланс оплаты труда складывается из доходов, переводимых за рубеж временно занятыми в российской экономике нерезидентами, в основном гражданами СНГ, и доходов, переводимых в Россию россиянами, работающими за рубежом. Эта статья в российском платежном балансе традиционно имеет отрицательное сальдо, что нетипично для страны со средним уровнем доходов на душу населения и более характерно для развитых стран, привлекающих для выполнения непрестижных видов работ иностранных рабочих из развивающихся стран.</w:t>
      </w:r>
    </w:p>
    <w:p w:rsidR="00092DD8" w:rsidRDefault="00092DD8">
      <w:pPr>
        <w:pStyle w:val="afe"/>
        <w:rPr>
          <w:sz w:val="23"/>
          <w:szCs w:val="23"/>
        </w:rPr>
      </w:pPr>
      <w:r>
        <w:rPr>
          <w:sz w:val="23"/>
          <w:szCs w:val="23"/>
        </w:rPr>
        <w:t>К текущим трансфертам относятся односторонние операции, когда одна сторона предоставляет другой стороне товар, услуги без оплаты. Эти товарные и другие потоки отражаются в соответствующих статьях платежного баланса. Но поскольку любая сделка должна иметь как кредитовую, так и дебетовую проводку, то все односторонние операции суммируются и находят отражение в данной статье. По ней проходят взносы в международные организации, выделение или получение гуманитарной помощи, государственные субсидии. Получение ресурсов в подобной форме — это удел страны с низким уровнем доходов, а также государств, переживающих кризис. Потоки помощи на односторонней основе в Россию достигали больших размеров в 1992—1993 гг., затем масштабы резко сократились, однако в 1998 г. в связи с обострением кризиса вновь возникла необходимость привлечения гуманитарной и иных видов помощи.</w:t>
      </w:r>
    </w:p>
    <w:p w:rsidR="00092DD8" w:rsidRDefault="00092DD8">
      <w:pPr>
        <w:pStyle w:val="afe"/>
        <w:rPr>
          <w:sz w:val="23"/>
          <w:szCs w:val="23"/>
        </w:rPr>
      </w:pPr>
      <w:r>
        <w:rPr>
          <w:sz w:val="23"/>
          <w:szCs w:val="23"/>
        </w:rPr>
        <w:t>Одной из основных причин нестабильности платежного баланса являются растущие выплаты доходов на инвестиции, процентов по государственному долгу, расходы по обслуживанию долга частных российских банков и компаний. С 1994 по 1997 г. отрицательное сальдо по статье «Доходы от инвестиций» увеличилось почти в 5 раз. В первом полугодии 1998 г. сумма доходов, подлежащих • выплате по данной статье, составила 8 млрд.. против 6 млрд.. долл. в соответствующем периоде предыдущего года. В 1994 г. активное сальдо торгового баланса в 10 раз превышало пассивное сальдо операций по обслуживанию внешнего долга. В первом полугодии 1998 г. сложилась противоположная ситуация: отрицательный итог по доходам на инвестиции вдвое превысил положительное сальдо торгового баланса. Этим обстоятельством, наряду с бюджетным кризисам, был обусловлен объявленный правительством 17 августа 1998 г. отказ производить платежи по ГКО/ОФЗ.</w:t>
      </w:r>
    </w:p>
    <w:p w:rsidR="00092DD8" w:rsidRDefault="00092DD8">
      <w:pPr>
        <w:pStyle w:val="afe"/>
        <w:rPr>
          <w:sz w:val="23"/>
          <w:szCs w:val="23"/>
        </w:rPr>
      </w:pPr>
      <w:r>
        <w:rPr>
          <w:sz w:val="23"/>
          <w:szCs w:val="23"/>
        </w:rPr>
        <w:t>Счет операций с капиталом включает в основном трансферты (переводы) и по сути не отличается от рассмотренных текущих трансфертов. Однако трансферты капиталов приводят к изменениям активов или обязательств донора и получателя. В российском платежном балансе эти операции обусловлены главным образом миграцией населения. Другой типичный пример трансферта капитала — это безвозмездное финансирование правительством Германии строительства жилья для российских военнослужащих. Однако в 1997 г. эти обязательства со стороны Германии были выполнены. С 1995 г. трансферты капитала имеют отрицательное сальдо.</w:t>
      </w:r>
    </w:p>
    <w:p w:rsidR="00092DD8" w:rsidRDefault="00092DD8">
      <w:pPr>
        <w:pStyle w:val="afe"/>
        <w:rPr>
          <w:sz w:val="23"/>
          <w:szCs w:val="23"/>
        </w:rPr>
      </w:pPr>
      <w:r>
        <w:rPr>
          <w:sz w:val="23"/>
          <w:szCs w:val="23"/>
        </w:rPr>
        <w:t>В финансовом счете активы и обязательства классифицируются по функциональному признаку: прямые инвестиции, портфельные инвестиции, прочие инвестиции, резервные активы (централизованные золотовалютные резервы). Иногда границы между этими группами достаточно условны. Прежде всего это относится к прямым и портфельным инвестициям. Прямое (стратегическое) инвестирование преследует цель оказания воздействия на процесс управления компанией. Это достигается участием в ее капитале. Все другие операции между инвестором и компанией (предоставление кредита, услуг) также классифицируются как прямые инвестиции. К портфельным инвестициям относят долевые и долговые ценные бумаги, которые приобретаются для извлечения прибыли. Поскольку намерения инвесторов не всегда очевидны, то в статистике используется условный критерий. В России под прямым инвестором имеется в виду нерезидент, который владеет 10% и более обычных акций. Все другие инвестиции в ценные бумаги рассматриваются как портфельные.</w:t>
      </w:r>
    </w:p>
    <w:p w:rsidR="00092DD8" w:rsidRDefault="00092DD8">
      <w:pPr>
        <w:pStyle w:val="afe"/>
        <w:rPr>
          <w:sz w:val="23"/>
          <w:szCs w:val="23"/>
        </w:rPr>
      </w:pPr>
      <w:r>
        <w:rPr>
          <w:sz w:val="23"/>
          <w:szCs w:val="23"/>
        </w:rPr>
        <w:t>В качестве получателей портфельных инвестиций выступают не только компании, но и государственные институты (центральные и местные органы власти). В России федеральное правительство в 1996 г. — первой половине 1998 г. выступало в качестве активного эмитента ценных бумаг, которые приобретались нерезидентами.</w:t>
      </w:r>
    </w:p>
    <w:p w:rsidR="00092DD8" w:rsidRDefault="00092DD8">
      <w:pPr>
        <w:pStyle w:val="afe"/>
        <w:rPr>
          <w:sz w:val="23"/>
          <w:szCs w:val="23"/>
        </w:rPr>
      </w:pPr>
      <w:r>
        <w:rPr>
          <w:sz w:val="23"/>
          <w:szCs w:val="23"/>
        </w:rPr>
        <w:t>Финансовые потоки, не связанные с прямым и портфельным инвестированием, а также движением централизованных резервов, включаются в статью «Прочие активы». Наиболее важные из них— долгосрочные кредиты, полученные Россией. К прочим инвестициям относится и баланс движения наличной иностранной валюты. В 1997 г. было ввезено наличной валюты на 43,2 млрд. долл., вывезено (банками, эмигрантами, туристами, по каналам нерегистрируемой торговли) 29,7 млрд. долл. Прирост наличной валюты у резидентов составил 13,5 млрд. долл., в банковском секторе — 0,1 млрд. долл. Остальная часть пришлась на сектор нефинансовых предприятий и сектор домашних хозяйств (население). Аналогичная картина наблюдалась и в предыдущие годы, что обусловило накопление у населения крупных сумм в долларах, а также долларизацию экономики.</w:t>
      </w:r>
    </w:p>
    <w:p w:rsidR="00092DD8" w:rsidRDefault="00092DD8">
      <w:pPr>
        <w:pStyle w:val="afe"/>
        <w:rPr>
          <w:sz w:val="23"/>
          <w:szCs w:val="23"/>
        </w:rPr>
      </w:pPr>
      <w:r>
        <w:rPr>
          <w:sz w:val="23"/>
          <w:szCs w:val="23"/>
        </w:rPr>
        <w:t>Несмотря на меры правительства и ЦБ РФ по усилению валютного контроля за внешнеторговыми операциями, включая их паспортизацию, объем задолженности по своевременно не поступившей экспортной выручке и непогашенным импортным авансам остается большим (в 1995 г. — около 5 млрд. долл., в 1996 г. — почти 10 млрд., в 1997 г. — 11 млрд. долл.).</w:t>
      </w:r>
    </w:p>
    <w:p w:rsidR="00092DD8" w:rsidRDefault="00092DD8">
      <w:pPr>
        <w:pStyle w:val="afe"/>
        <w:rPr>
          <w:sz w:val="23"/>
          <w:szCs w:val="23"/>
        </w:rPr>
      </w:pPr>
      <w:r>
        <w:rPr>
          <w:sz w:val="23"/>
          <w:szCs w:val="23"/>
        </w:rPr>
        <w:t>Статья «Резервные активы (централизованные золотовалютные резервы)» отражает состояние международной валютной ликвидности государства. Увеличение резервов обозначается знаком «минус», поскольку связано с увеличением зарубежных активов ЦБ РФ и оттоком ресурсов из страны. Эти резервы не имеют устойчивой тенденции к росту или уменьшению, зависят от конъюнктурных внешних факторов, состояния внутренней экономики, валютного рынка, валютной и кредитно-денежной политики ЦБ РФ. Благодаря росту централизованных резервов укрепляется валютная ликвидность страны, но одновременно разбухает денежная база. Считается, что в условиях переходной экономики централизованные резервы должны быть эквивалентны по крайней мере 3-месячному объему импорта. В благоприятные периоды ЦБ РФ удавалось поддерживать их на таком и даже более высоком уровне. Однако, как свидетельствует мировой, в том числе российский опыт, в кризисных условиях даже крупные валютные резервы недостаточны для поддержания курса национальной валюты путем валютных интервенций. И тогда для выравнивания платежного баланса проводится девальвация, вводятся или усиливаются валютные ограничения.</w:t>
      </w:r>
    </w:p>
    <w:p w:rsidR="00092DD8" w:rsidRDefault="00092DD8">
      <w:pPr>
        <w:pStyle w:val="afe"/>
        <w:rPr>
          <w:sz w:val="23"/>
          <w:szCs w:val="23"/>
        </w:rPr>
      </w:pPr>
      <w:r>
        <w:rPr>
          <w:sz w:val="23"/>
          <w:szCs w:val="23"/>
        </w:rPr>
        <w:t>Таким образом, в России до 1996 г. включительно платежный баланс складывался в целом благоприятно, несмотря на огромное «бегство» капитала из страны. В 1997 г. усилилась напряженность платежного баланса, резко сократилось положительное сальдо по текущим операциям, а в 1998 г. оно стало отрицательным. Как показывает мировой опыт, при структурном неравновесии платежного баланса образуется «валютный разрыв» (острая нехватка валюты). Для его преодоления необходимы подъем национальной экономики России, уменьшение зависимости от импорта товаров, стимулирование экспорта, эффективные меры по сдерживанию «бегства» капитала. При этом важно использовать мировую практику регулирования платежного баланса рыночными и государственными методами.</w:t>
      </w:r>
      <w:bookmarkStart w:id="0" w:name="_GoBack"/>
      <w:bookmarkEnd w:id="0"/>
    </w:p>
    <w:sectPr w:rsidR="00092DD8">
      <w:footerReference w:type="even" r:id="rId8"/>
      <w:footerReference w:type="default" r:id="rId9"/>
      <w:type w:val="continuous"/>
      <w:pgSz w:w="11909" w:h="16834" w:code="9"/>
      <w:pgMar w:top="1134" w:right="851" w:bottom="1134" w:left="1701" w:header="142" w:footer="680" w:gutter="0"/>
      <w:pgNumType w:start="2"/>
      <w:cols w:space="720"/>
      <w:noEndnote/>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DD8" w:rsidRDefault="00092DD8">
      <w:r>
        <w:separator/>
      </w:r>
    </w:p>
  </w:endnote>
  <w:endnote w:type="continuationSeparator" w:id="0">
    <w:p w:rsidR="00092DD8" w:rsidRDefault="0009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D8" w:rsidRDefault="00092DD8">
    <w:pPr>
      <w:pStyle w:val="ae"/>
      <w:framePr w:wrap="around" w:vAnchor="text" w:hAnchor="margin" w:xAlign="center" w:y="1"/>
      <w:rPr>
        <w:rStyle w:val="af8"/>
      </w:rPr>
    </w:pPr>
  </w:p>
  <w:p w:rsidR="00092DD8" w:rsidRDefault="00092DD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D8" w:rsidRDefault="0033437C">
    <w:pPr>
      <w:pStyle w:val="ae"/>
      <w:spacing w:before="100" w:beforeAutospacing="1"/>
      <w:ind w:right="-238"/>
      <w:rPr>
        <w:rStyle w:val="af8"/>
      </w:rPr>
    </w:pPr>
    <w:r>
      <w:rPr>
        <w:rStyle w:val="af8"/>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DD8" w:rsidRDefault="00092DD8">
      <w:r>
        <w:separator/>
      </w:r>
    </w:p>
  </w:footnote>
  <w:footnote w:type="continuationSeparator" w:id="0">
    <w:p w:rsidR="00092DD8" w:rsidRDefault="00092DD8">
      <w:r>
        <w:continuationSeparator/>
      </w:r>
    </w:p>
  </w:footnote>
  <w:footnote w:id="1">
    <w:p w:rsidR="00092DD8" w:rsidRDefault="00092DD8">
      <w:pPr>
        <w:pStyle w:val="af1"/>
        <w:rPr>
          <w:sz w:val="19"/>
          <w:szCs w:val="19"/>
        </w:rPr>
      </w:pPr>
      <w:r>
        <w:rPr>
          <w:rStyle w:val="af0"/>
          <w:sz w:val="19"/>
          <w:szCs w:val="19"/>
        </w:rPr>
        <w:footnoteRef/>
      </w:r>
      <w:r>
        <w:rPr>
          <w:sz w:val="19"/>
          <w:szCs w:val="19"/>
        </w:rPr>
        <w:t xml:space="preserve"> Публикация Международной торговой палаты № 500, редакция 1993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89AE8A8"/>
    <w:lvl w:ilvl="0">
      <w:start w:val="1"/>
      <w:numFmt w:val="decimal"/>
      <w:pStyle w:val="5"/>
      <w:lvlText w:val="%1."/>
      <w:lvlJc w:val="left"/>
      <w:pPr>
        <w:tabs>
          <w:tab w:val="num" w:pos="1492"/>
        </w:tabs>
        <w:ind w:left="1492" w:hanging="360"/>
      </w:pPr>
    </w:lvl>
  </w:abstractNum>
  <w:abstractNum w:abstractNumId="1">
    <w:nsid w:val="FFFFFF7D"/>
    <w:multiLevelType w:val="singleLevel"/>
    <w:tmpl w:val="C4C2F4F2"/>
    <w:lvl w:ilvl="0">
      <w:start w:val="1"/>
      <w:numFmt w:val="decimal"/>
      <w:pStyle w:val="4"/>
      <w:lvlText w:val="%1."/>
      <w:lvlJc w:val="left"/>
      <w:pPr>
        <w:tabs>
          <w:tab w:val="num" w:pos="1209"/>
        </w:tabs>
        <w:ind w:left="1209" w:hanging="360"/>
      </w:pPr>
    </w:lvl>
  </w:abstractNum>
  <w:abstractNum w:abstractNumId="2">
    <w:nsid w:val="FFFFFF7E"/>
    <w:multiLevelType w:val="singleLevel"/>
    <w:tmpl w:val="13B44BCE"/>
    <w:lvl w:ilvl="0">
      <w:start w:val="1"/>
      <w:numFmt w:val="decimal"/>
      <w:pStyle w:val="3"/>
      <w:lvlText w:val="%1."/>
      <w:lvlJc w:val="left"/>
      <w:pPr>
        <w:tabs>
          <w:tab w:val="num" w:pos="926"/>
        </w:tabs>
        <w:ind w:left="926" w:hanging="360"/>
      </w:pPr>
    </w:lvl>
  </w:abstractNum>
  <w:abstractNum w:abstractNumId="3">
    <w:nsid w:val="FFFFFF7F"/>
    <w:multiLevelType w:val="singleLevel"/>
    <w:tmpl w:val="27900524"/>
    <w:lvl w:ilvl="0">
      <w:start w:val="1"/>
      <w:numFmt w:val="decimal"/>
      <w:pStyle w:val="2"/>
      <w:lvlText w:val="%1."/>
      <w:lvlJc w:val="left"/>
      <w:pPr>
        <w:tabs>
          <w:tab w:val="num" w:pos="643"/>
        </w:tabs>
        <w:ind w:left="643" w:hanging="360"/>
      </w:pPr>
    </w:lvl>
  </w:abstractNum>
  <w:abstractNum w:abstractNumId="4">
    <w:nsid w:val="FFFFFF80"/>
    <w:multiLevelType w:val="singleLevel"/>
    <w:tmpl w:val="5B426112"/>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A8B22084"/>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438C17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368FED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FEFCCC5E"/>
    <w:lvl w:ilvl="0">
      <w:start w:val="1"/>
      <w:numFmt w:val="decimal"/>
      <w:pStyle w:val="a"/>
      <w:lvlText w:val="%1."/>
      <w:lvlJc w:val="left"/>
      <w:pPr>
        <w:tabs>
          <w:tab w:val="num" w:pos="360"/>
        </w:tabs>
        <w:ind w:left="360" w:hanging="360"/>
      </w:pPr>
    </w:lvl>
  </w:abstractNum>
  <w:abstractNum w:abstractNumId="9">
    <w:nsid w:val="FFFFFF89"/>
    <w:multiLevelType w:val="singleLevel"/>
    <w:tmpl w:val="B4ACB5F2"/>
    <w:lvl w:ilvl="0">
      <w:start w:val="1"/>
      <w:numFmt w:val="bullet"/>
      <w:pStyle w:val="a0"/>
      <w:lvlText w:val=""/>
      <w:lvlJc w:val="left"/>
      <w:pPr>
        <w:tabs>
          <w:tab w:val="num" w:pos="360"/>
        </w:tabs>
        <w:ind w:left="360" w:hanging="360"/>
      </w:pPr>
      <w:rPr>
        <w:rFonts w:ascii="Symbol" w:hAnsi="Symbol" w:hint="default"/>
      </w:rPr>
    </w:lvl>
  </w:abstractNum>
  <w:abstractNum w:abstractNumId="10">
    <w:nsid w:val="0EE524E5"/>
    <w:multiLevelType w:val="hybridMultilevel"/>
    <w:tmpl w:val="5044C490"/>
    <w:lvl w:ilvl="0" w:tplc="54ACD448">
      <w:start w:val="1"/>
      <w:numFmt w:val="decimal"/>
      <w:lvlText w:val="%1."/>
      <w:lvlJc w:val="left"/>
      <w:pPr>
        <w:tabs>
          <w:tab w:val="num" w:pos="36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75"/>
  <w:drawingGridVerticalSpacing w:val="102"/>
  <w:displayHorizontalDrawingGridEvery w:val="0"/>
  <w:displayVerticalDrawingGridEvery w:val="2"/>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37C"/>
    <w:rsid w:val="00092DD8"/>
    <w:rsid w:val="0033437C"/>
    <w:rsid w:val="00711875"/>
    <w:rsid w:val="00CA0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24609DAF-2A8D-4ADB-A6CD-CA6F3175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autoSpaceDE w:val="0"/>
      <w:autoSpaceDN w:val="0"/>
      <w:adjustRightInd w:val="0"/>
      <w:jc w:val="both"/>
    </w:pPr>
  </w:style>
  <w:style w:type="paragraph" w:styleId="1">
    <w:name w:val="heading 1"/>
    <w:basedOn w:val="a1"/>
    <w:next w:val="a1"/>
    <w:qFormat/>
    <w:pPr>
      <w:keepNext/>
      <w:widowControl/>
      <w:autoSpaceDE/>
      <w:autoSpaceDN/>
      <w:adjustRightInd/>
      <w:spacing w:before="240" w:after="60"/>
      <w:jc w:val="center"/>
      <w:outlineLvl w:val="0"/>
    </w:pPr>
    <w:rPr>
      <w:rFonts w:cs="Arial"/>
      <w:b/>
      <w:bCs/>
      <w:shadow/>
      <w:kern w:val="32"/>
      <w:sz w:val="28"/>
      <w:szCs w:val="32"/>
    </w:rPr>
  </w:style>
  <w:style w:type="paragraph" w:styleId="21">
    <w:name w:val="heading 2"/>
    <w:basedOn w:val="a1"/>
    <w:next w:val="a2"/>
    <w:qFormat/>
    <w:pPr>
      <w:keepNext/>
      <w:keepLines/>
      <w:spacing w:after="170" w:line="240" w:lineRule="atLeast"/>
      <w:outlineLvl w:val="1"/>
    </w:pPr>
    <w:rPr>
      <w:rFonts w:ascii="Arial" w:hAnsi="Arial" w:cs="Arial"/>
      <w:b/>
      <w:bCs/>
      <w:i/>
      <w:iCs/>
      <w:sz w:val="28"/>
      <w:szCs w:val="28"/>
    </w:rPr>
  </w:style>
  <w:style w:type="paragraph" w:styleId="31">
    <w:name w:val="heading 3"/>
    <w:basedOn w:val="a1"/>
    <w:next w:val="a2"/>
    <w:qFormat/>
    <w:pPr>
      <w:keepNext/>
      <w:keepLines/>
      <w:spacing w:after="240" w:line="240" w:lineRule="atLeast"/>
      <w:outlineLvl w:val="2"/>
    </w:pPr>
    <w:rPr>
      <w:rFonts w:ascii="Arial" w:hAnsi="Arial" w:cs="Arial"/>
      <w:b/>
      <w:bCs/>
      <w:sz w:val="26"/>
      <w:szCs w:val="26"/>
    </w:rPr>
  </w:style>
  <w:style w:type="paragraph" w:styleId="41">
    <w:name w:val="heading 4"/>
    <w:basedOn w:val="a1"/>
    <w:next w:val="a2"/>
    <w:qFormat/>
    <w:pPr>
      <w:keepNext/>
      <w:keepLines/>
      <w:spacing w:line="240" w:lineRule="atLeast"/>
      <w:outlineLvl w:val="3"/>
    </w:pPr>
    <w:rPr>
      <w:b/>
      <w:bCs/>
      <w:sz w:val="28"/>
      <w:szCs w:val="28"/>
    </w:rPr>
  </w:style>
  <w:style w:type="paragraph" w:styleId="51">
    <w:name w:val="heading 5"/>
    <w:basedOn w:val="a1"/>
    <w:next w:val="a2"/>
    <w:qFormat/>
    <w:pPr>
      <w:keepNext/>
      <w:keepLines/>
      <w:spacing w:line="240" w:lineRule="atLeast"/>
      <w:outlineLvl w:val="4"/>
    </w:pPr>
    <w:rPr>
      <w:b/>
      <w:bCs/>
      <w:i/>
      <w:iCs/>
      <w:sz w:val="26"/>
      <w:szCs w:val="26"/>
    </w:rPr>
  </w:style>
  <w:style w:type="paragraph" w:styleId="6">
    <w:name w:val="heading 6"/>
    <w:basedOn w:val="a1"/>
    <w:next w:val="a1"/>
    <w:qFormat/>
    <w:pPr>
      <w:spacing w:before="240" w:after="60"/>
      <w:outlineLvl w:val="5"/>
    </w:pPr>
    <w:rPr>
      <w:b/>
      <w:bCs/>
      <w:szCs w:val="22"/>
    </w:rPr>
  </w:style>
  <w:style w:type="paragraph" w:styleId="7">
    <w:name w:val="heading 7"/>
    <w:basedOn w:val="a1"/>
    <w:next w:val="a1"/>
    <w:qFormat/>
    <w:pPr>
      <w:spacing w:before="240" w:after="60"/>
      <w:outlineLvl w:val="6"/>
    </w:pPr>
    <w:rPr>
      <w:sz w:val="24"/>
      <w:szCs w:val="24"/>
    </w:rPr>
  </w:style>
  <w:style w:type="paragraph" w:styleId="8">
    <w:name w:val="heading 8"/>
    <w:basedOn w:val="a1"/>
    <w:next w:val="a1"/>
    <w:qFormat/>
    <w:pPr>
      <w:spacing w:before="240" w:after="60"/>
      <w:outlineLvl w:val="7"/>
    </w:pPr>
    <w:rPr>
      <w:i/>
      <w:iCs/>
      <w:sz w:val="24"/>
      <w:szCs w:val="24"/>
    </w:rPr>
  </w:style>
  <w:style w:type="paragraph" w:styleId="9">
    <w:name w:val="heading 9"/>
    <w:basedOn w:val="a1"/>
    <w:next w:val="a1"/>
    <w:qFormat/>
    <w:pPr>
      <w:spacing w:before="240" w:after="60"/>
      <w:outlineLvl w:val="8"/>
    </w:pPr>
    <w:rPr>
      <w:rFonts w:ascii="Arial" w:hAnsi="Arial" w:cs="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semiHidden/>
    <w:pPr>
      <w:widowControl/>
      <w:autoSpaceDE/>
      <w:autoSpaceDN/>
      <w:adjustRightInd/>
      <w:ind w:firstLine="720"/>
    </w:pPr>
    <w:rPr>
      <w:sz w:val="24"/>
      <w:szCs w:val="24"/>
    </w:rPr>
  </w:style>
  <w:style w:type="character" w:styleId="a6">
    <w:name w:val="annotation reference"/>
    <w:semiHidden/>
    <w:rPr>
      <w:sz w:val="16"/>
      <w:szCs w:val="16"/>
    </w:rPr>
  </w:style>
  <w:style w:type="paragraph" w:styleId="a7">
    <w:name w:val="annotation text"/>
    <w:basedOn w:val="a1"/>
    <w:semiHidden/>
  </w:style>
  <w:style w:type="paragraph" w:customStyle="1" w:styleId="Author">
    <w:name w:val="Author"/>
    <w:basedOn w:val="a2"/>
    <w:pPr>
      <w:spacing w:line="480" w:lineRule="auto"/>
      <w:jc w:val="center"/>
    </w:pPr>
  </w:style>
  <w:style w:type="paragraph" w:customStyle="1" w:styleId="BlockQuotation">
    <w:name w:val="Block Quotation"/>
    <w:basedOn w:val="a1"/>
    <w:next w:val="a2"/>
    <w:pPr>
      <w:pBdr>
        <w:top w:val="single" w:sz="6" w:space="12" w:color="FFFFFF"/>
        <w:left w:val="single" w:sz="6" w:space="12" w:color="FFFFFF"/>
        <w:bottom w:val="single" w:sz="6" w:space="12" w:color="FFFFFF"/>
        <w:right w:val="single" w:sz="6" w:space="12" w:color="FFFFFF"/>
      </w:pBdr>
      <w:shd w:val="pct10" w:color="808080" w:fill="auto"/>
      <w:spacing w:after="240"/>
      <w:ind w:left="600" w:right="600"/>
    </w:pPr>
    <w:rPr>
      <w:spacing w:val="-5"/>
      <w:sz w:val="24"/>
    </w:rPr>
  </w:style>
  <w:style w:type="paragraph" w:styleId="a8">
    <w:name w:val="Body Text Indent"/>
    <w:basedOn w:val="a1"/>
    <w:semiHidden/>
    <w:pPr>
      <w:spacing w:after="120"/>
      <w:ind w:left="283"/>
    </w:pPr>
  </w:style>
  <w:style w:type="paragraph" w:customStyle="1" w:styleId="BodyTextKeep">
    <w:name w:val="Body Text Keep"/>
    <w:basedOn w:val="a2"/>
    <w:next w:val="a2"/>
    <w:pPr>
      <w:keepNext/>
    </w:pPr>
  </w:style>
  <w:style w:type="paragraph" w:styleId="a9">
    <w:name w:val="caption"/>
    <w:basedOn w:val="a1"/>
    <w:next w:val="a1"/>
    <w:qFormat/>
    <w:pPr>
      <w:spacing w:before="120" w:after="120"/>
    </w:pPr>
    <w:rPr>
      <w:b/>
      <w:bCs/>
    </w:rPr>
  </w:style>
  <w:style w:type="paragraph" w:customStyle="1" w:styleId="ChapterLabel">
    <w:name w:val="Chapter Label"/>
    <w:basedOn w:val="a1"/>
    <w:next w:val="a2"/>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a1"/>
    <w:next w:val="a2"/>
    <w:pPr>
      <w:keepNext/>
      <w:keepLines/>
      <w:spacing w:after="360" w:line="240" w:lineRule="atLeast"/>
      <w:ind w:right="1800"/>
    </w:pPr>
    <w:rPr>
      <w:i/>
      <w:spacing w:val="-20"/>
      <w:kern w:val="28"/>
      <w:sz w:val="28"/>
    </w:rPr>
  </w:style>
  <w:style w:type="paragraph" w:customStyle="1" w:styleId="ChapterTitle">
    <w:name w:val="Chapter Title"/>
    <w:basedOn w:val="a1"/>
    <w:next w:val="ChapterSubtitle"/>
    <w:pPr>
      <w:keepNext/>
      <w:keepLines/>
      <w:spacing w:before="480" w:after="360" w:line="440" w:lineRule="atLeast"/>
      <w:ind w:right="2160"/>
    </w:pPr>
    <w:rPr>
      <w:rFonts w:ascii="Arial Black" w:hAnsi="Arial Black"/>
      <w:color w:val="808080"/>
      <w:spacing w:val="-35"/>
      <w:kern w:val="28"/>
      <w:sz w:val="44"/>
    </w:rPr>
  </w:style>
  <w:style w:type="paragraph" w:styleId="aa">
    <w:name w:val="Date"/>
    <w:basedOn w:val="a1"/>
    <w:next w:val="a1"/>
    <w:semiHidden/>
  </w:style>
  <w:style w:type="character" w:styleId="ab">
    <w:name w:val="Emphasis"/>
    <w:qFormat/>
    <w:rPr>
      <w:i/>
      <w:iCs/>
    </w:rPr>
  </w:style>
  <w:style w:type="character" w:styleId="ac">
    <w:name w:val="endnote reference"/>
    <w:semiHidden/>
    <w:rPr>
      <w:vertAlign w:val="superscript"/>
    </w:rPr>
  </w:style>
  <w:style w:type="paragraph" w:styleId="ad">
    <w:name w:val="endnote text"/>
    <w:basedOn w:val="a1"/>
    <w:semiHidden/>
  </w:style>
  <w:style w:type="paragraph" w:styleId="ae">
    <w:name w:val="footer"/>
    <w:basedOn w:val="af"/>
    <w:semiHidden/>
    <w:pPr>
      <w:spacing w:before="600"/>
      <w:ind w:right="-240" w:firstLine="0"/>
      <w:jc w:val="center"/>
    </w:pPr>
    <w:rPr>
      <w:kern w:val="18"/>
    </w:rPr>
  </w:style>
  <w:style w:type="paragraph" w:customStyle="1" w:styleId="FooterEven">
    <w:name w:val="Footer Even"/>
    <w:basedOn w:val="ae"/>
  </w:style>
  <w:style w:type="paragraph" w:customStyle="1" w:styleId="FooterFirst">
    <w:name w:val="Footer First"/>
    <w:basedOn w:val="ae"/>
    <w:pPr>
      <w:tabs>
        <w:tab w:val="clear" w:pos="8640"/>
      </w:tabs>
    </w:pPr>
    <w:rPr>
      <w:spacing w:val="-10"/>
    </w:rPr>
  </w:style>
  <w:style w:type="paragraph" w:customStyle="1" w:styleId="FooterOdd">
    <w:name w:val="Footer Odd"/>
    <w:basedOn w:val="ae"/>
    <w:pPr>
      <w:tabs>
        <w:tab w:val="right" w:pos="0"/>
      </w:tabs>
    </w:pPr>
  </w:style>
  <w:style w:type="paragraph" w:customStyle="1" w:styleId="FootnoteBase">
    <w:name w:val="Footnote Base"/>
    <w:basedOn w:val="a1"/>
    <w:pPr>
      <w:spacing w:before="240"/>
    </w:pPr>
    <w:rPr>
      <w:sz w:val="18"/>
    </w:rPr>
  </w:style>
  <w:style w:type="character" w:styleId="af0">
    <w:name w:val="footnote reference"/>
    <w:semiHidden/>
    <w:rPr>
      <w:vertAlign w:val="superscript"/>
    </w:rPr>
  </w:style>
  <w:style w:type="paragraph" w:styleId="af1">
    <w:name w:val="footnote text"/>
    <w:basedOn w:val="a1"/>
    <w:semiHidden/>
  </w:style>
  <w:style w:type="paragraph" w:customStyle="1" w:styleId="GlossaryDefinition">
    <w:name w:val="Glossary Definition"/>
    <w:basedOn w:val="a2"/>
  </w:style>
  <w:style w:type="character" w:customStyle="1" w:styleId="GlossaryEntry">
    <w:name w:val="Glossary Entry"/>
    <w:rPr>
      <w:b/>
    </w:rPr>
  </w:style>
  <w:style w:type="paragraph" w:styleId="af2">
    <w:name w:val="header"/>
    <w:basedOn w:val="af"/>
    <w:semiHidden/>
    <w:pPr>
      <w:spacing w:after="660"/>
      <w:ind w:firstLine="0"/>
      <w:jc w:val="center"/>
    </w:pPr>
    <w:rPr>
      <w:caps/>
      <w:kern w:val="18"/>
      <w:sz w:val="18"/>
    </w:rPr>
  </w:style>
  <w:style w:type="paragraph" w:customStyle="1" w:styleId="HeaderBase">
    <w:name w:val="Header Base"/>
    <w:basedOn w:val="a1"/>
    <w:pPr>
      <w:keepLines/>
      <w:tabs>
        <w:tab w:val="center" w:pos="4320"/>
        <w:tab w:val="right" w:pos="8640"/>
      </w:tabs>
    </w:pPr>
  </w:style>
  <w:style w:type="paragraph" w:customStyle="1" w:styleId="HeaderEven">
    <w:name w:val="Header Even"/>
    <w:basedOn w:val="af2"/>
  </w:style>
  <w:style w:type="paragraph" w:customStyle="1" w:styleId="HeaderFirst">
    <w:name w:val="Header First"/>
    <w:basedOn w:val="af2"/>
    <w:pPr>
      <w:tabs>
        <w:tab w:val="clear" w:pos="8640"/>
      </w:tabs>
    </w:pPr>
    <w:rPr>
      <w:rFonts w:ascii="Garamond" w:hAnsi="Garamond"/>
      <w:b/>
    </w:rPr>
  </w:style>
  <w:style w:type="paragraph" w:customStyle="1" w:styleId="HeaderOdd">
    <w:name w:val="Header Odd"/>
    <w:basedOn w:val="af2"/>
    <w:pPr>
      <w:tabs>
        <w:tab w:val="right" w:pos="0"/>
      </w:tabs>
      <w:jc w:val="right"/>
    </w:pPr>
  </w:style>
  <w:style w:type="paragraph" w:customStyle="1" w:styleId="HeadingBase">
    <w:name w:val="Heading Base"/>
    <w:basedOn w:val="a1"/>
    <w:next w:val="a2"/>
    <w:pPr>
      <w:keepNext/>
      <w:spacing w:before="240" w:after="120"/>
    </w:pPr>
    <w:rPr>
      <w:rFonts w:ascii="Arial" w:hAnsi="Arial"/>
      <w:b/>
      <w:kern w:val="28"/>
      <w:sz w:val="36"/>
    </w:rPr>
  </w:style>
  <w:style w:type="paragraph" w:styleId="10">
    <w:name w:val="index 1"/>
    <w:basedOn w:val="a1"/>
    <w:next w:val="a1"/>
    <w:autoRedefine/>
    <w:semiHidden/>
    <w:pPr>
      <w:ind w:left="220" w:hanging="220"/>
    </w:pPr>
  </w:style>
  <w:style w:type="paragraph" w:styleId="22">
    <w:name w:val="index 2"/>
    <w:basedOn w:val="a1"/>
    <w:next w:val="a1"/>
    <w:autoRedefine/>
    <w:semiHidden/>
    <w:pPr>
      <w:ind w:left="440" w:hanging="220"/>
    </w:pPr>
  </w:style>
  <w:style w:type="paragraph" w:styleId="32">
    <w:name w:val="index 3"/>
    <w:basedOn w:val="a1"/>
    <w:next w:val="a1"/>
    <w:autoRedefine/>
    <w:semiHidden/>
    <w:pPr>
      <w:ind w:left="660" w:hanging="220"/>
    </w:pPr>
  </w:style>
  <w:style w:type="paragraph" w:styleId="42">
    <w:name w:val="index 4"/>
    <w:basedOn w:val="a1"/>
    <w:next w:val="a1"/>
    <w:autoRedefine/>
    <w:semiHidden/>
    <w:pPr>
      <w:ind w:left="880" w:hanging="220"/>
    </w:pPr>
  </w:style>
  <w:style w:type="paragraph" w:styleId="52">
    <w:name w:val="index 5"/>
    <w:basedOn w:val="a1"/>
    <w:next w:val="a1"/>
    <w:autoRedefine/>
    <w:semiHidden/>
    <w:pPr>
      <w:ind w:left="1100" w:hanging="220"/>
    </w:pPr>
  </w:style>
  <w:style w:type="paragraph" w:customStyle="1" w:styleId="IndexBase">
    <w:name w:val="Index Base"/>
    <w:basedOn w:val="a1"/>
    <w:pPr>
      <w:tabs>
        <w:tab w:val="right" w:pos="3960"/>
      </w:tabs>
      <w:spacing w:line="240" w:lineRule="atLeast"/>
    </w:pPr>
    <w:rPr>
      <w:sz w:val="18"/>
    </w:rPr>
  </w:style>
  <w:style w:type="paragraph" w:styleId="af3">
    <w:name w:val="index heading"/>
    <w:basedOn w:val="a1"/>
    <w:next w:val="10"/>
    <w:semiHidden/>
    <w:rPr>
      <w:rFonts w:ascii="Arial" w:hAnsi="Arial" w:cs="Arial"/>
      <w:b/>
      <w:bCs/>
    </w:rPr>
  </w:style>
  <w:style w:type="character" w:customStyle="1" w:styleId="Lead-inEmphasis">
    <w:name w:val="Lead-in Emphasis"/>
    <w:rPr>
      <w:caps/>
      <w:sz w:val="22"/>
    </w:rPr>
  </w:style>
  <w:style w:type="character" w:styleId="af4">
    <w:name w:val="line number"/>
    <w:basedOn w:val="a3"/>
    <w:semiHidden/>
  </w:style>
  <w:style w:type="paragraph" w:styleId="af5">
    <w:name w:val="List"/>
    <w:basedOn w:val="a1"/>
    <w:semiHidden/>
    <w:pPr>
      <w:ind w:left="283" w:hanging="283"/>
    </w:pPr>
  </w:style>
  <w:style w:type="paragraph" w:styleId="23">
    <w:name w:val="List 2"/>
    <w:basedOn w:val="a1"/>
    <w:semiHidden/>
    <w:pPr>
      <w:ind w:left="566" w:hanging="283"/>
    </w:pPr>
  </w:style>
  <w:style w:type="paragraph" w:styleId="33">
    <w:name w:val="List 3"/>
    <w:basedOn w:val="a1"/>
    <w:semiHidden/>
    <w:pPr>
      <w:ind w:left="849" w:hanging="283"/>
    </w:pPr>
  </w:style>
  <w:style w:type="paragraph" w:styleId="43">
    <w:name w:val="List 4"/>
    <w:basedOn w:val="a1"/>
    <w:semiHidden/>
    <w:pPr>
      <w:ind w:left="1132" w:hanging="283"/>
    </w:pPr>
  </w:style>
  <w:style w:type="paragraph" w:styleId="53">
    <w:name w:val="List 5"/>
    <w:basedOn w:val="a1"/>
    <w:semiHidden/>
    <w:pPr>
      <w:ind w:left="1415" w:hanging="283"/>
    </w:pPr>
  </w:style>
  <w:style w:type="paragraph" w:styleId="af6">
    <w:name w:val="List Continue"/>
    <w:basedOn w:val="a1"/>
    <w:semiHidden/>
    <w:pPr>
      <w:spacing w:after="120"/>
      <w:ind w:left="283"/>
    </w:pPr>
  </w:style>
  <w:style w:type="paragraph" w:styleId="24">
    <w:name w:val="List Continue 2"/>
    <w:basedOn w:val="a1"/>
    <w:semiHidden/>
    <w:pPr>
      <w:spacing w:after="120"/>
      <w:ind w:left="566"/>
    </w:pPr>
  </w:style>
  <w:style w:type="paragraph" w:styleId="34">
    <w:name w:val="List Continue 3"/>
    <w:basedOn w:val="a1"/>
    <w:semiHidden/>
    <w:pPr>
      <w:spacing w:after="120"/>
      <w:ind w:left="849"/>
    </w:pPr>
  </w:style>
  <w:style w:type="paragraph" w:styleId="44">
    <w:name w:val="List Continue 4"/>
    <w:basedOn w:val="a1"/>
    <w:semiHidden/>
    <w:pPr>
      <w:spacing w:after="120"/>
      <w:ind w:left="1132"/>
    </w:pPr>
  </w:style>
  <w:style w:type="paragraph" w:styleId="54">
    <w:name w:val="List Continue 5"/>
    <w:basedOn w:val="a1"/>
    <w:semiHidden/>
    <w:pPr>
      <w:spacing w:after="120"/>
      <w:ind w:left="1415"/>
    </w:pPr>
  </w:style>
  <w:style w:type="paragraph" w:styleId="a">
    <w:name w:val="List Number"/>
    <w:basedOn w:val="a1"/>
    <w:semiHidden/>
    <w:pPr>
      <w:numPr>
        <w:numId w:val="1"/>
      </w:numPr>
    </w:pPr>
  </w:style>
  <w:style w:type="paragraph" w:styleId="2">
    <w:name w:val="List Number 2"/>
    <w:basedOn w:val="a1"/>
    <w:semiHidden/>
    <w:pPr>
      <w:numPr>
        <w:numId w:val="2"/>
      </w:numPr>
    </w:pPr>
  </w:style>
  <w:style w:type="paragraph" w:styleId="3">
    <w:name w:val="List Number 3"/>
    <w:basedOn w:val="a1"/>
    <w:semiHidden/>
    <w:pPr>
      <w:numPr>
        <w:numId w:val="3"/>
      </w:numPr>
    </w:pPr>
  </w:style>
  <w:style w:type="paragraph" w:styleId="4">
    <w:name w:val="List Number 4"/>
    <w:basedOn w:val="a1"/>
    <w:semiHidden/>
    <w:pPr>
      <w:numPr>
        <w:numId w:val="4"/>
      </w:numPr>
    </w:pPr>
  </w:style>
  <w:style w:type="paragraph" w:styleId="5">
    <w:name w:val="List Number 5"/>
    <w:basedOn w:val="a1"/>
    <w:semiHidden/>
    <w:pPr>
      <w:numPr>
        <w:numId w:val="5"/>
      </w:numPr>
    </w:pPr>
  </w:style>
  <w:style w:type="paragraph" w:styleId="af7">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Name">
    <w:name w:val="Name"/>
    <w:basedOn w:val="a2"/>
    <w:pPr>
      <w:jc w:val="center"/>
    </w:pPr>
  </w:style>
  <w:style w:type="character" w:styleId="af8">
    <w:name w:val="page number"/>
    <w:semiHidden/>
    <w:rPr>
      <w:rFonts w:ascii="Times New Roman" w:hAnsi="Times New Roman"/>
      <w:sz w:val="16"/>
      <w:lang w:bidi="ar-SA"/>
    </w:rPr>
  </w:style>
  <w:style w:type="paragraph" w:customStyle="1" w:styleId="Picture">
    <w:name w:val="Picture"/>
    <w:basedOn w:val="a2"/>
    <w:next w:val="a9"/>
    <w:pPr>
      <w:keepNext/>
    </w:pPr>
  </w:style>
  <w:style w:type="paragraph" w:customStyle="1" w:styleId="SectionLabel">
    <w:name w:val="Section Label"/>
    <w:basedOn w:val="a1"/>
    <w:next w:val="a1"/>
    <w:pPr>
      <w:spacing w:before="2040" w:after="360" w:line="480" w:lineRule="atLeast"/>
    </w:pPr>
    <w:rPr>
      <w:rFonts w:ascii="Arial Black" w:hAnsi="Arial Black"/>
      <w:color w:val="808080"/>
      <w:spacing w:val="-35"/>
      <w:sz w:val="48"/>
    </w:rPr>
  </w:style>
  <w:style w:type="paragraph" w:styleId="af9">
    <w:name w:val="Subtitle"/>
    <w:basedOn w:val="a1"/>
    <w:qFormat/>
    <w:pPr>
      <w:spacing w:after="60"/>
      <w:jc w:val="center"/>
      <w:outlineLvl w:val="1"/>
    </w:pPr>
    <w:rPr>
      <w:rFonts w:ascii="Arial" w:hAnsi="Arial" w:cs="Arial"/>
      <w:sz w:val="24"/>
      <w:szCs w:val="24"/>
    </w:rPr>
  </w:style>
  <w:style w:type="paragraph" w:styleId="afa">
    <w:name w:val="Title"/>
    <w:basedOn w:val="a1"/>
    <w:qFormat/>
    <w:pPr>
      <w:spacing w:before="240" w:after="60"/>
      <w:jc w:val="center"/>
      <w:outlineLvl w:val="0"/>
    </w:pPr>
    <w:rPr>
      <w:rFonts w:ascii="Arial" w:hAnsi="Arial" w:cs="Arial"/>
      <w:b/>
      <w:bCs/>
      <w:kern w:val="28"/>
      <w:sz w:val="32"/>
      <w:szCs w:val="32"/>
    </w:rPr>
  </w:style>
  <w:style w:type="paragraph" w:customStyle="1" w:styleId="SubtitleCover">
    <w:name w:val="Subtitle Cover"/>
    <w:basedOn w:val="a1"/>
    <w:next w:val="a1"/>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afb">
    <w:name w:val="table of authorities"/>
    <w:basedOn w:val="a1"/>
    <w:next w:val="a1"/>
    <w:semiHidden/>
    <w:pPr>
      <w:ind w:left="220" w:hanging="220"/>
    </w:pPr>
  </w:style>
  <w:style w:type="paragraph" w:styleId="afc">
    <w:name w:val="table of figures"/>
    <w:basedOn w:val="a1"/>
    <w:next w:val="a1"/>
    <w:semiHidden/>
    <w:pPr>
      <w:ind w:left="440" w:hanging="44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afd">
    <w:name w:val="toa heading"/>
    <w:basedOn w:val="a1"/>
    <w:next w:val="a1"/>
    <w:semiHidden/>
    <w:pPr>
      <w:spacing w:before="120"/>
    </w:pPr>
    <w:rPr>
      <w:rFonts w:ascii="Arial" w:hAnsi="Arial" w:cs="Arial"/>
      <w:b/>
      <w:bCs/>
      <w:sz w:val="24"/>
      <w:szCs w:val="24"/>
    </w:rPr>
  </w:style>
  <w:style w:type="paragraph" w:styleId="11">
    <w:name w:val="toc 1"/>
    <w:basedOn w:val="a1"/>
    <w:next w:val="a1"/>
    <w:autoRedefine/>
    <w:semiHidden/>
  </w:style>
  <w:style w:type="paragraph" w:styleId="25">
    <w:name w:val="toc 2"/>
    <w:basedOn w:val="a1"/>
    <w:next w:val="a1"/>
    <w:autoRedefine/>
    <w:semiHidden/>
    <w:pPr>
      <w:ind w:left="220"/>
    </w:pPr>
  </w:style>
  <w:style w:type="paragraph" w:styleId="35">
    <w:name w:val="toc 3"/>
    <w:basedOn w:val="a1"/>
    <w:next w:val="a1"/>
    <w:autoRedefine/>
    <w:semiHidden/>
    <w:pPr>
      <w:ind w:left="440"/>
    </w:pPr>
  </w:style>
  <w:style w:type="paragraph" w:styleId="45">
    <w:name w:val="toc 4"/>
    <w:basedOn w:val="a1"/>
    <w:next w:val="a1"/>
    <w:autoRedefine/>
    <w:semiHidden/>
    <w:pPr>
      <w:ind w:left="660"/>
    </w:pPr>
  </w:style>
  <w:style w:type="paragraph" w:styleId="55">
    <w:name w:val="toc 5"/>
    <w:basedOn w:val="a1"/>
    <w:next w:val="a1"/>
    <w:autoRedefine/>
    <w:semiHidden/>
    <w:pPr>
      <w:ind w:left="880"/>
    </w:pPr>
  </w:style>
  <w:style w:type="paragraph" w:customStyle="1" w:styleId="TOCBase">
    <w:name w:val="TOC Base"/>
    <w:basedOn w:val="25"/>
  </w:style>
  <w:style w:type="paragraph" w:customStyle="1" w:styleId="BlockQuotationFirst">
    <w:name w:val="Block Quotation First"/>
    <w:basedOn w:val="a1"/>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a2"/>
    <w:pPr>
      <w:keepLines/>
      <w:pBdr>
        <w:top w:val="none" w:sz="0" w:space="0" w:color="auto"/>
        <w:left w:val="none" w:sz="0" w:space="0" w:color="auto"/>
        <w:bottom w:val="none" w:sz="0" w:space="0" w:color="auto"/>
        <w:right w:val="none" w:sz="0" w:space="0" w:color="auto"/>
      </w:pBdr>
      <w:shd w:val="clear" w:color="auto" w:fill="auto"/>
      <w:ind w:left="720" w:right="720"/>
      <w:jc w:val="left"/>
    </w:pPr>
    <w:rPr>
      <w:i/>
      <w:spacing w:val="0"/>
      <w:sz w:val="20"/>
    </w:rPr>
  </w:style>
  <w:style w:type="paragraph" w:customStyle="1" w:styleId="CompanyName">
    <w:name w:val="Company Name"/>
    <w:basedOn w:val="a1"/>
    <w:next w:val="a1"/>
    <w:pPr>
      <w:spacing w:before="420" w:after="60" w:line="320" w:lineRule="exact"/>
    </w:pPr>
    <w:rPr>
      <w:caps/>
      <w:kern w:val="36"/>
      <w:sz w:val="38"/>
    </w:rPr>
  </w:style>
  <w:style w:type="paragraph" w:customStyle="1" w:styleId="DocumentLabel">
    <w:name w:val="Document Label"/>
    <w:basedOn w:val="a1"/>
    <w:pPr>
      <w:keepNext/>
      <w:spacing w:before="240" w:after="360"/>
    </w:pPr>
    <w:rPr>
      <w:b/>
      <w:kern w:val="28"/>
      <w:sz w:val="36"/>
    </w:rPr>
  </w:style>
  <w:style w:type="paragraph" w:customStyle="1" w:styleId="Icon1">
    <w:name w:val="Icon 1"/>
    <w:basedOn w:val="a1"/>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60">
    <w:name w:val="index 6"/>
    <w:basedOn w:val="a1"/>
    <w:next w:val="a1"/>
    <w:autoRedefine/>
    <w:semiHidden/>
    <w:pPr>
      <w:ind w:left="1320" w:hanging="220"/>
    </w:pPr>
  </w:style>
  <w:style w:type="paragraph" w:styleId="70">
    <w:name w:val="index 7"/>
    <w:basedOn w:val="a1"/>
    <w:next w:val="a1"/>
    <w:autoRedefine/>
    <w:semiHidden/>
    <w:pPr>
      <w:ind w:left="1540" w:hanging="220"/>
    </w:pPr>
  </w:style>
  <w:style w:type="paragraph" w:styleId="80">
    <w:name w:val="index 8"/>
    <w:basedOn w:val="a1"/>
    <w:next w:val="a1"/>
    <w:autoRedefine/>
    <w:semiHidden/>
    <w:pPr>
      <w:ind w:left="1760" w:hanging="220"/>
    </w:pPr>
  </w:style>
  <w:style w:type="paragraph" w:styleId="a0">
    <w:name w:val="List Bullet"/>
    <w:basedOn w:val="a1"/>
    <w:autoRedefine/>
    <w:semiHidden/>
    <w:pPr>
      <w:numPr>
        <w:numId w:val="6"/>
      </w:numPr>
    </w:pPr>
  </w:style>
  <w:style w:type="paragraph" w:styleId="20">
    <w:name w:val="List Bullet 2"/>
    <w:basedOn w:val="a1"/>
    <w:autoRedefine/>
    <w:semiHidden/>
    <w:pPr>
      <w:numPr>
        <w:numId w:val="7"/>
      </w:numPr>
    </w:pPr>
  </w:style>
  <w:style w:type="paragraph" w:styleId="30">
    <w:name w:val="List Bullet 3"/>
    <w:basedOn w:val="a1"/>
    <w:autoRedefine/>
    <w:semiHidden/>
    <w:pPr>
      <w:numPr>
        <w:numId w:val="8"/>
      </w:numPr>
    </w:pPr>
  </w:style>
  <w:style w:type="paragraph" w:styleId="40">
    <w:name w:val="List Bullet 4"/>
    <w:basedOn w:val="a1"/>
    <w:autoRedefine/>
    <w:semiHidden/>
    <w:pPr>
      <w:numPr>
        <w:numId w:val="9"/>
      </w:numPr>
    </w:pPr>
  </w:style>
  <w:style w:type="paragraph" w:styleId="50">
    <w:name w:val="List Bullet 5"/>
    <w:basedOn w:val="a1"/>
    <w:autoRedefine/>
    <w:semiHidden/>
    <w:pPr>
      <w:numPr>
        <w:numId w:val="10"/>
      </w:numPr>
    </w:pPr>
  </w:style>
  <w:style w:type="paragraph" w:customStyle="1" w:styleId="ListBulletFirst">
    <w:name w:val="List Bullet First"/>
    <w:basedOn w:val="a0"/>
    <w:next w:val="a0"/>
    <w:pPr>
      <w:spacing w:before="80" w:after="160"/>
      <w:jc w:val="left"/>
    </w:pPr>
  </w:style>
  <w:style w:type="paragraph" w:customStyle="1" w:styleId="ListBulletLast">
    <w:name w:val="List Bullet Last"/>
    <w:basedOn w:val="a0"/>
    <w:next w:val="a2"/>
    <w:pPr>
      <w:jc w:val="left"/>
    </w:pPr>
  </w:style>
  <w:style w:type="paragraph" w:customStyle="1" w:styleId="ListFirst">
    <w:name w:val="List First"/>
    <w:basedOn w:val="af5"/>
    <w:next w:val="af5"/>
    <w:pPr>
      <w:spacing w:before="80" w:after="80"/>
      <w:ind w:left="720" w:hanging="360"/>
      <w:jc w:val="left"/>
    </w:pPr>
  </w:style>
  <w:style w:type="paragraph" w:customStyle="1" w:styleId="ListLast">
    <w:name w:val="List Last"/>
    <w:basedOn w:val="af5"/>
    <w:next w:val="a2"/>
    <w:pPr>
      <w:ind w:left="720" w:hanging="360"/>
      <w:jc w:val="left"/>
    </w:pPr>
  </w:style>
  <w:style w:type="paragraph" w:customStyle="1" w:styleId="ListNumberFirst">
    <w:name w:val="List Number First"/>
    <w:basedOn w:val="a"/>
    <w:next w:val="a"/>
    <w:pPr>
      <w:spacing w:before="80" w:after="160"/>
      <w:jc w:val="left"/>
    </w:pPr>
  </w:style>
  <w:style w:type="paragraph" w:customStyle="1" w:styleId="ListNumberLast">
    <w:name w:val="List Number Last"/>
    <w:basedOn w:val="a"/>
    <w:next w:val="a2"/>
    <w:pPr>
      <w:jc w:val="left"/>
    </w:pPr>
  </w:style>
  <w:style w:type="paragraph" w:customStyle="1" w:styleId="PartLabel">
    <w:name w:val="Part Label"/>
    <w:basedOn w:val="a1"/>
    <w:next w:val="a1"/>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a1"/>
    <w:next w:val="a2"/>
    <w:pPr>
      <w:keepNext/>
      <w:spacing w:before="360" w:after="120"/>
      <w:jc w:val="center"/>
    </w:pPr>
    <w:rPr>
      <w:rFonts w:ascii="Arial" w:hAnsi="Arial"/>
      <w:i/>
      <w:kern w:val="28"/>
      <w:sz w:val="32"/>
    </w:rPr>
  </w:style>
  <w:style w:type="paragraph" w:customStyle="1" w:styleId="PartTitle">
    <w:name w:val="Part Title"/>
    <w:basedOn w:val="a1"/>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ReturnAddress">
    <w:name w:val="Return Address"/>
    <w:basedOn w:val="a1"/>
    <w:pPr>
      <w:jc w:val="center"/>
    </w:pPr>
    <w:rPr>
      <w:spacing w:val="-3"/>
    </w:rPr>
  </w:style>
  <w:style w:type="paragraph" w:customStyle="1" w:styleId="SectionHeading">
    <w:name w:val="Section Heading"/>
    <w:basedOn w:val="a1"/>
    <w:next w:val="a2"/>
    <w:pPr>
      <w:spacing w:line="640" w:lineRule="atLeast"/>
    </w:pPr>
    <w:rPr>
      <w:rFonts w:ascii="Arial Black" w:hAnsi="Arial Black"/>
      <w:caps/>
      <w:spacing w:val="60"/>
      <w:sz w:val="15"/>
    </w:rPr>
  </w:style>
  <w:style w:type="paragraph" w:styleId="61">
    <w:name w:val="toc 6"/>
    <w:basedOn w:val="a1"/>
    <w:next w:val="a1"/>
    <w:autoRedefine/>
    <w:semiHidden/>
    <w:pPr>
      <w:ind w:left="1100"/>
    </w:pPr>
  </w:style>
  <w:style w:type="paragraph" w:styleId="71">
    <w:name w:val="toc 7"/>
    <w:basedOn w:val="a1"/>
    <w:next w:val="a1"/>
    <w:autoRedefine/>
    <w:semiHidden/>
    <w:pPr>
      <w:ind w:left="1320"/>
    </w:pPr>
  </w:style>
  <w:style w:type="paragraph" w:styleId="81">
    <w:name w:val="toc 8"/>
    <w:basedOn w:val="a1"/>
    <w:next w:val="a1"/>
    <w:autoRedefine/>
    <w:semiHidden/>
    <w:pPr>
      <w:ind w:left="1540"/>
    </w:pPr>
  </w:style>
  <w:style w:type="paragraph" w:styleId="90">
    <w:name w:val="toc 9"/>
    <w:basedOn w:val="a1"/>
    <w:next w:val="a1"/>
    <w:autoRedefine/>
    <w:semiHidden/>
    <w:pPr>
      <w:ind w:left="1760"/>
    </w:pPr>
  </w:style>
  <w:style w:type="paragraph" w:styleId="afe">
    <w:name w:val="Body Text First Indent"/>
    <w:basedOn w:val="a2"/>
    <w:semiHidden/>
    <w:rPr>
      <w:color w:val="808080"/>
    </w:rPr>
  </w:style>
  <w:style w:type="character" w:styleId="aff">
    <w:name w:val="Hyperlink"/>
    <w:semiHidden/>
    <w:rPr>
      <w:color w:val="0000FF"/>
      <w:u w:val="single"/>
    </w:rPr>
  </w:style>
  <w:style w:type="character" w:styleId="aff0">
    <w:name w:val="FollowedHyperlink"/>
    <w:semiHidden/>
    <w:rPr>
      <w:color w:val="800080"/>
      <w:u w:val="single"/>
    </w:rPr>
  </w:style>
  <w:style w:type="paragraph" w:styleId="aff1">
    <w:name w:val="Closing"/>
    <w:basedOn w:val="a1"/>
    <w:next w:val="a1"/>
    <w:semiHidden/>
    <w:pPr>
      <w:spacing w:line="220" w:lineRule="atLeast"/>
    </w:pPr>
  </w:style>
  <w:style w:type="paragraph" w:styleId="aff2">
    <w:name w:val="Normal Indent"/>
    <w:basedOn w:val="a1"/>
    <w:semiHidden/>
    <w:pPr>
      <w:ind w:left="720"/>
    </w:pPr>
  </w:style>
  <w:style w:type="paragraph" w:customStyle="1" w:styleId="aff3">
    <w:name w:val="Название предприятия"/>
    <w:basedOn w:val="a2"/>
    <w:pPr>
      <w:keepLines/>
      <w:framePr w:w="8640" w:h="1440" w:wrap="notBeside" w:vAnchor="page" w:hAnchor="margin" w:xAlign="center" w:y="889"/>
      <w:spacing w:after="40"/>
      <w:ind w:firstLine="0"/>
      <w:jc w:val="center"/>
    </w:pPr>
    <w:rPr>
      <w:caps/>
      <w:spacing w:val="75"/>
    </w:rPr>
  </w:style>
  <w:style w:type="paragraph" w:customStyle="1" w:styleId="aff4">
    <w:name w:val="Название документа"/>
    <w:next w:val="a1"/>
    <w:pPr>
      <w:pBdr>
        <w:top w:val="double" w:sz="6" w:space="8" w:color="808080"/>
        <w:bottom w:val="double" w:sz="6" w:space="8" w:color="808080"/>
      </w:pBdr>
      <w:spacing w:after="40" w:line="240" w:lineRule="atLeast"/>
      <w:jc w:val="center"/>
    </w:pPr>
    <w:rPr>
      <w:rFonts w:ascii="Garamond" w:hAnsi="Garamond"/>
      <w:b/>
      <w:caps/>
      <w:spacing w:val="20"/>
      <w:sz w:val="18"/>
      <w:lang w:eastAsia="en-US"/>
    </w:rPr>
  </w:style>
  <w:style w:type="paragraph" w:customStyle="1" w:styleId="aff5">
    <w:name w:val="Приложение"/>
    <w:basedOn w:val="a2"/>
    <w:next w:val="a1"/>
    <w:pPr>
      <w:keepLines/>
      <w:spacing w:before="220"/>
      <w:ind w:firstLine="0"/>
    </w:pPr>
  </w:style>
  <w:style w:type="paragraph" w:customStyle="1" w:styleId="af">
    <w:name w:val="База верхнего колонтитула"/>
    <w:basedOn w:val="a2"/>
    <w:pPr>
      <w:keepLines/>
      <w:tabs>
        <w:tab w:val="center" w:pos="4320"/>
        <w:tab w:val="right" w:pos="8640"/>
      </w:tabs>
    </w:pPr>
  </w:style>
  <w:style w:type="paragraph" w:customStyle="1" w:styleId="aff6">
    <w:name w:val="База заголовка"/>
    <w:basedOn w:val="a2"/>
    <w:next w:val="a2"/>
    <w:pPr>
      <w:keepNext/>
      <w:keepLines/>
      <w:ind w:firstLine="0"/>
      <w:jc w:val="left"/>
    </w:pPr>
    <w:rPr>
      <w:kern w:val="20"/>
    </w:rPr>
  </w:style>
  <w:style w:type="paragraph" w:styleId="aff7">
    <w:name w:val="Message Header"/>
    <w:basedOn w:val="a2"/>
    <w:semiHidden/>
    <w:pPr>
      <w:keepLines/>
      <w:spacing w:after="120"/>
      <w:ind w:left="1080" w:hanging="1080"/>
      <w:jc w:val="left"/>
    </w:pPr>
    <w:rPr>
      <w:caps/>
      <w:sz w:val="18"/>
    </w:rPr>
  </w:style>
  <w:style w:type="paragraph" w:customStyle="1" w:styleId="aff8">
    <w:name w:val="Заголовок сообщения (первый)"/>
    <w:basedOn w:val="aff7"/>
    <w:next w:val="aff7"/>
    <w:pPr>
      <w:spacing w:before="360"/>
    </w:pPr>
  </w:style>
  <w:style w:type="character" w:customStyle="1" w:styleId="aff9">
    <w:name w:val="Заголовок сообщения (текст)"/>
    <w:rPr>
      <w:b/>
      <w:sz w:val="18"/>
      <w:lang w:bidi="ar-SA"/>
    </w:rPr>
  </w:style>
  <w:style w:type="paragraph" w:customStyle="1" w:styleId="affa">
    <w:name w:val="Заголовок сообщения (последний)"/>
    <w:basedOn w:val="aff7"/>
    <w:next w:val="a2"/>
    <w:pPr>
      <w:pBdr>
        <w:bottom w:val="single" w:sz="6" w:space="18" w:color="808080"/>
      </w:pBdr>
      <w:spacing w:after="360"/>
    </w:pPr>
  </w:style>
  <w:style w:type="paragraph" w:customStyle="1" w:styleId="affb">
    <w:name w:val="Обратные адреса"/>
    <w:pPr>
      <w:framePr w:w="8640" w:hSpace="187" w:vSpace="187" w:wrap="notBeside" w:vAnchor="page" w:hAnchor="margin" w:xAlign="center" w:y="14401" w:anchorLock="1"/>
      <w:spacing w:line="240" w:lineRule="atLeast"/>
      <w:ind w:right="-240"/>
      <w:jc w:val="center"/>
    </w:pPr>
    <w:rPr>
      <w:rFonts w:ascii="Garamond" w:hAnsi="Garamond"/>
      <w:caps/>
      <w:spacing w:val="30"/>
      <w:sz w:val="15"/>
      <w:lang w:eastAsia="en-US"/>
    </w:rPr>
  </w:style>
  <w:style w:type="paragraph" w:styleId="affc">
    <w:name w:val="Signature"/>
    <w:basedOn w:val="a2"/>
    <w:next w:val="a1"/>
    <w:semiHidden/>
    <w:pPr>
      <w:keepNext/>
      <w:keepLines/>
      <w:spacing w:before="660"/>
    </w:pPr>
  </w:style>
  <w:style w:type="paragraph" w:customStyle="1" w:styleId="affd">
    <w:name w:val="Должность в подписи"/>
    <w:basedOn w:val="affc"/>
    <w:next w:val="a1"/>
    <w:pPr>
      <w:spacing w:before="0"/>
      <w:ind w:firstLine="0"/>
    </w:pPr>
  </w:style>
  <w:style w:type="paragraph" w:customStyle="1" w:styleId="affe">
    <w:name w:val="Имя в подписи"/>
    <w:basedOn w:val="affc"/>
    <w:next w:val="affd"/>
    <w:pPr>
      <w:ind w:firstLine="0"/>
    </w:pPr>
  </w:style>
  <w:style w:type="character" w:customStyle="1" w:styleId="afff">
    <w:name w:val="Девиз"/>
    <w:rPr>
      <w:i/>
      <w:spacing w:val="70"/>
      <w:sz w:val="21"/>
    </w:rPr>
  </w:style>
  <w:style w:type="paragraph" w:styleId="HTML">
    <w:name w:val="HTML Address"/>
    <w:basedOn w:val="a1"/>
    <w:semiHidden/>
    <w:rPr>
      <w:i/>
      <w:iCs/>
    </w:rPr>
  </w:style>
  <w:style w:type="paragraph" w:styleId="afff0">
    <w:name w:val="envelope address"/>
    <w:basedOn w:val="a1"/>
    <w:semiHidden/>
    <w:pPr>
      <w:framePr w:w="7920" w:h="1980" w:hRule="exact" w:hSpace="180" w:wrap="auto" w:hAnchor="page" w:xAlign="center" w:yAlign="bottom"/>
      <w:ind w:left="2880"/>
    </w:pPr>
    <w:rPr>
      <w:rFonts w:ascii="Arial" w:hAnsi="Arial" w:cs="Arial"/>
      <w:sz w:val="24"/>
      <w:szCs w:val="24"/>
    </w:rPr>
  </w:style>
  <w:style w:type="character" w:styleId="HTML0">
    <w:name w:val="HTML Acronym"/>
    <w:basedOn w:val="a3"/>
    <w:semiHidden/>
  </w:style>
  <w:style w:type="paragraph" w:styleId="afff1">
    <w:name w:val="Note Heading"/>
    <w:basedOn w:val="a1"/>
    <w:next w:val="a1"/>
    <w:semiHidden/>
  </w:style>
  <w:style w:type="character" w:styleId="HTML1">
    <w:name w:val="HTML Keyboard"/>
    <w:semiHidden/>
    <w:rPr>
      <w:rFonts w:ascii="Courier New" w:hAnsi="Courier New"/>
      <w:sz w:val="20"/>
      <w:szCs w:val="20"/>
    </w:rPr>
  </w:style>
  <w:style w:type="character" w:styleId="HTML2">
    <w:name w:val="HTML Code"/>
    <w:semiHidden/>
    <w:rPr>
      <w:rFonts w:ascii="Courier New" w:hAnsi="Courier New"/>
      <w:sz w:val="20"/>
      <w:szCs w:val="20"/>
    </w:rPr>
  </w:style>
  <w:style w:type="paragraph" w:styleId="26">
    <w:name w:val="Body Text First Indent 2"/>
    <w:basedOn w:val="a8"/>
    <w:semiHidden/>
    <w:pPr>
      <w:ind w:firstLine="210"/>
    </w:pPr>
  </w:style>
  <w:style w:type="character" w:styleId="HTML3">
    <w:name w:val="HTML Sample"/>
    <w:semiHidden/>
    <w:rPr>
      <w:rFonts w:ascii="Courier New" w:hAnsi="Courier New"/>
    </w:rPr>
  </w:style>
  <w:style w:type="paragraph" w:styleId="27">
    <w:name w:val="envelope return"/>
    <w:basedOn w:val="a1"/>
    <w:semiHidden/>
    <w:rPr>
      <w:rFonts w:ascii="Arial" w:hAnsi="Arial" w:cs="Arial"/>
    </w:rPr>
  </w:style>
  <w:style w:type="paragraph" w:styleId="afff2">
    <w:name w:val="Normal (Web)"/>
    <w:basedOn w:val="a1"/>
    <w:semiHidden/>
    <w:rPr>
      <w:sz w:val="24"/>
      <w:szCs w:val="24"/>
    </w:rPr>
  </w:style>
  <w:style w:type="character" w:styleId="HTML4">
    <w:name w:val="HTML Definition"/>
    <w:semiHidden/>
    <w:rPr>
      <w:i/>
      <w:iCs/>
    </w:rPr>
  </w:style>
  <w:style w:type="paragraph" w:styleId="28">
    <w:name w:val="Body Text 2"/>
    <w:basedOn w:val="a1"/>
    <w:semiHidden/>
    <w:pPr>
      <w:spacing w:after="120" w:line="480" w:lineRule="auto"/>
    </w:pPr>
  </w:style>
  <w:style w:type="paragraph" w:styleId="36">
    <w:name w:val="Body Text 3"/>
    <w:basedOn w:val="a1"/>
    <w:semiHidden/>
    <w:pPr>
      <w:spacing w:after="120"/>
    </w:pPr>
    <w:rPr>
      <w:sz w:val="16"/>
      <w:szCs w:val="16"/>
    </w:rPr>
  </w:style>
  <w:style w:type="paragraph" w:styleId="29">
    <w:name w:val="Body Text Indent 2"/>
    <w:basedOn w:val="a1"/>
    <w:semiHidden/>
    <w:pPr>
      <w:spacing w:after="120" w:line="480" w:lineRule="auto"/>
      <w:ind w:left="283"/>
    </w:pPr>
  </w:style>
  <w:style w:type="paragraph" w:styleId="37">
    <w:name w:val="Body Text Indent 3"/>
    <w:basedOn w:val="a1"/>
    <w:semiHidden/>
    <w:pPr>
      <w:spacing w:after="120"/>
      <w:ind w:left="283"/>
    </w:pPr>
    <w:rPr>
      <w:sz w:val="16"/>
      <w:szCs w:val="16"/>
    </w:rPr>
  </w:style>
  <w:style w:type="character" w:styleId="HTML5">
    <w:name w:val="HTML Variable"/>
    <w:semiHidden/>
    <w:rPr>
      <w:i/>
      <w:iCs/>
    </w:rPr>
  </w:style>
  <w:style w:type="character" w:styleId="HTML6">
    <w:name w:val="HTML Typewriter"/>
    <w:semiHidden/>
    <w:rPr>
      <w:rFonts w:ascii="Courier New" w:hAnsi="Courier New"/>
      <w:sz w:val="20"/>
      <w:szCs w:val="20"/>
    </w:rPr>
  </w:style>
  <w:style w:type="paragraph" w:styleId="afff3">
    <w:name w:val="Salutation"/>
    <w:basedOn w:val="a1"/>
    <w:next w:val="a1"/>
    <w:semiHidden/>
  </w:style>
  <w:style w:type="paragraph" w:styleId="HTML7">
    <w:name w:val="HTML Preformatted"/>
    <w:basedOn w:val="a1"/>
    <w:semiHidden/>
    <w:rPr>
      <w:rFonts w:ascii="Courier New" w:hAnsi="Courier New" w:cs="Courier New"/>
    </w:rPr>
  </w:style>
  <w:style w:type="character" w:styleId="afff4">
    <w:name w:val="Strong"/>
    <w:qFormat/>
    <w:rPr>
      <w:b/>
      <w:bCs/>
    </w:rPr>
  </w:style>
  <w:style w:type="paragraph" w:styleId="afff5">
    <w:name w:val="Document Map"/>
    <w:basedOn w:val="a1"/>
    <w:semiHidden/>
    <w:pPr>
      <w:shd w:val="clear" w:color="auto" w:fill="000080"/>
    </w:pPr>
    <w:rPr>
      <w:rFonts w:ascii="Tahoma" w:hAnsi="Tahoma" w:cs="Tahoma"/>
    </w:rPr>
  </w:style>
  <w:style w:type="paragraph" w:styleId="afff6">
    <w:name w:val="Plain Text"/>
    <w:basedOn w:val="a1"/>
    <w:semiHidden/>
    <w:rPr>
      <w:rFonts w:ascii="Courier New" w:hAnsi="Courier New" w:cs="Courier New"/>
    </w:rPr>
  </w:style>
  <w:style w:type="paragraph" w:styleId="91">
    <w:name w:val="index 9"/>
    <w:basedOn w:val="a1"/>
    <w:next w:val="a1"/>
    <w:autoRedefine/>
    <w:semiHidden/>
    <w:pPr>
      <w:ind w:left="1980" w:hanging="220"/>
    </w:pPr>
  </w:style>
  <w:style w:type="paragraph" w:styleId="afff7">
    <w:name w:val="Block Text"/>
    <w:basedOn w:val="a1"/>
    <w:semiHidden/>
    <w:pPr>
      <w:spacing w:after="120"/>
      <w:ind w:left="1440" w:right="1440"/>
    </w:pPr>
  </w:style>
  <w:style w:type="character" w:styleId="HTML8">
    <w:name w:val="HTML Cite"/>
    <w:semiHidden/>
    <w:rPr>
      <w:i/>
      <w:iCs/>
    </w:rPr>
  </w:style>
  <w:style w:type="paragraph" w:styleId="afff8">
    <w:name w:val="E-mail Signature"/>
    <w:basedOn w:val="a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8011</Words>
  <Characters>45668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Jasha</dc:creator>
  <cp:keywords/>
  <dc:description/>
  <cp:lastModifiedBy>admin</cp:lastModifiedBy>
  <cp:revision>2</cp:revision>
  <cp:lastPrinted>1899-12-31T22:00:00Z</cp:lastPrinted>
  <dcterms:created xsi:type="dcterms:W3CDTF">2014-02-07T11:34:00Z</dcterms:created>
  <dcterms:modified xsi:type="dcterms:W3CDTF">2014-02-07T11:34:00Z</dcterms:modified>
</cp:coreProperties>
</file>