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A1" w:rsidRPr="002D3323" w:rsidRDefault="00BD5CA1" w:rsidP="00BD5CA1">
      <w:pPr>
        <w:spacing w:before="120"/>
        <w:jc w:val="center"/>
        <w:rPr>
          <w:b/>
          <w:bCs/>
          <w:sz w:val="32"/>
          <w:szCs w:val="32"/>
        </w:rPr>
      </w:pPr>
      <w:r w:rsidRPr="002D3323">
        <w:rPr>
          <w:b/>
          <w:bCs/>
          <w:sz w:val="32"/>
          <w:szCs w:val="32"/>
        </w:rPr>
        <w:t>Оценка инвестиционной стоимости кризисного предприятия</w:t>
      </w:r>
    </w:p>
    <w:p w:rsidR="00BD5CA1" w:rsidRPr="002E0C21" w:rsidRDefault="00BD5CA1" w:rsidP="00BD5CA1">
      <w:pPr>
        <w:spacing w:before="120"/>
        <w:jc w:val="center"/>
        <w:rPr>
          <w:sz w:val="28"/>
          <w:szCs w:val="28"/>
        </w:rPr>
      </w:pPr>
      <w:r w:rsidRPr="002E0C21">
        <w:rPr>
          <w:sz w:val="28"/>
          <w:szCs w:val="28"/>
        </w:rPr>
        <w:t>Екатерина Синогейкина, генеральный директор ЗАО «Евроэксперт». канд. экон. наук, доцент, Ирина Полякова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 xml:space="preserve">Рыночная стоимость активов предприятий, находящихся на стадии кризиса, оценивается со значительным дисконтом. часто бизнес предприятий-банкротов привлекателен для конкретного инвестора. </w:t>
      </w:r>
      <w:r>
        <w:t>В</w:t>
      </w:r>
      <w:r w:rsidRPr="00514E7B">
        <w:t xml:space="preserve"> данной статье анализируются факторы стоимости «кризисных» предприятий и раскрываются особенности оценки их инвестиционной стоимости.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В настоящее время в России очень много компаний, находящихся в кризисной ситуации или проходящих процедуры банкротства. Согласно статистике только 5% российских предприятий оказываются жизнеспособными после проведения процедур банкротства, остальные подлежат ликвидации.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Основываясь на практическом опыте, можно утверждать, что нередко в рамках процедур банкротства или ликвидации активы предприятий, банков, финансовых институтов реализуются со значительным дисконтом от рыночной или балансовой стоимости. Так, например, при ликвидации ОАО «СБС-Агро» рассчитывалась «рыночная стоимость при срочной и мгновенной ликвидации активов». За основу бралась рыночная (или балансовая) стоимость активов с дисконтом от 30 до 70%.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Сегодня рыночная стоимость стала общепризнанной базой оценки, которая определяется и в контексте процедур банкротства. Однако опыт показывает, что рыночная стоимость кризисного предприятия или предприятия-банкрота может быть близкой или равной нулю,</w:t>
      </w:r>
      <w:r>
        <w:t xml:space="preserve"> </w:t>
      </w:r>
      <w:r w:rsidRPr="00514E7B">
        <w:t>в то время как его инвестиционная стоимость становится значимой величиной.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Приведем следующий пример. На дату оценки рыночная стоимость предприятия-банкрота, осуществлявшего международные грузоперевозки, близка к нулю. Однако инвестиционная стоимость этого предприятия значительно выше.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Возникает вопрос: почему инвестор не создаст новое предприятие? Потому что создание клиентской базы требует времени, управление таким бизнесом -</w:t>
      </w:r>
      <w:r>
        <w:t xml:space="preserve"> </w:t>
      </w:r>
      <w:r w:rsidRPr="00514E7B">
        <w:t>опыта; получение необходимых нематериальных активов (например, вступление в АСМАП и др.) - для новой фирмы задача невыполнимая. Место регистрации предприятия-банкрота может быть оптимальным с точки зрения стоимости лизинга. Факторами принятия решения могут стать правовые и налоговые аспекты организации и финансирования бизнеса.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Значит, предприятие-банкрот</w:t>
      </w:r>
      <w:r>
        <w:t xml:space="preserve"> </w:t>
      </w:r>
      <w:r w:rsidRPr="00514E7B">
        <w:t>это не только неликвидное имущество, как часто бывает в рамках процедур банкротства. Оно может сохранять и создавать рабочие места, продолжать платить налоги, обеспечивать предпринимательский доход</w:t>
      </w:r>
      <w:r>
        <w:t xml:space="preserve"> </w:t>
      </w:r>
      <w:r w:rsidRPr="00514E7B">
        <w:t>и создавать дополнительную стоимость. Поэтому среди определяемых в рамках оценки бизнеса стоимостей важное место занимает инвестиционная стоимость.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Инвестиционная стоимость определяется как специфическая стоимость капиталовложений конкретного инвестора или группы инвесторов при определенных условиях инвестирования [1]. Такая стоимость основана на индивидуальных инвестиционных требованиях (условиях) инвестора, в отличие от рыночной стоимости, которая является безличной и не зависит от персональных пожеланий (условий, требований) конкретного инвестора.</w:t>
      </w:r>
    </w:p>
    <w:p w:rsidR="00BD5CA1" w:rsidRPr="002D3323" w:rsidRDefault="00BD5CA1" w:rsidP="00BD5CA1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Стадии кризисного состояния предприятия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Понятие кризиса на предприятии не исчерпывается определением несостоятельности, данным в законодательстве</w:t>
      </w:r>
      <w:r>
        <w:t xml:space="preserve"> (</w:t>
      </w:r>
      <w:r w:rsidRPr="00514E7B">
        <w:t>1</w:t>
      </w:r>
      <w:r>
        <w:t>)</w:t>
      </w:r>
      <w:r w:rsidRPr="00514E7B">
        <w:t>, поскольку просроченная задолженность не охватывает всего спектра финансовых проблем на предприятии.</w:t>
      </w:r>
    </w:p>
    <w:p w:rsidR="00BD5CA1" w:rsidRDefault="00BD5CA1" w:rsidP="00BD5CA1">
      <w:pPr>
        <w:spacing w:before="120"/>
        <w:ind w:firstLine="567"/>
        <w:jc w:val="both"/>
      </w:pPr>
      <w:r>
        <w:t>(</w:t>
      </w:r>
      <w:r w:rsidRPr="00514E7B">
        <w:t>1</w:t>
      </w:r>
      <w:r>
        <w:t>)</w:t>
      </w:r>
      <w:r w:rsidRPr="00514E7B">
        <w:t xml:space="preserve"> Статья 2 Федерального закона № 127-ФЗ «О несостоятельности (банкротстве)». 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Кризисное состояние на предприятии можно охарактеризовать как появление</w:t>
      </w:r>
      <w:r>
        <w:t xml:space="preserve"> </w:t>
      </w:r>
      <w:r w:rsidRPr="00514E7B">
        <w:t>и развитие негативных тенденций в функционировании предприятия, угрожающих его жизнеспособности. В связи с тем что кризис охватывает предприятие постепенно, принято выделять несколько его стадий [2].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На первой стадии предприятие функционирует в обычном режиме и является платежеспособным, однако при анализе финансового состояния выявляются негативные тенденции развития. Поэтому данную стадию классифицируют как «кризис тенденции финансовых результатов».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Основным квалифицирующим признаком второй стадии кризиса является недостаточная результативность текущей деятельности, поэтому данную стадию называют «кризисом финансовых результатов».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Главный классифицирующий признак третьей стадии кризиса - неплатежеспособность.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Справка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ЗАО «Кругозор» - московский завод игрушек - пример превышения инвестиционной стоимости над рыночной. По мнению специалистов, основным фактором инвестиционной привлекательности завода стала ею недвижимость (совокупность зданий и земельного участка на ул. Обручева).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 xml:space="preserve">В качестве наиболее эффективного использования недвижимости, приводящего к максимизации ее стоимости, рассматривается офисное здание класса В. По предварительным оценкам, реконструкция здания оценивается в 500 долл. за 1 кв. м, а потенциальная ставка аренды после реконструкции </w:t>
      </w:r>
      <w:r>
        <w:t xml:space="preserve">– </w:t>
      </w:r>
      <w:r w:rsidRPr="00514E7B">
        <w:t>400</w:t>
      </w:r>
      <w:r>
        <w:t>-</w:t>
      </w:r>
      <w:r w:rsidRPr="00514E7B">
        <w:t>450 долл. за кв. м в год. Сохранить профиль завода возможно, если производство будет размещено на 200-300 кв. м.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Учитывая, что профильное оборудование завода уже не является частью действующего бизнеса, для него характерно снижение ликвидности и стоимости. Доказательством превышения инвестиционной стоимости над рыночной является динамика акций ЗАО «Кругозор» — от 100 до 1500 долл./акцию (Рютина Т. «Росбилдинг» хочет поиграть // Ведомости. 2004. 21 мая. № 85).</w:t>
      </w:r>
    </w:p>
    <w:p w:rsidR="00BD5CA1" w:rsidRPr="002D3323" w:rsidRDefault="00BD5CA1" w:rsidP="00BD5CA1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Оценка кризисного предприятия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Кризисное состояние на предприятии является отклонением от «нормы», в связи с чем к кризисным предприятиям затруднено (а в некоторых случаях невозможно) применение стандартных методов и инструментов оценки.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При оценке рыночной стоимости кризисного предприятия следует ожидать следующих результатов по каждому из подходов: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1. Доходный подход. Вследствие низкой величины прибыли, дефицита собственного капитала и завышенной ставки дисконтирования рыночная стоимость примет отрицательное или низкое значение.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2. Сравнительный подход. Возможность расчета стоимости появляется только в том случае, если в распоряжении оценщика будет информация о купле/продаже предприятий (или пакетов акций предприятий), которые не только выпускают аналогичную продукцию, имеют аналогичные масштабы деятельности, но и находятся в сходном</w:t>
      </w:r>
      <w:r>
        <w:t xml:space="preserve"> </w:t>
      </w:r>
      <w:r w:rsidRPr="00514E7B">
        <w:t>финансовом состоянии. Подобную информацию найти крайне сложно.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3. Затратный подход. Вследствие большой доли задолженности в составе пассивов и наличия большого количества неликвидных активов величина стоимости примет отрицательное или низкое значение.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Скорее всего, наиболее адекватную величину рыночной стоимости покажет затратный подход. Однако он не учитывает такой важной характеристики предприятия, как перспективы функционирования.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Инвестиционная стоимость как специальный вид стоимости может быть рассчитана с учетом: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перспектив использования конкретных активов предприятия в производственно-технологическом процессе инвестора, в том числе нематериальных активов;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эффекта экономии затрат при отказе от услуг сторонних организаций и альтернативного использования услуг кризисного предприятия с оплатой ниже рыночных тарифов;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антикризисных мер, предполагающих дополнительные инвестиции, которые будет осуществлять не типичный покупатель, а конкретный или потенциальный инвестор (группа инвесторов). Учет инвестиций и положительной отдачи на вложения в будущем даст положительную величину стоимости компании в настоящем, что позволит предприятию привлечь реальных инвесторов для выхода из кризисной ситуации.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Инвестиционная стоимость как специальный вид стоимости имеет свою специфику, отличительные черты и методологию определения.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Разница между инвестиционной и ликвидационной стоимостью является критерием принятия обоснованных решений. Эту разницу можно представить в виде величины А, определяемой по формуле</w:t>
      </w:r>
    </w:p>
    <w:p w:rsidR="00BD5CA1" w:rsidRPr="00514E7B" w:rsidRDefault="00BD5CA1" w:rsidP="00BD5CA1">
      <w:pPr>
        <w:spacing w:before="120"/>
        <w:ind w:firstLine="567"/>
        <w:jc w:val="both"/>
      </w:pPr>
      <w:r>
        <w:t>∆</w:t>
      </w:r>
      <w:r w:rsidRPr="00514E7B">
        <w:t xml:space="preserve"> = С инв – С ча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где Синв - инвестиционная стоимость объекта оценки; Сча - ликвидационная стоимость объекта оценки.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 xml:space="preserve">Положительное значение величины </w:t>
      </w:r>
      <w:r>
        <w:t>∆</w:t>
      </w:r>
      <w:r w:rsidRPr="00514E7B">
        <w:t xml:space="preserve"> указывает </w:t>
      </w:r>
      <w:r>
        <w:t>н</w:t>
      </w:r>
      <w:r w:rsidRPr="00514E7B">
        <w:t>а то, что при реализации инвестиционного проекта достигается более значительный эффект, чем при ликвидации предприятия. В случае отрицательной разницы между величиной инвестиционной стоимости и стоимости, рассчитанной методом чистых активов, более приоритетна ликвидация кризисного предприятия.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Особенности кризисного предприятия как объекта оценки обусловливают необходимость модификации и корректировки методов, используемых для оценки инвестиционной стоимости бизнеса.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В связи с этим можно отметить следующие особенности формирования денежного потока для оценки инвестиционной стоимости кризисного предприятия: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1. Длительность прогнозного периода соответствует сроку реализации проекта или проведения реабилитационной процедуры.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2.</w:t>
      </w:r>
      <w:r>
        <w:t xml:space="preserve"> </w:t>
      </w:r>
      <w:r w:rsidRPr="00514E7B">
        <w:t>Предприятие, находящееся в состоянии финансового кризиса и ограниченное в привлечении внешних источников финансирования, таких как банковские кредиты и займы, старается поддерживать свою деятельность за счет внутренних источников. Так, например, для реализации инвестиционной программы предприятие может продать непрофильные или нефункционирующие активы (в том числе финансовые вложения и дебиторскую задолженность) с целью получения дополнительных денежных средств. Доходы и расходы от продаж учитываются в денежных потоках.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3.</w:t>
      </w:r>
      <w:r>
        <w:t xml:space="preserve"> </w:t>
      </w:r>
      <w:r w:rsidRPr="00514E7B">
        <w:t>В качестве базы стоимости выступает денежный поток на собственный капитал. В случае если на предприятии введена реабилитационная процедура банкротства, выплаты по долгу должны соответствовать утвержденному графику погашения задолженности.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4. Денежный поток включает расходы, связанные с проведением антикризисных мероприятий.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5.</w:t>
      </w:r>
      <w:r>
        <w:t xml:space="preserve"> </w:t>
      </w:r>
      <w:r w:rsidRPr="00514E7B">
        <w:t>При расчете ставки дисконтирования необходимо учитывать как индивидуальные предпочтения инвестора, так и риск ликвидации предприятия.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6.</w:t>
      </w:r>
      <w:r>
        <w:t xml:space="preserve"> </w:t>
      </w:r>
      <w:r w:rsidRPr="00514E7B">
        <w:t>При построении денежного потока</w:t>
      </w:r>
      <w:r>
        <w:t xml:space="preserve"> </w:t>
      </w:r>
      <w:r w:rsidRPr="00514E7B">
        <w:t>в части расчете налога на прибыль следует учитывать, что в соответствии со ст. 283 НК РФ налогоплательщики, понесшие в предыдущих периодах убыток, вправе уменьшить налоговую базу текущего налогового периода на сумму полученного ими убытка или на ее часть. Убыток может быть перенесен на будущие периоды в течение 10 лет, при этом совокупная сумма переносимого убытка не может</w:t>
      </w:r>
      <w:r>
        <w:t xml:space="preserve"> </w:t>
      </w:r>
      <w:r w:rsidRPr="00514E7B">
        <w:t>превышать 30% налоговой базы. В случае если убыток, полученный в период, предшествующий прогнозному, переносится на будущее, налог на прибыль должен рассчитываться следующим образом: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 если совокупный убыток прошлого года превышает 30% налоговой базы;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НП = (1 - 0,3)хНБхСНП;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 если совокупный убыток прошлого менее 30% налоговой базы и может быть списан полностью в текущем периоде: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НП = (1 - Суб)хНБхСнп,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где НП - налог на прибыль; НБ - налоговая база без учета списываемого убытка; Снп -ставка налога на прибыль; Cyб - сумма списываемого убытка прошлого года.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Для приведения прогнозируемых денежных потоков к текущей стоимости используется ставка дисконтирования. Особенности ее расчета для определения инвестиционной стоимости кризисных предприятий связаны с необходимостью</w:t>
      </w:r>
      <w:r>
        <w:t xml:space="preserve"> </w:t>
      </w:r>
      <w:r w:rsidRPr="00514E7B">
        <w:t>учета факторов, характеризующих риск инвестиций в предприятие.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Следовательно, при расчете надбавки учитываются и субъективные, и объективные факторы (табл. 1).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При расчете стоимости предприятия в постпрогнозный период необходимо учитывать как долгосрочные перспективы развития предприятия, так и цели инвесторов. В связи с этим можно выделить следующие особенности оценки остаточной стоимости: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1. Инвестиционный проект реализован и оказал положительное воздействие на стоимость предприятия, которое продолжит функционировать по истечении прогнозного периода. В этом случае для оценки текущей стоимости денежных потоков в постпрогнозном периоде используется модель Гордона.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2.</w:t>
      </w:r>
      <w:r>
        <w:t xml:space="preserve"> </w:t>
      </w:r>
      <w:r w:rsidRPr="00514E7B">
        <w:t>По инициативе инвесторов или собственников предприятие может быть продано в конце прогнозного периода. В этом случае прогнозируют цену продажи предприятия, например, на основании ценовых мультипликаторов.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3.</w:t>
      </w:r>
      <w:r>
        <w:t xml:space="preserve"> </w:t>
      </w:r>
      <w:r w:rsidRPr="00514E7B">
        <w:t>План финансового оздоровления имеет целью только расчеты с кредиторами и последующую ликвидацию предприятия. В этом случае стоимость предприятия в постпрогнозном периоде будет равна цене продажи активов за вычетом затрат на ликвидацию.</w:t>
      </w:r>
    </w:p>
    <w:p w:rsidR="00BD5CA1" w:rsidRPr="002D3323" w:rsidRDefault="00BD5CA1" w:rsidP="00BD5CA1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Метод реальных опционов в оценке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Метод дисконтированных денежных потоков не лишен недостатков. Возникает</w:t>
      </w:r>
      <w:r>
        <w:t xml:space="preserve"> </w:t>
      </w:r>
      <w:r w:rsidRPr="00514E7B">
        <w:t>необходимость использования иного, возможно, более совершенного инструмента оценки. К такому инструменту можно отнести метод реальных опционов, который позволяет избежать или скомпенсировать некоторые из недостатков, присущих методу дисконтированных денежных потоков.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Если предприятие имеет реальный опцион (возможность реализации инвестиционного проекта, принятия управленческого решения в зависимости от рыночных условий или объема полученной в будущем информации), то инвестиционная</w:t>
      </w:r>
      <w:r>
        <w:t xml:space="preserve"> </w:t>
      </w:r>
      <w:r w:rsidRPr="00514E7B">
        <w:t>стоимость любого предприятия увеличивается. Увеличение инвестиционной стоимости предприятия можно представить следующим образом: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 инв = С пр</w:t>
      </w:r>
      <w:r>
        <w:t xml:space="preserve"> </w:t>
      </w:r>
      <w:r w:rsidRPr="00514E7B">
        <w:t>+ С опц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где Синв - инвестиционная сюимость предприятия; Спр - стоимость предприятия без учета стоимости опциона; С опц — стоимость опциона.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Данная формула доказывает, что наличие реального опциона в виде воз-можности принятия управленческих и инвестиционных решений в будущем дает приращение к стоимости предприятия в размере стоимости реального опциона, которая рассчитывается следующим образом: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 опц = С х [N(d1)] - е^(-rt)К x [N(d2)],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 xml:space="preserve">где С - стоимость опциона; S - текущая стоимость денежных потоков от реализации инвестиционного проекта (в оригинальной модели -текущая стоимость базового актива); r- годовая безрисковая процентная ставка, соответствующая сроку жизни опциона; t - период, по истечении которого может начаться реализация инвестиционного проекта (срок «жизни» опциона); К - издержки, связанные с осуществлением первоначальных инвестиций в проект (цена исполнения опциона); е = 2,71828 - основание натурального логарифма, константа; N(dj) -вероятность того, что значение нормально распределенной переменной меньше или равно dj (I = 1,2)2; </w:t>
      </w:r>
      <w:r>
        <w:t>σ</w:t>
      </w:r>
      <w:r w:rsidRPr="00514E7B">
        <w:t>2 - дисперсия доходности базового актива (может быть определена по различным вариантам развития событий).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Для кризисного предприятия инвестиционная стоимость с учетом стоимости реального опциона может быть определена следующим образом: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С инв = С пр + (1 - В л)С опц,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где Синв - инвестиционная стоимость предприятия; Спр - стоимость предприятия без учета стоимости опциона3; Сопц - стоимость опциона; Вл - вероятность ликвидации.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Коэффициент (1-Вл) обозначает вероятность того, что предприятие к сроку, когда исполнение опциона станет возможным, не будет ликвидировано по причине неплатежеспособности или банкротства. Необходимость корректировки на данный коэффициент объясняется тем, что риск, учтенный в модели опционов Блэка-Шоулза, связан с возможными колебаниями стоимости базового актива,</w:t>
      </w:r>
      <w:r>
        <w:t xml:space="preserve"> </w:t>
      </w:r>
      <w:r w:rsidRPr="00514E7B">
        <w:t>однако сам факт существования базового актива на момент исполнения опциона не ставится под сомнение.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Многообразие инвестиционных возможностей позволяет в рамках определения инвестиционной стоимости рассматривать различные виды реальных опционов: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продолжение инвестиций;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отказ от проекта;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отсрочку (на выжидание);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изменение масштаба производства;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заключение контрактов в интересах проекта;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переключение/изменение продукции);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-</w:t>
      </w:r>
      <w:r>
        <w:t xml:space="preserve"> </w:t>
      </w:r>
      <w:r w:rsidRPr="00514E7B">
        <w:t>на другие управленческие решения.</w:t>
      </w:r>
    </w:p>
    <w:p w:rsidR="00BD5CA1" w:rsidRPr="002D3323" w:rsidRDefault="00BD5CA1" w:rsidP="00BD5CA1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Заключение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Для определения инвестиционной стоимости кризисного предприятия может быть использовано множество методов. Основным и базовым из них является метод дисконтированных денежных потоков, позволяющий получить величину стоимости предприятия на основе будущих доходов от реализации инвестиционного проекта, а также внешних и внутренних рисков, присущих данному бизнесу. Метод дисконтированных денежных потоков хорошо дополняется методом реальных опционов, который учитывает возможность и способность предприятия реагировать на изменение условий внешней среды.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Инвестиционную стоимость кризисного предприятия необходимо сравнить с величиной стоимости, полученной с помощью метода чистых активов.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Такое сравнение представляется целесообразным в связи с тем, что стоимость по методу чистых активов является нижним пределом стоимостной оценки предприятия; на данную величину ориентируются в случае ликвидации предприятия.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Если инвестиционная стоимость оказалась ниже величины, полученной по методу чистых активов, то инвестиционный проект характеризуется как нерентабельный, следовательно, инвесторам не следует вкладывать средства в данное предприятие. Если инвестиционная стоимость предприятия выше величины, полученной по методу чистых активов, то повышается инвестиционная привлекательность предприятия, стимулируя инвесторов к осуществлению вложений.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Каждый из методов определения инвестиционной стоимости имеет свои особенности и ограничения в применении для кризисного предприятия. Синтез методов оценки инвестиционной стоимости кризисных предприятий позволяет получить обоснованную величину стоимости и принимать грамотные инвестиционные решения.</w:t>
      </w:r>
    </w:p>
    <w:p w:rsidR="00BD5CA1" w:rsidRPr="002D3323" w:rsidRDefault="00BD5CA1" w:rsidP="00BD5CA1">
      <w:pPr>
        <w:spacing w:before="120"/>
        <w:jc w:val="center"/>
        <w:rPr>
          <w:b/>
          <w:bCs/>
          <w:sz w:val="28"/>
          <w:szCs w:val="28"/>
        </w:rPr>
      </w:pPr>
      <w:r w:rsidRPr="002D3323">
        <w:rPr>
          <w:b/>
          <w:bCs/>
          <w:sz w:val="28"/>
          <w:szCs w:val="28"/>
        </w:rPr>
        <w:t>Список литературы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1.</w:t>
      </w:r>
      <w:r>
        <w:t xml:space="preserve"> </w:t>
      </w:r>
      <w:r w:rsidRPr="00514E7B">
        <w:t>Международные стандарты оценки /Пер. с англ. М.: Типография «Новости», 2000.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2.</w:t>
      </w:r>
      <w:r>
        <w:t xml:space="preserve"> </w:t>
      </w:r>
      <w:r w:rsidRPr="00514E7B">
        <w:t>Антикризисное управление: Учебное пособие. Т. 2: Экономические основы. М.: ИНФРА-М, 2004. С. 456.</w:t>
      </w:r>
    </w:p>
    <w:p w:rsidR="00BD5CA1" w:rsidRPr="00514E7B" w:rsidRDefault="00BD5CA1" w:rsidP="00BD5CA1">
      <w:pPr>
        <w:spacing w:before="120"/>
        <w:ind w:firstLine="567"/>
        <w:jc w:val="both"/>
      </w:pPr>
      <w:r w:rsidRPr="00514E7B">
        <w:t>3.</w:t>
      </w:r>
      <w:r>
        <w:t xml:space="preserve"> </w:t>
      </w:r>
      <w:r w:rsidRPr="00514E7B">
        <w:t>Бузова И. Л. Коммерческая оценка инвестиций: Учебник. СПб.: Питер, 2003.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CA1"/>
    <w:rsid w:val="002D3323"/>
    <w:rsid w:val="002E0C21"/>
    <w:rsid w:val="003E5EBF"/>
    <w:rsid w:val="00514E7B"/>
    <w:rsid w:val="00616072"/>
    <w:rsid w:val="00807297"/>
    <w:rsid w:val="008B35EE"/>
    <w:rsid w:val="00B42C45"/>
    <w:rsid w:val="00B47B6A"/>
    <w:rsid w:val="00B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8B984A-7634-470F-A12F-665990E1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A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10645</Words>
  <Characters>6069</Characters>
  <Application>Microsoft Office Word</Application>
  <DocSecurity>0</DocSecurity>
  <Lines>50</Lines>
  <Paragraphs>33</Paragraphs>
  <ScaleCrop>false</ScaleCrop>
  <Company>Home</Company>
  <LinksUpToDate>false</LinksUpToDate>
  <CharactersWithSpaces>16681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инвестиционной стоимости кризисного предприятия</dc:title>
  <dc:subject/>
  <dc:creator>User</dc:creator>
  <cp:keywords/>
  <dc:description/>
  <cp:lastModifiedBy>admin</cp:lastModifiedBy>
  <cp:revision>2</cp:revision>
  <dcterms:created xsi:type="dcterms:W3CDTF">2014-01-25T08:59:00Z</dcterms:created>
  <dcterms:modified xsi:type="dcterms:W3CDTF">2014-01-25T08:59:00Z</dcterms:modified>
</cp:coreProperties>
</file>