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30" w:rsidRDefault="00827A3E">
      <w:pPr>
        <w:pStyle w:val="1"/>
        <w:jc w:val="center"/>
      </w:pPr>
      <w:r>
        <w:t>Эколого-географические закономерности сезонного развития декоративных видов природной флоры в лесостепной зоне Западной Сибири</w:t>
      </w:r>
    </w:p>
    <w:p w:rsidR="00BF5B30" w:rsidRPr="00827A3E" w:rsidRDefault="00827A3E">
      <w:pPr>
        <w:pStyle w:val="a3"/>
      </w:pPr>
      <w:r>
        <w:t> </w:t>
      </w:r>
    </w:p>
    <w:p w:rsidR="00BF5B30" w:rsidRDefault="00827A3E">
      <w:pPr>
        <w:pStyle w:val="a3"/>
      </w:pPr>
      <w:r>
        <w:t>Т.И. Фомина</w:t>
      </w:r>
    </w:p>
    <w:p w:rsidR="00BF5B30" w:rsidRDefault="00827A3E">
      <w:pPr>
        <w:pStyle w:val="a3"/>
      </w:pPr>
      <w:r>
        <w:t>Выявлен ритмологический спектр 149 видов, перспективных при интродукции в лесостепной зоне Западной Сибири. Состав биоморфологических групп по сезонным ритмам развития (срокам весеннего отрастания и начала цветения, продолжительности вегетации) проанализирован в связи с географическим и поясно-зональным распространением видов. Большинство их являются весенне-летнезелеными видами с ранним отрастанием, раннелетним или летним сроками начала цветения.</w:t>
      </w:r>
    </w:p>
    <w:p w:rsidR="00BF5B30" w:rsidRDefault="00827A3E">
      <w:pPr>
        <w:pStyle w:val="a3"/>
      </w:pPr>
      <w:r>
        <w:t>Создание и поддержание коллекций видов природной флоры в ботанических садах - один из приемов сохранения генетических ресурсов и рационального использования полезных растений [1-3]. Интродукция дикорастущих декоративных видов направлена, прежде всего, на обогащение ассортимента растений для оптимизации экологических и эстетических параметров урбанизированной среды. Изучение многих объектов природной флоры с последующей комплексной их оценкой позволяет проводить отбор видов и форм, наиболее перспективных для культивирования.</w:t>
      </w:r>
    </w:p>
    <w:p w:rsidR="00BF5B30" w:rsidRDefault="00827A3E">
      <w:pPr>
        <w:pStyle w:val="a3"/>
      </w:pPr>
      <w:r>
        <w:t>В Центральном сибирском ботаническом саду (г. Новосибирск) коллекция декоративных видов природной флоры была сформирована в середине 1990-х гг. Мобилизация видов флоры Сибири осуществлялась путем сборов растений и семян в природных популяциях, а видов инорайонных флор - делектусными семенами. Основной целью исследования было выявление особенностей сезонного развития видов при адаптации к условиям лесостепи Западной Сибири и в связи с их экологогеографическим распространением.</w:t>
      </w:r>
    </w:p>
    <w:p w:rsidR="00BF5B30" w:rsidRDefault="00827A3E">
      <w:pPr>
        <w:pStyle w:val="a3"/>
      </w:pPr>
      <w:r>
        <w:t>Климат района континентальный, умереннохолодный с недостаточным увлажнением [4]. Средняя температура зимних месяцев равна -15°, летних 16-19°. Сумма температур воздуха выше 10°C, обеспечивающих активную вегетацию растений, составляет в среднем 1920°. Безморозный период короткий или средней продолжительности, от 92 до 144 дней. Вегетационный период (со среднесуточными температурами воздуха выше 5°) продолжается 158 дней. Среднемноголетнее количество осадков равно 442 мм, в том числе за период с апреля по октябрь выпадает 338 мм [5].</w:t>
      </w:r>
    </w:p>
    <w:p w:rsidR="00BF5B30" w:rsidRDefault="00827A3E">
      <w:pPr>
        <w:pStyle w:val="a3"/>
      </w:pPr>
      <w:r>
        <w:t>В настоящей работе приводятся результаты изучения 149 перспективных в культуре видов, относящихся к 37 семействам и 88 родам покрытосеменных растений: 5 из них полукустарники и полукустарнички (Iberis sem- pervirens, Satureja montana, Hyssopus officinalis, Thymus serpyllum, Vinca minor), остальные - травянистые поли- карпики. Подавляющее большинство видов распространены в умеренном поясе Северного полушария, лишь 3 вида субтропического происхождения. При распределении видов по географическим и поясно-зональным группам использовали флористические и геоботаниче- ские источники [6-8]. Фенологические наблюдения проведены по методике И.Н. Бейдеман [9], феноритмотипы выделены в соответствии с работами И.В. Борисовой и Р. А. Карписоновой [11].</w:t>
      </w:r>
    </w:p>
    <w:p w:rsidR="00BF5B30" w:rsidRDefault="00827A3E">
      <w:pPr>
        <w:pStyle w:val="a3"/>
      </w:pPr>
      <w:r>
        <w:t>По географическому распространению виды составляют 9 групп (рис. 1). Наиболее многочисленная азиатская группа объединяет общеазиатские, центрально-азиатские, восточно-азиатские, североазиатские и южносибирско-монгольскиевиды.Попоясно зональному распределению виды отнесены к 4 комплексам и 11 группам (рис. 2). В равной степени доминируют степной и лесной комплексы, а среди групп - бореальная и лесостепная.</w:t>
      </w:r>
    </w:p>
    <w:p w:rsidR="00BF5B30" w:rsidRDefault="00827A3E">
      <w:pPr>
        <w:pStyle w:val="a3"/>
      </w:pPr>
      <w:r>
        <w:t>В сезонной ритмике развития наиболее значимыми для оценки поведения видов и их декоративных качеств имеют сроки весеннего отрастания, сроки начала цветения и длительность вегетации. По этим признакам определены ритмологические группы видов.</w:t>
      </w:r>
    </w:p>
    <w:p w:rsidR="00BF5B30" w:rsidRDefault="00827A3E">
      <w:pPr>
        <w:pStyle w:val="a3"/>
      </w:pPr>
      <w:r>
        <w:t>В зависимости от среднемноголетних дат весеннего отрастания выделены ранние, средние и поздние виды. У ранних видов отрастание проходит вскоре после схода снега и оттаивания верхнего горизонта почвы, как правило, в третьей декаде апреля. Поздние виды начинают вегетацию во второй или третьей декадах мая при прогревании верхнего горизонта почвы. Даты начала вегетации сильно варьируют по годам в зависимости от среднесуточных температур воздуха, достигая у ранних и средних видов 33 дней. Отрастание поздних видов в меньшей степени зависит от погодных условий и проходит с максимальным сдвигом 22 дня.</w:t>
      </w:r>
    </w:p>
    <w:p w:rsidR="00BF5B30" w:rsidRDefault="00827A3E">
      <w:pPr>
        <w:pStyle w:val="a3"/>
      </w:pPr>
      <w:r>
        <w:t>По датам начала цветения виды распределены по 5 группам: ранневесенние (27.04-15.05), поздневесенние (16.05-5.06), раннелетние (6.06-25.06), летние (26.0615.07) и позднелетние (16.07-15.08). У весенних видов смещение дат начала цветения достигает 28-35 дней, у видов летних групп бывает более значительным. В то же время ритм цветения некоторых видов очень устойчивый, с варьированием даты начала цветения не более 3-5 дней (Eryngium planum, Veronica spicata, Euphorbia cyparissias, Geum coccineum, Viola cucullata и др.).</w:t>
      </w:r>
    </w:p>
    <w:p w:rsidR="00BF5B30" w:rsidRDefault="00827A3E">
      <w:pPr>
        <w:pStyle w:val="a3"/>
      </w:pPr>
      <w:r>
        <w:t>По длительности периода вегетации виды представляют 2 ритмологические группы и 5 феноритмотипов: коротковегетирующие - эфемероиды, гемиэфемероиды и длительновегетирующие - весенне-летнезеленые, весенне-летне-осеннезеленые, весенне-летне-зимнезе- леные (табл. 1).</w:t>
      </w:r>
    </w:p>
    <w:p w:rsidR="00BF5B30" w:rsidRDefault="00827A3E">
      <w:pPr>
        <w:pStyle w:val="a3"/>
      </w:pPr>
      <w:r>
        <w:t>Коротковегетирующая группа в коллекции представлена 6 видами. Им свойственно раннее отрастание и весенние сроки цветения. Сезонный цикл эфемероидов (Erythronium sibiricum, Corydalis bracteata, Anemonoides altaica) длится 34-45 дней. Эти растения отрастают и зацветают в третьей декаде апреля, вегетацию заканчивают в первой декаде июня. У гемиэфемероидов вегетация завершается во второй половине ию- ля-начале августа, составляя от 83 дня у Allium aflatun- ense до 100-101 дня у Allium microdictyon и Adonis ver- nalis.</w:t>
      </w:r>
    </w:p>
    <w:p w:rsidR="00BF5B30" w:rsidRDefault="004D6A0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2.25pt;height:231.75pt">
            <v:imagedata r:id="rId4" o:title=""/>
          </v:shape>
        </w:pict>
      </w:r>
    </w:p>
    <w:p w:rsidR="00BF5B30" w:rsidRDefault="00827A3E">
      <w:pPr>
        <w:pStyle w:val="a3"/>
      </w:pPr>
      <w:r>
        <w:t>Рис. 1. Географические группы видов, %</w:t>
      </w:r>
    </w:p>
    <w:p w:rsidR="00BF5B30" w:rsidRDefault="004D6A07">
      <w:pPr>
        <w:pStyle w:val="a3"/>
      </w:pPr>
      <w:r>
        <w:rPr>
          <w:noProof/>
        </w:rPr>
        <w:pict>
          <v:shape id="_x0000_i1031" type="#_x0000_t75" style="width:273.75pt;height:208.5pt">
            <v:imagedata r:id="rId5" o:title=""/>
          </v:shape>
        </w:pict>
      </w:r>
    </w:p>
    <w:p w:rsidR="00BF5B30" w:rsidRDefault="00827A3E">
      <w:pPr>
        <w:pStyle w:val="a3"/>
      </w:pPr>
      <w:r>
        <w:t>Рис. 2. Поясно-зональные комплексы и группы, %:</w:t>
      </w:r>
    </w:p>
    <w:p w:rsidR="00BF5B30" w:rsidRDefault="00827A3E">
      <w:pPr>
        <w:pStyle w:val="a3"/>
      </w:pPr>
      <w:r>
        <w:t>1 - неморальная; 2 - бореально-монтанная; 3 - бореальная; 4 - степная; 5 - горно-степная; 6 - лесо-степная; 7 - высокогорная; 8 - монтанная; 9 - скально-россыпная; 10 - луговая; 11 - лугово-болотная</w:t>
      </w:r>
    </w:p>
    <w:p w:rsidR="00BF5B30" w:rsidRDefault="00827A3E">
      <w:pPr>
        <w:pStyle w:val="a3"/>
      </w:pPr>
      <w:r>
        <w:t>Таблица 1</w:t>
      </w:r>
    </w:p>
    <w:p w:rsidR="00BF5B30" w:rsidRDefault="00827A3E">
      <w:pPr>
        <w:pStyle w:val="a3"/>
      </w:pPr>
      <w:r>
        <w:t>Группы видов по сезонной ритмике развития</w:t>
      </w:r>
    </w:p>
    <w:p w:rsidR="00BF5B30" w:rsidRDefault="00827A3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80"/>
        <w:gridCol w:w="80"/>
        <w:gridCol w:w="80"/>
        <w:gridCol w:w="80"/>
        <w:gridCol w:w="80"/>
        <w:gridCol w:w="80"/>
        <w:gridCol w:w="480"/>
      </w:tblGrid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Фенофаза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Группа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BF5B30" w:rsidRDefault="00827A3E">
            <w:r>
              <w:t>Число видов по феноритмотипам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%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Э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ГЭ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ВЛОЗ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всего</w:t>
            </w:r>
          </w:p>
        </w:tc>
        <w:tc>
          <w:tcPr>
            <w:tcW w:w="0" w:type="auto"/>
            <w:vMerge/>
            <w:vAlign w:val="center"/>
            <w:hideMark/>
          </w:tcPr>
          <w:p w:rsidR="00BF5B30" w:rsidRDefault="00BF5B30"/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Pr="00827A3E" w:rsidRDefault="00827A3E">
            <w:pPr>
              <w:pStyle w:val="a3"/>
            </w:pPr>
            <w:r w:rsidRPr="00827A3E">
              <w:t>Весеннее</w:t>
            </w:r>
          </w:p>
          <w:p w:rsidR="00BF5B30" w:rsidRPr="00827A3E" w:rsidRDefault="00827A3E">
            <w:pPr>
              <w:pStyle w:val="a3"/>
            </w:pPr>
            <w:r w:rsidRPr="00827A3E">
              <w:t>отрастание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ранняя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55,7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37,6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поздняя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6,7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Pr="00827A3E" w:rsidRDefault="00827A3E">
            <w:pPr>
              <w:pStyle w:val="a3"/>
            </w:pPr>
            <w:r w:rsidRPr="00827A3E">
              <w:t>Начало</w:t>
            </w:r>
          </w:p>
          <w:p w:rsidR="00BF5B30" w:rsidRPr="00827A3E" w:rsidRDefault="00827A3E">
            <w:pPr>
              <w:pStyle w:val="a3"/>
            </w:pPr>
            <w:r w:rsidRPr="00827A3E">
              <w:t>цветения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ранневесенняя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7,4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поздневесенняя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15,4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раннелетняя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33,6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летняя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33,6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позднелетняя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10,0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 </w:t>
            </w:r>
          </w:p>
        </w:tc>
      </w:tr>
      <w:tr w:rsidR="00BF5B30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Pr="00827A3E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47,0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27,5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21,5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 </w:t>
            </w:r>
          </w:p>
        </w:tc>
      </w:tr>
    </w:tbl>
    <w:p w:rsidR="00BF5B30" w:rsidRPr="00827A3E" w:rsidRDefault="00827A3E">
      <w:pPr>
        <w:pStyle w:val="a3"/>
      </w:pPr>
      <w:r>
        <w:t> </w:t>
      </w:r>
    </w:p>
    <w:p w:rsidR="00BF5B30" w:rsidRDefault="00827A3E">
      <w:pPr>
        <w:pStyle w:val="a3"/>
      </w:pPr>
      <w:r>
        <w:t>В самой многочисленной группе весенне-летне- зеленых видов отмечается наибольший разброс по срокам отрастания и продолжительности вегетации. Отрастание проходит преимущественно в ранние и средние сроки. В то же время все поздние виды принадлежат к весенне-летнезеленым. Цветение наступает в период с середины мая до середины июля в широком диапазоне сумм эффективных температур. Продолжительность вегетации составляет 100-160 дней.</w:t>
      </w:r>
    </w:p>
    <w:p w:rsidR="00BF5B30" w:rsidRDefault="00827A3E">
      <w:pPr>
        <w:pStyle w:val="a3"/>
      </w:pPr>
      <w:r>
        <w:t>Весенне-летне-осеннезеленые виды вегетируют с весны до появления снежного покрова и установления отрицательных температур воздуха (в условиях Новосибирска - третья декада октября). Длительная вегетация, в течение 161-178 дней, обусловлена у большинства видов развитием осенней генерации розеточных побегов. Однако их весеннее отрастание в среднем запаздывает по сравнению с летнезелеными видами. Осенние побеги в зимний период под снегом отмирают, следовательно, их развитие биологически нецелесообразно с точки зрения современных условий существования видов, что уже отмечалось ранее [12]. С излишним расходом пластических веществ, вероятно, и связано более позднее развертывание почек возобновления весной. Начало цветения сдвинуто на раннелетний и летний период - всего 7,3% весенних видов, тогда как в группе летнезеленых их 18,6%.</w:t>
      </w:r>
    </w:p>
    <w:p w:rsidR="00BF5B30" w:rsidRDefault="00827A3E">
      <w:pPr>
        <w:pStyle w:val="a3"/>
      </w:pPr>
      <w:r>
        <w:t>Весенне-летне-зимнезеленые виды сохраняют зеленые побеги круглогодично, поэтому весной их вегетация возобновляется вскоре после схода снега. К ним относятся хамефиты: полукустарники и полукустарнички, наземноползучие травы (Lysimachia nummularia, Antennaria dioica, виды Sedum L. и др.), Veronica incana, Dianthus arenarius, Linum perenne и др. Биологическое значение зимнезелености состоит в максимально раннем переходе к фотосинтезу, позволяющем растениям осуществлять наибольшую в данных условиях среды продуктивность. Как и осеннезеленость, этот признак сезонной ритмики связан с экологоисторическими обстоятельствами формирования видов в условиях с более мягкой зимой [12, 13]. Зимнезеленые виды цветут весной или рано летом. Среди них мало летних видов, доминирующих в других длитель- новегетирующих группах, - всего 15,6% и отсутствуют поздноцветущие виды.</w:t>
      </w:r>
    </w:p>
    <w:p w:rsidR="00BF5B30" w:rsidRDefault="00827A3E">
      <w:pPr>
        <w:pStyle w:val="a3"/>
      </w:pPr>
      <w:r>
        <w:t>Длительность вегетации растений в культуре обусловлена, в первую очередь, эволюционно сформированным феноритмом. В группе летнезеленых 63,1% видов заканчивают вегетацию до наступления осенних заморозков, во второй половине августа - первой половине сентября, т. е. независимо от погодных условий вегетационного периода. В основном это азиатские виды, включая все южносибирско-монгольские, подавляющее большинство общеазиатских и североазиатских. У остальных летнезеленых видов вегетация прекращается вынужденно, с наступлением осенних заморозков. Из 7 летнезеленых североамериканских видов 6 заканчивают вегетацию вынужденно, что обусловлено значительно большей продолжительностью вегетационного периода в приатлантической части Северной Америки.</w:t>
      </w:r>
    </w:p>
    <w:p w:rsidR="00BF5B30" w:rsidRDefault="00827A3E">
      <w:pPr>
        <w:pStyle w:val="a3"/>
      </w:pPr>
      <w:r>
        <w:t>Анализ ритмологического состава географических групп выявил следующие закономерности (табл. 2). В евразиатской группе доминируют весенне-летнезеленые виды с ранним отрастанием, раннелетними и летними сроками цветения. В европейской и евросибирской группах распределение видов по феноритмотипам с длительной вегетацией довольно равномерное. С усилением континентальности климата, при переходе от европейской группы к евросибирской и евразиатской, снижается процент видов, зимующих с зелеными листьями, и прослеживается тенденция к более раннему отрастанию. По срокам цветения среди европейских видов преобладают раннелетние, тогда как в евросибирской группе с ними успешно конкурируют виды с весенним началом цветения. Участие обеих групп в летнем цветении заметно ниже, чем евразиатских видов.</w:t>
      </w:r>
    </w:p>
    <w:p w:rsidR="00BF5B30" w:rsidRDefault="00827A3E">
      <w:pPr>
        <w:pStyle w:val="a3"/>
      </w:pPr>
      <w:r>
        <w:t>В азиатской группе, приуроченной по большей части к областям с резко континентальным климатом, резко снижается процент зимнезеленых и осеннезеленых видов. Распределение по срокам отрастания близко к евросибирской группе с доминированием ранних видов. Сроки начала цветения различны: южносибирско- монгольские виды зацветают преимущественно весной, североазиатские в июне, а восточно-азиатские цветут в основном в более поздние сроки. В североамериканской группе распределение феноритмотипов приближается к евразиатскому. Однако по другим ритмологическим признакам североамериканские виды резко выделяются на фоне групп евразиатского происхождения. Влияние более продолжительного вегетационного периода на родине этих видов при интродукции в Новосибирске проявляется в сильном смещении начала вегетации и начала цветения на поздние сроки.</w:t>
      </w:r>
    </w:p>
    <w:p w:rsidR="00BF5B30" w:rsidRDefault="00827A3E">
      <w:pPr>
        <w:pStyle w:val="a3"/>
      </w:pPr>
      <w:r>
        <w:t>Изученные голарктические виды характеризуются длительной вегетацией (57,1% из них летнезеленые) и ранним отрастанием (71,4%). Подавляющее их большинство цветет рано летом. Кавказско-малоазиатские и средиземноморские виды сохраняют зеленые листья круглогодично или до установления снежного покрова, отрастают довольно рано. Цвести начинают в период с середины мая до середины июля, при этом 55,6% видов летние. Коротковегетирующие виды относятся к азиатской и евросибирской группам. Ввиду малочисленности они не оказывают заметного влияния на ритмологический спектр своих географических групп.</w:t>
      </w:r>
    </w:p>
    <w:p w:rsidR="00BF5B30" w:rsidRDefault="00827A3E">
      <w:pPr>
        <w:pStyle w:val="a3"/>
      </w:pPr>
      <w:r>
        <w:t>Определенные закономерности проявляются в сезонной ритмике поясно-зональных комплексов и групп (табл. 3). Весенне-летнезеленые виды доминируют во всех комплексах, кроме горного, что соответствует общему распределению феноритмотипов в коллекции. В горных условиях наиболее распространены виды с розеточной биоморфой, обеспечивающей более длительную и более раннюю вегетацию, отсюда преобладание зимне- и осеннезеленых видов.</w:t>
      </w:r>
    </w:p>
    <w:p w:rsidR="00BF5B30" w:rsidRDefault="00827A3E">
      <w:pPr>
        <w:pStyle w:val="a3"/>
      </w:pPr>
      <w:r>
        <w:t>Более мягкие условия перезимовки травянистых растений в широколиственных лесах по сравнению с таежными повышают количество видов, длительно сохраняющих зеленые листья. Неморальные виды в среднем позже начинают вегетацию, а зацветают довольно равномерно в течение всего сезона. Бореально- монтанная группа отличается меньшим процентом зимнезелености, более равномерным отрастанием весной и более ранним цветением, чем равнинные виды. Для лесных видов позднее отрастание не характерно.</w:t>
      </w:r>
    </w:p>
    <w:p w:rsidR="00BF5B30" w:rsidRDefault="00827A3E">
      <w:pPr>
        <w:pStyle w:val="a3"/>
      </w:pPr>
      <w:r>
        <w:t>Ритмологический спектр основных географических групп, % видов</w:t>
      </w:r>
    </w:p>
    <w:p w:rsidR="00BF5B30" w:rsidRDefault="00827A3E">
      <w:pPr>
        <w:pStyle w:val="a3"/>
      </w:pPr>
      <w:r>
        <w:t>Т а б л и ц а 2</w:t>
      </w:r>
    </w:p>
    <w:p w:rsidR="00BF5B30" w:rsidRDefault="00827A3E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BF5B30">
        <w:trPr>
          <w:trHeight w:val="39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F5B30" w:rsidRDefault="00827A3E">
            <w:r>
              <w:t>Ритмологические группы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Евразиатская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Европейская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Евросибирская</w:t>
            </w:r>
          </w:p>
        </w:tc>
        <w:tc>
          <w:tcPr>
            <w:tcW w:w="0" w:type="auto"/>
            <w:vAlign w:val="center"/>
            <w:hideMark/>
          </w:tcPr>
          <w:p w:rsidR="00BF5B30" w:rsidRPr="00827A3E" w:rsidRDefault="00827A3E">
            <w:pPr>
              <w:pStyle w:val="a3"/>
            </w:pPr>
            <w:r w:rsidRPr="00827A3E">
              <w:t>Северо</w:t>
            </w:r>
          </w:p>
          <w:p w:rsidR="00BF5B30" w:rsidRPr="00827A3E" w:rsidRDefault="00827A3E">
            <w:pPr>
              <w:pStyle w:val="a3"/>
            </w:pPr>
            <w:r w:rsidRPr="00827A3E">
              <w:t>американская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Азиатская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По длительности вегетации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19,4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36,8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28,0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20,0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7,3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ВЛОЗ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25,8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36,8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33,3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12,2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70,7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Э+ГЭ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9,8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По срокам весеннего отрастания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61,3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52,6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60,0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61,0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Ср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36,0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53,3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34,1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20,0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4,9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По срокам начала цветения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РВ+ПВ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21,0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36,0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13,3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29,3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35,4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47,4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24,4</w:t>
            </w:r>
          </w:p>
        </w:tc>
      </w:tr>
      <w:tr w:rsidR="00BF5B30">
        <w:trPr>
          <w:trHeight w:val="19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41,9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24,0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33,3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34,1</w:t>
            </w:r>
          </w:p>
        </w:tc>
      </w:tr>
      <w:tr w:rsidR="00BF5B30">
        <w:trPr>
          <w:trHeight w:val="21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12,2</w:t>
            </w:r>
          </w:p>
        </w:tc>
      </w:tr>
    </w:tbl>
    <w:p w:rsidR="00BF5B30" w:rsidRDefault="00827A3E">
      <w:r>
        <w:t> </w:t>
      </w:r>
    </w:p>
    <w:p w:rsidR="00BF5B30" w:rsidRPr="00827A3E" w:rsidRDefault="00827A3E">
      <w:pPr>
        <w:pStyle w:val="a3"/>
      </w:pPr>
      <w:r>
        <w:t>Т а б л и ц а 3</w:t>
      </w:r>
    </w:p>
    <w:p w:rsidR="00BF5B30" w:rsidRDefault="00827A3E">
      <w:pPr>
        <w:pStyle w:val="a3"/>
      </w:pPr>
      <w:r>
        <w:t>Ритмологический спектр поясно-зональных комплексов и групп, % видов</w:t>
      </w:r>
    </w:p>
    <w:p w:rsidR="00BF5B30" w:rsidRDefault="00827A3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F5B30">
        <w:trPr>
          <w:trHeight w:val="195"/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BF5B30" w:rsidRDefault="00827A3E">
            <w:r>
              <w:t>Ритмологические группы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F5B30" w:rsidRDefault="00827A3E">
            <w:r>
              <w:t>Лесной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F5B30" w:rsidRDefault="00827A3E">
            <w:r>
              <w:t>Степной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F5B30" w:rsidRDefault="00827A3E">
            <w:r>
              <w:t>Горный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F5B30" w:rsidRDefault="00827A3E">
            <w:r>
              <w:t>Азональный</w:t>
            </w:r>
          </w:p>
        </w:tc>
      </w:tr>
      <w:tr w:rsidR="00BF5B30">
        <w:trPr>
          <w:trHeight w:val="375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БМ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Н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ЛС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С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МС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СР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ЛБ</w:t>
            </w:r>
          </w:p>
        </w:tc>
        <w:tc>
          <w:tcPr>
            <w:tcW w:w="0" w:type="auto"/>
            <w:vAlign w:val="center"/>
            <w:hideMark/>
          </w:tcPr>
          <w:p w:rsidR="00BF5B30" w:rsidRPr="00827A3E" w:rsidRDefault="00827A3E">
            <w:pPr>
              <w:pStyle w:val="a3"/>
            </w:pPr>
            <w:r w:rsidRPr="00827A3E">
              <w:t>Все</w:t>
            </w:r>
          </w:p>
          <w:p w:rsidR="00BF5B30" w:rsidRPr="00827A3E" w:rsidRDefault="00827A3E">
            <w:pPr>
              <w:pStyle w:val="a3"/>
            </w:pPr>
            <w:r w:rsidRPr="00827A3E">
              <w:t>го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20,8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32,2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45,2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ВЛОЗ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29,8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18,8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26,1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ВЛЗ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27,7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51,0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25,0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69,6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Э+ГЭ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gridSpan w:val="16"/>
            <w:vAlign w:val="center"/>
            <w:hideMark/>
          </w:tcPr>
          <w:p w:rsidR="00BF5B30" w:rsidRDefault="00827A3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 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57,5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27,1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50,0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22,6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19,4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35,4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77,4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34,8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С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40,4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39,6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22,6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13,0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47,8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13,1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17,4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gridSpan w:val="16"/>
            <w:vAlign w:val="center"/>
            <w:hideMark/>
          </w:tcPr>
          <w:p w:rsidR="00BF5B30" w:rsidRDefault="00827A3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 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F5B30" w:rsidRDefault="00827A3E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РВ+ПВ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29,8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9,7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29,0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13,0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РЛ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31,9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16,7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31,2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19,4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8,7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34,8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17,0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29,8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12,5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10,4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37,5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3,2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22,6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25,8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26,1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17,4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43,5</w:t>
            </w:r>
          </w:p>
        </w:tc>
      </w:tr>
      <w:tr w:rsidR="00BF5B30">
        <w:trPr>
          <w:trHeight w:val="1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F5B30" w:rsidRDefault="00BF5B30"/>
        </w:tc>
        <w:tc>
          <w:tcPr>
            <w:tcW w:w="0" w:type="auto"/>
            <w:vAlign w:val="center"/>
            <w:hideMark/>
          </w:tcPr>
          <w:p w:rsidR="00BF5B30" w:rsidRDefault="00827A3E">
            <w:r>
              <w:t>ПЛ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2,1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4,2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6,5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4,4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4,3</w:t>
            </w:r>
          </w:p>
        </w:tc>
        <w:tc>
          <w:tcPr>
            <w:tcW w:w="0" w:type="auto"/>
            <w:vAlign w:val="center"/>
            <w:hideMark/>
          </w:tcPr>
          <w:p w:rsidR="00BF5B30" w:rsidRDefault="00827A3E">
            <w:r>
              <w:t>8,7</w:t>
            </w:r>
          </w:p>
        </w:tc>
      </w:tr>
    </w:tbl>
    <w:p w:rsidR="00BF5B30" w:rsidRPr="00827A3E" w:rsidRDefault="00827A3E">
      <w:pPr>
        <w:pStyle w:val="a3"/>
      </w:pPr>
      <w:r>
        <w:t>Примечание. Группы по: 1 - длительности вегетации, 2 - срокам весеннего отрастания, 3 - срокам начала цветения.</w:t>
      </w:r>
    </w:p>
    <w:p w:rsidR="00BF5B30" w:rsidRDefault="00827A3E">
      <w:pPr>
        <w:pStyle w:val="a3"/>
      </w:pPr>
      <w:r>
        <w:t>В лиственных лесах развитие побегов у травянистых растений приурочено к благоприятному по условиям освещения периоду - до развертывания листьев на деревьях и подлеске [11]. В зоне тайги раннее отрастание, кроме того, обусловлено меньшей продолжительностью вегетационного периода.</w:t>
      </w:r>
    </w:p>
    <w:p w:rsidR="00BF5B30" w:rsidRDefault="00827A3E">
      <w:pPr>
        <w:pStyle w:val="a3"/>
      </w:pPr>
      <w:r>
        <w:t>Степной комплекс по распределению феноритмо- типов не отличается существенно от лесных групп, но по срокам начала вегетации выделяется появлением поздних видов. Цветение приурочено в основном к раннелетнему и летнему периодам, как и у лесных видов. При этом ниже процент весенних и, наоборот, выше процент поздноцветущих видов. Лесостепные и монтанно-степные виды по ритмологическим признакам довольно близки. Степные виды отличаются сравнительно большей долей летнезеленых, причем 2/3 их отрастают в средние сроки, что позднее большинства видов предыдущих групп. В сезонном спектре цветения степных видов явно доминируют летние.</w:t>
      </w:r>
    </w:p>
    <w:p w:rsidR="00BF5B30" w:rsidRDefault="00827A3E">
      <w:pPr>
        <w:pStyle w:val="a3"/>
      </w:pPr>
      <w:r>
        <w:t>Для горного комплекса летнезеленые виды не характерны, а максимальный процент зимнезелености отмечается в скально-россыпной группе. Вегетация наиболее ранняя относительно остальных поясно-зональных комплексов. Основная часть видов цветет в раннелетний период, но сравнительно велика доля весенних видов - 29,0%. Летний спектр цветения образуют скальнороссыпные виды. Азональный комплекс характеризуется преобладанием летнезеленого феноритмотипа. Среди луговых и лугово-болотных видов зимнезеленые почти не встречаются. Приуроченность к пониженным местам, часто в сочетании с избыточным увлажнением, более длительное прогревание почвы весной обусловливают довольно позднее отрастание видов этих групп. Сроки их цветения также сдвинуты в направлении летних.</w:t>
      </w:r>
    </w:p>
    <w:p w:rsidR="00BF5B30" w:rsidRDefault="00827A3E">
      <w:pPr>
        <w:pStyle w:val="a3"/>
      </w:pPr>
      <w:r>
        <w:t>На основании вышесказанного можно сделать следующие выводы.</w:t>
      </w:r>
    </w:p>
    <w:p w:rsidR="00BF5B30" w:rsidRDefault="00827A3E">
      <w:pPr>
        <w:pStyle w:val="a3"/>
      </w:pPr>
      <w:r>
        <w:t>Исследована сезонная ритмика 149 видов природной флоры, перспективных для культуры в лесостепной зоне Западной Сибири в качестве декоративных многолетних растений. При интродукции выделены ритмологические группы: 1) по срокам весеннего отрастания - ранняя, средняя, поздняя; 2) по срокам начала цветения - ранневесенняя, поздневесенняя, раннелетняя, летняя и позднелетняя; 3) по длительности вегетации - короткове- гетирующая с феноритмотипами эфемероиды и гемиэфемероиды, длительновегетирующая с феноритмотипами весенне-летнезеленые, весенне-летне-осеннезеленые и весенне-летне-зимнезеленые виды.</w:t>
      </w:r>
    </w:p>
    <w:p w:rsidR="00BF5B30" w:rsidRDefault="00827A3E">
      <w:pPr>
        <w:pStyle w:val="a3"/>
      </w:pPr>
      <w:r>
        <w:t>Ритмологические признаки проанализированы в связи с географическим и поясно-зональным распространением видов. По географическому распространению виды отнесены к 9 группам, по поясно-зональному распределению - к 4 комплексам и 11 группам.</w:t>
      </w:r>
    </w:p>
    <w:p w:rsidR="00BF5B30" w:rsidRDefault="00827A3E">
      <w:pPr>
        <w:pStyle w:val="a3"/>
      </w:pPr>
      <w:r>
        <w:t>В лесостепной зоне Западной Сибири среди декоративных многолетних растений природной флоры доминируют весенне-летнезеленые виды с ранним отрастанием. Основную роль в сезонном спектре цветения играют раннелетние и летние виды.</w:t>
      </w:r>
    </w:p>
    <w:p w:rsidR="00BF5B30" w:rsidRDefault="00827A3E">
      <w:pPr>
        <w:pStyle w:val="a3"/>
      </w:pPr>
      <w:r>
        <w:t>Выявлен ритмологический состав географических групп. С усилением континентальности климата, при переходе от европейской группы к евросибирской и евразиатской, далее - к азиатской, снижается процент осенне- и зимнезеленых видов, а также выражена тенденция к более раннему отрастанию. Сроки цветения сдвигаются с раннелетних на более ранние или более поздние. Североамериканская группа выделяется сильным смещением начала вегетации и начала цветения на поздние сроки.</w:t>
      </w:r>
    </w:p>
    <w:p w:rsidR="00BF5B30" w:rsidRDefault="00827A3E">
      <w:pPr>
        <w:pStyle w:val="a3"/>
      </w:pPr>
      <w:r>
        <w:t>Выявлен ритмологический спектр пояснозональных комплексов и групп. Весенне-летнезеленые виды преобладают во всех комплексах, за исключением горного. Последний отличается доминированием зимне- и осеннезеленых видов. Азональный комплекс характеризуется низким процентом зимнезелености и смещением фенофаз отрастания и начала цветения на сравнительно более поздние сроки.</w:t>
      </w:r>
    </w:p>
    <w:p w:rsidR="00BF5B30" w:rsidRDefault="00827A3E">
      <w:pPr>
        <w:pStyle w:val="a3"/>
      </w:pPr>
      <w:r>
        <w:t>Список литературы</w:t>
      </w:r>
    </w:p>
    <w:p w:rsidR="00BF5B30" w:rsidRDefault="00827A3E">
      <w:pPr>
        <w:pStyle w:val="a3"/>
      </w:pPr>
      <w:r>
        <w:t>Соболевская К.А. Интродукция растений в Сибири / Отв. ред. И.Ю. Коропачинский. Новосибирск: Наука, 1991. 184 с.</w:t>
      </w:r>
    </w:p>
    <w:p w:rsidR="00BF5B30" w:rsidRDefault="00827A3E">
      <w:pPr>
        <w:pStyle w:val="a3"/>
      </w:pPr>
      <w:r>
        <w:t>Интродукция растений в Главном ботаническом саду им. Н.В. Цицина: К 50-летию основания / С.Е. Коровин, З.Е. Кузьмин, В.Н. Былов и др. М.: Наука, 1995. 188 с.</w:t>
      </w:r>
    </w:p>
    <w:p w:rsidR="00BF5B30" w:rsidRDefault="00827A3E">
      <w:pPr>
        <w:pStyle w:val="a3"/>
      </w:pPr>
      <w:r>
        <w:t>Андреев Л.Н., Горбунов Ю.Н. Роль ботанических садов России в сохранении биологического разнообразия растений // Биологическое разнообразие. Интродукция растений: Материалы Третьей Междунар. науч. конф. СПб., 2003. С. 5-7.</w:t>
      </w:r>
    </w:p>
    <w:p w:rsidR="00BF5B30" w:rsidRDefault="00827A3E">
      <w:pPr>
        <w:pStyle w:val="a3"/>
      </w:pPr>
      <w:r>
        <w:t>ШашкоД.И. Агроклиматические ресурсы СССР. Л.: Гидрометеоиздат, 1985. 247 с.</w:t>
      </w:r>
    </w:p>
    <w:p w:rsidR="00BF5B30" w:rsidRDefault="00827A3E">
      <w:pPr>
        <w:pStyle w:val="a3"/>
      </w:pPr>
      <w:r>
        <w:t>Научно-прикладной справочник по климату СССР. СПб.: Гидрометеоиздат, 1993. Сер. 3. Многолетние данные. Ч. 1-6. Вып. 20. 717 с.</w:t>
      </w:r>
    </w:p>
    <w:p w:rsidR="00BF5B30" w:rsidRDefault="00827A3E">
      <w:pPr>
        <w:pStyle w:val="a3"/>
      </w:pPr>
      <w:r>
        <w:t>Алехин В.В. География растений (основы фитогеографии, экологии и геоботаники) / Под ред. проф. Л.В. Кудряшова. 3-е изд. М.: Учпедгиз, 1950. 420 с.</w:t>
      </w:r>
    </w:p>
    <w:p w:rsidR="00BF5B30" w:rsidRDefault="00827A3E">
      <w:pPr>
        <w:pStyle w:val="a3"/>
      </w:pPr>
      <w:r>
        <w:t>Малышев Л.И., Пешкова Г.А. Особенности и генезис флоры Сибири (Предбайкалье и Забайкалье). Новосибирск: Наука, 1984. 265 с.</w:t>
      </w:r>
    </w:p>
    <w:p w:rsidR="00BF5B30" w:rsidRDefault="00827A3E">
      <w:pPr>
        <w:pStyle w:val="a3"/>
      </w:pPr>
      <w:r>
        <w:t>Седельников В.П. Высокогорная растительность Алтае-Саянской горной области. Новосибирск: Наука, 1988. 223 с.</w:t>
      </w:r>
    </w:p>
    <w:p w:rsidR="00BF5B30" w:rsidRDefault="00827A3E">
      <w:pPr>
        <w:pStyle w:val="a3"/>
      </w:pPr>
      <w:r>
        <w:t>Бейдеман И.Н. Методика изучения фенологии растений и растительных сообществ / Отв. ред. Г.И. Галазий. Новосибирск: Наука, 1974. 156 с.</w:t>
      </w:r>
    </w:p>
    <w:p w:rsidR="00BF5B30" w:rsidRDefault="00827A3E">
      <w:pPr>
        <w:pStyle w:val="a3"/>
      </w:pPr>
      <w:r>
        <w:t>Борисова И.В. Сезонная динамика растительного сообщества // Полевая геоботаника. 1972. Т. 4. С. 5-94.</w:t>
      </w:r>
    </w:p>
    <w:p w:rsidR="00BF5B30" w:rsidRDefault="00827A3E">
      <w:pPr>
        <w:pStyle w:val="a3"/>
      </w:pPr>
      <w:r>
        <w:t>КарписоноваР.А. Травянистые растения широколиственных лесов СССР: эколого-флористическая и интродукционная характеристика. М.: Наука, 1985. 205 с.</w:t>
      </w:r>
    </w:p>
    <w:p w:rsidR="00BF5B30" w:rsidRDefault="00827A3E">
      <w:pPr>
        <w:pStyle w:val="a3"/>
      </w:pPr>
      <w:r>
        <w:t>Горышина Т.К. Экология травянистых растений лесостепной дубравы. Л.: Изд-во Ленинград. ун-та, 1975. 127 с.</w:t>
      </w:r>
    </w:p>
    <w:p w:rsidR="00BF5B30" w:rsidRDefault="00827A3E">
      <w:pPr>
        <w:pStyle w:val="a3"/>
      </w:pPr>
      <w:r>
        <w:t>Голубев В.Н. Эколого-биологические особенности травянистых растений и растительных сообществ лесостепи. М.: Наука, 1965. 287 с. Статья представлена научной редакцией «Биология» 9 октября 2009 г.</w:t>
      </w:r>
      <w:bookmarkStart w:id="0" w:name="_GoBack"/>
      <w:bookmarkEnd w:id="0"/>
    </w:p>
    <w:sectPr w:rsidR="00BF5B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A3E"/>
    <w:rsid w:val="004D6A07"/>
    <w:rsid w:val="00827A3E"/>
    <w:rsid w:val="00B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DAD98D5-CAA6-4876-9150-7A68126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2878</Words>
  <Characters>16406</Characters>
  <Application>Microsoft Office Word</Application>
  <DocSecurity>0</DocSecurity>
  <Lines>136</Lines>
  <Paragraphs>38</Paragraphs>
  <ScaleCrop>false</ScaleCrop>
  <Company>diakov.net</Company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Эколого-географические закономерности сезонного развития декоративных видов природной флоры в лесостепной зоне Западной Сибири</dc:title>
  <dc:subject/>
  <dc:creator>Irina</dc:creator>
  <cp:keywords/>
  <dc:description/>
  <cp:lastModifiedBy>Irina</cp:lastModifiedBy>
  <cp:revision>2</cp:revision>
  <dcterms:created xsi:type="dcterms:W3CDTF">2014-08-02T18:36:00Z</dcterms:created>
  <dcterms:modified xsi:type="dcterms:W3CDTF">2014-08-02T18:36:00Z</dcterms:modified>
</cp:coreProperties>
</file>