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979" w:rsidRDefault="00061979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Лазерное излучение</w:t>
      </w:r>
    </w:p>
    <w:p w:rsidR="00061979" w:rsidRDefault="00061979">
      <w:pPr>
        <w:pStyle w:val="Mystyle"/>
      </w:pPr>
      <w:r>
        <w:t>Лазер или оптический квантовый генератор - это генератор электромагнитного излучения оптического диапазона, основанный на использовании вынужденного (стимулированного) излучения.</w:t>
      </w:r>
    </w:p>
    <w:p w:rsidR="00061979" w:rsidRDefault="00061979">
      <w:pPr>
        <w:pStyle w:val="Mystyle"/>
      </w:pPr>
      <w:r>
        <w:t>Лазеры благодаря своим уникальным свойствам (высокая направленность луча, когерентность, монохроматичность) находят исключительно широкое применение в различных областях промышленности, науки, техники, связи, сельском хозяйстве, медицине, биологии и др.</w:t>
      </w:r>
    </w:p>
    <w:p w:rsidR="00061979" w:rsidRDefault="00061979">
      <w:pPr>
        <w:pStyle w:val="Mystyle"/>
      </w:pPr>
      <w:r>
        <w:t>В основу классификации лазеров положена степень опасности лазерного излучения для обслуживающего персонала. По этой классификации лазеры разделены на 4 класса:</w:t>
      </w:r>
    </w:p>
    <w:p w:rsidR="00061979" w:rsidRDefault="00061979">
      <w:pPr>
        <w:pStyle w:val="Mystyle"/>
      </w:pPr>
      <w:r>
        <w:t xml:space="preserve">класс 1 (безопасные) - выходное излучение не опасно для глаз; </w:t>
      </w:r>
    </w:p>
    <w:p w:rsidR="00061979" w:rsidRDefault="00061979">
      <w:pPr>
        <w:pStyle w:val="Mystyle"/>
      </w:pPr>
      <w:r>
        <w:t xml:space="preserve">класс II (малоопасные) - опасно для глаз прямое или зеркально отраженное излучение; </w:t>
      </w:r>
    </w:p>
    <w:p w:rsidR="00061979" w:rsidRDefault="00061979">
      <w:pPr>
        <w:pStyle w:val="Mystyle"/>
      </w:pPr>
      <w:r>
        <w:t xml:space="preserve">класс III (среднеопасные) - опасно для глаз прямое, зеркально, а также диффузно отраженное излучение на расстоянии 10 см от отражающей поверхности и (или) для кожи прямое или зеркально отраженное излучение; </w:t>
      </w:r>
    </w:p>
    <w:p w:rsidR="00061979" w:rsidRDefault="00061979">
      <w:pPr>
        <w:pStyle w:val="Mystyle"/>
      </w:pPr>
      <w:r>
        <w:t xml:space="preserve">класс IV (высокоопасные)- опасно для кожи диффузно отраженное излучение на расстоянии 10 см от отражающей поверхности. </w:t>
      </w:r>
    </w:p>
    <w:p w:rsidR="00061979" w:rsidRDefault="00061979">
      <w:pPr>
        <w:pStyle w:val="Mystyle"/>
      </w:pPr>
      <w:r>
        <w:t>В качестве ведущих критериев при оценке степени опасности генерируемого лазерного излучения приняты величина мощности (энергии), длина волны, длительность импульса и экспозиция облучения.</w:t>
      </w:r>
    </w:p>
    <w:p w:rsidR="00061979" w:rsidRDefault="00061979">
      <w:pPr>
        <w:pStyle w:val="Mystyle"/>
      </w:pPr>
      <w:r>
        <w:t>Предельно допустимые уровни, требования к устройству, размещению и безопасной эксплуатации лазеров регламентированы "Санитарными нормами и правилами устройства и эксплуатации лазеров" № 2392-81, которые позволяют разрабатывать мероприятия по обеспечению безопасных условий труда при работе с лазерами. Санитарные нормы и правила позволяют определить величины ПДУ для каждого режима работы, участка оптического диапазона по специальным формулам и таблицам. Нормируется энергетическая экспозиция облучаемых тканей. Для лазерного излучения видимой области спектра для глаз учитывается также и угловой размер источника излучения.</w:t>
      </w:r>
    </w:p>
    <w:p w:rsidR="00061979" w:rsidRDefault="00061979">
      <w:pPr>
        <w:pStyle w:val="Mystyle"/>
      </w:pPr>
      <w:r>
        <w:t>Предельно допустимые уровни облучения дифференцированы с учетом режима работы лазеров -непрерывный режим, моноимпульсный, импульсно-периодический.</w:t>
      </w:r>
    </w:p>
    <w:p w:rsidR="00061979" w:rsidRDefault="00061979">
      <w:pPr>
        <w:pStyle w:val="Mystyle"/>
      </w:pPr>
      <w:r>
        <w:t>В зависимости от специфики технологического процесса работа с лазерным оборудованием может сопровождаться воздействием на персонал главным образом отраженного и рассеянного излучения. Энергия излучения лазеров в биологических объектах(ткань, орган) может претерпевать различные превращения и вызывать органические изменения в облучаемых тканях (первичные эффекты) и неспецифические изменения функционального характера (вторичные эффекты), возникающие в организме в ответ на облучение.</w:t>
      </w:r>
    </w:p>
    <w:p w:rsidR="00061979" w:rsidRDefault="00061979">
      <w:pPr>
        <w:pStyle w:val="Mystyle"/>
      </w:pPr>
      <w:r>
        <w:t>Влияние излучения лазера на орган зрения (от небольших функциональных нарушений до полной потери зрения) зависит в основном от длины волны и локализации воздействия.</w:t>
      </w:r>
    </w:p>
    <w:p w:rsidR="00061979" w:rsidRDefault="00061979">
      <w:pPr>
        <w:pStyle w:val="Mystyle"/>
      </w:pPr>
      <w:r>
        <w:t>При применении лазеров большой мощности и расширении их практического использования возросла опасность случайного повреждения не только органа зрения, но и кожных покровов и даже внутренних органов с дальнейшими изменениями в центральной нервной и эндокринной системах.</w:t>
      </w:r>
    </w:p>
    <w:p w:rsidR="00061979" w:rsidRDefault="00061979">
      <w:pPr>
        <w:pStyle w:val="Mystyle"/>
      </w:pPr>
      <w:r>
        <w:t>Основными нормативными правовыми актами при оценке условий труда с оптическими квантовыми генераторами являются:</w:t>
      </w:r>
    </w:p>
    <w:p w:rsidR="00061979" w:rsidRDefault="00061979">
      <w:pPr>
        <w:pStyle w:val="Mystyle"/>
      </w:pPr>
      <w:r>
        <w:t>"Санитарные нормы и правила устройства и эксплуатации лазеров" № 2392-81; методические рекомендации "Гигиена труда при работе с лазерами", утвержденные МЗ РСФСР 27.04.81 г.;</w:t>
      </w:r>
    </w:p>
    <w:p w:rsidR="00061979" w:rsidRDefault="00061979">
      <w:pPr>
        <w:pStyle w:val="Mystyle"/>
      </w:pPr>
      <w:r>
        <w:t>ГОСТ 24713-81 "Методы измерений параметров лазерного излучения. Классификация"; ГОСТ 24714-81 "Лазеры. Методы измерения параметров излучения. Общие положения"; ГОСТ 12.1.040-83 "Лазерная безопасность. Общие положения"; ГОСТ 12.1.031 -81 "Лазеры. Методы дозиметрического контроля ла- зерного излучения".</w:t>
      </w:r>
    </w:p>
    <w:p w:rsidR="00061979" w:rsidRDefault="00061979">
      <w:pPr>
        <w:pStyle w:val="Mystyle"/>
      </w:pPr>
      <w:r>
        <w:t>Предупреждение поражений лазерным излучением включает систему мер инженерно-технического, планировочного, организационного, санитарно-гигиенического характера.</w:t>
      </w:r>
    </w:p>
    <w:p w:rsidR="00061979" w:rsidRDefault="00061979">
      <w:pPr>
        <w:pStyle w:val="Mystyle"/>
      </w:pPr>
      <w:r>
        <w:t>При использовании лазеров II-III классов в целях исключения облучения персонала необходимо либо ограждение лазерной зоны, либо экранирование пучка излучения. Экраны и ограждения должны изготавливаться из материалов с наименьшим коэффициентом отражения, быть огнестойкими и не выделять токсических веществ при воздействии на них лазерного излучения.</w:t>
      </w:r>
    </w:p>
    <w:p w:rsidR="00061979" w:rsidRDefault="00061979">
      <w:pPr>
        <w:pStyle w:val="Mystyle"/>
      </w:pPr>
      <w:r>
        <w:t>Лазеры IV класса опасности размещаются в отдельных изолированных помещениях и обеспечиваются дистанционным управлением их работой.</w:t>
      </w:r>
    </w:p>
    <w:p w:rsidR="00061979" w:rsidRDefault="00061979">
      <w:pPr>
        <w:pStyle w:val="Mystyle"/>
      </w:pPr>
      <w:r>
        <w:t>При размещении в одном помещении нескольких лазеров следует исключить возможность взаимного облучения операторов, работающих на различных установках. Не допускаются в помещения, где размещены лазеры, лица, не имеющие отношения к их эксплуатации. Запрещается визуальная юстировка лазеров без средств защиты.</w:t>
      </w:r>
    </w:p>
    <w:p w:rsidR="00061979" w:rsidRDefault="00061979">
      <w:pPr>
        <w:pStyle w:val="Mystyle"/>
      </w:pPr>
      <w:r>
        <w:t>Для удаления возможных токсических газов, паров и пыли оборудуется приточно-вытяжная вентиляция с механическим побуждением. Для защиты от шума принимаются соответствующие меры звукоизоляции установок, звукопоглощения и др.</w:t>
      </w:r>
    </w:p>
    <w:p w:rsidR="00061979" w:rsidRDefault="00061979">
      <w:pPr>
        <w:pStyle w:val="Mystyle"/>
      </w:pPr>
      <w:r>
        <w:t>К индивидуальным средствам защиты, обеспечивающим безопасные условия труда при работе с лазерами, относятся специальные очки, щитки, маски, обеспечивающие снижение облучения глаз до ПДУ.</w:t>
      </w:r>
    </w:p>
    <w:p w:rsidR="00061979" w:rsidRDefault="00061979">
      <w:pPr>
        <w:pStyle w:val="Mystyle"/>
      </w:pPr>
      <w:r>
        <w:t>Средства индивидуальной защиты применяются только в том случае, когда коллективные средства защиты не позволяют обеспечить требования санитарных правил.</w:t>
      </w:r>
    </w:p>
    <w:p w:rsidR="00061979" w:rsidRDefault="00061979">
      <w:pPr>
        <w:pStyle w:val="Mysty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061979" w:rsidRDefault="00061979">
      <w:pPr>
        <w:pStyle w:val="Mystyle"/>
        <w:rPr>
          <w:lang w:val="en-US"/>
        </w:rPr>
      </w:pPr>
      <w:r>
        <w:t xml:space="preserve">При подготовке данной работы были использованы материалы с сайта </w:t>
      </w:r>
      <w:r w:rsidRPr="0007200C">
        <w:t>http://stroy.nm.ru</w:t>
      </w:r>
    </w:p>
    <w:p w:rsidR="00061979" w:rsidRDefault="00061979">
      <w:pPr>
        <w:pStyle w:val="Mystyle"/>
        <w:rPr>
          <w:lang w:val="en-US"/>
        </w:rPr>
      </w:pPr>
      <w:bookmarkStart w:id="0" w:name="_GoBack"/>
      <w:bookmarkEnd w:id="0"/>
    </w:p>
    <w:sectPr w:rsidR="00061979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4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00C"/>
    <w:rsid w:val="00061979"/>
    <w:rsid w:val="0007200C"/>
    <w:rsid w:val="006B7ECF"/>
    <w:rsid w:val="00B6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35A88B-FE8D-4687-B6A6-2FA586A2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">
    <w:name w:val="заголовок 3"/>
    <w:basedOn w:val="a"/>
    <w:next w:val="a"/>
    <w:uiPriority w:val="99"/>
    <w:pPr>
      <w:keepNext/>
      <w:spacing w:before="0" w:after="0"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spacing w:before="0" w:after="0"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  <w:sz w:val="20"/>
      <w:szCs w:val="20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pacing w:before="0" w:after="0"/>
      <w:jc w:val="both"/>
    </w:pPr>
    <w:rPr>
      <w:rFonts w:ascii="Courier New" w:hAnsi="Courier New" w:cs="Courier New"/>
      <w:b/>
      <w:bCs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spacing w:before="0" w:after="0"/>
      <w:jc w:val="both"/>
    </w:pPr>
  </w:style>
  <w:style w:type="character" w:customStyle="1" w:styleId="21">
    <w:name w:val="Основной текст 2 Знак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before="0" w:after="0" w:line="240" w:lineRule="atLeast"/>
      <w:ind w:right="-2812" w:firstLine="320"/>
    </w:pPr>
  </w:style>
  <w:style w:type="character" w:customStyle="1" w:styleId="23">
    <w:name w:val="Основной текст с отступом 2 Знак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after="0" w:line="240" w:lineRule="atLeast"/>
      <w:ind w:right="-2812" w:firstLine="360"/>
    </w:pPr>
  </w:style>
  <w:style w:type="character" w:customStyle="1" w:styleId="31">
    <w:name w:val="Основной текст с отступом 3 Знак"/>
    <w:link w:val="30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spacing w:before="0" w:after="0"/>
    </w:pPr>
    <w:rPr>
      <w:sz w:val="20"/>
      <w:szCs w:val="20"/>
    </w:rPr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spacing w:before="0" w:after="0"/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spacing w:before="0" w:after="0"/>
      <w:ind w:left="400"/>
    </w:pPr>
    <w:rPr>
      <w:sz w:val="20"/>
      <w:szCs w:val="20"/>
    </w:rPr>
  </w:style>
  <w:style w:type="paragraph" w:customStyle="1" w:styleId="40">
    <w:name w:val="оглавление 4"/>
    <w:basedOn w:val="a"/>
    <w:next w:val="a"/>
    <w:autoRedefine/>
    <w:uiPriority w:val="99"/>
    <w:pPr>
      <w:spacing w:before="0" w:after="0"/>
      <w:ind w:left="600"/>
    </w:pPr>
    <w:rPr>
      <w:sz w:val="20"/>
      <w:szCs w:val="20"/>
    </w:rPr>
  </w:style>
  <w:style w:type="paragraph" w:customStyle="1" w:styleId="5">
    <w:name w:val="оглавление 5"/>
    <w:basedOn w:val="a"/>
    <w:next w:val="a"/>
    <w:autoRedefine/>
    <w:uiPriority w:val="99"/>
    <w:pPr>
      <w:spacing w:before="0" w:after="0"/>
      <w:ind w:left="800"/>
    </w:pPr>
    <w:rPr>
      <w:sz w:val="20"/>
      <w:szCs w:val="20"/>
    </w:rPr>
  </w:style>
  <w:style w:type="paragraph" w:customStyle="1" w:styleId="6">
    <w:name w:val="оглавление 6"/>
    <w:basedOn w:val="a"/>
    <w:next w:val="a"/>
    <w:autoRedefine/>
    <w:uiPriority w:val="99"/>
    <w:pPr>
      <w:spacing w:before="0" w:after="0"/>
      <w:ind w:left="1000"/>
    </w:pPr>
    <w:rPr>
      <w:sz w:val="20"/>
      <w:szCs w:val="20"/>
    </w:rPr>
  </w:style>
  <w:style w:type="paragraph" w:customStyle="1" w:styleId="7">
    <w:name w:val="оглавление 7"/>
    <w:basedOn w:val="a"/>
    <w:next w:val="a"/>
    <w:autoRedefine/>
    <w:uiPriority w:val="99"/>
    <w:pPr>
      <w:spacing w:before="0" w:after="0"/>
      <w:ind w:left="1200"/>
    </w:pPr>
    <w:rPr>
      <w:sz w:val="20"/>
      <w:szCs w:val="20"/>
    </w:rPr>
  </w:style>
  <w:style w:type="paragraph" w:customStyle="1" w:styleId="80">
    <w:name w:val="оглавление 8"/>
    <w:basedOn w:val="a"/>
    <w:next w:val="a"/>
    <w:autoRedefine/>
    <w:uiPriority w:val="99"/>
    <w:pPr>
      <w:spacing w:before="0" w:after="0"/>
      <w:ind w:left="1400"/>
    </w:pPr>
    <w:rPr>
      <w:sz w:val="20"/>
      <w:szCs w:val="20"/>
    </w:rPr>
  </w:style>
  <w:style w:type="paragraph" w:customStyle="1" w:styleId="9">
    <w:name w:val="оглавление 9"/>
    <w:basedOn w:val="a"/>
    <w:next w:val="a"/>
    <w:autoRedefine/>
    <w:uiPriority w:val="99"/>
    <w:pPr>
      <w:spacing w:before="0" w:after="0"/>
      <w:ind w:left="1600"/>
    </w:pPr>
    <w:rPr>
      <w:sz w:val="20"/>
      <w:szCs w:val="20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3294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2014-01-27T09:28:00Z</dcterms:created>
  <dcterms:modified xsi:type="dcterms:W3CDTF">2014-01-27T09:28:00Z</dcterms:modified>
</cp:coreProperties>
</file>