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08D" w:rsidRDefault="0022308D">
      <w:pPr>
        <w:pStyle w:val="1"/>
        <w:jc w:val="center"/>
        <w:rPr>
          <w:sz w:val="26"/>
          <w:szCs w:val="26"/>
        </w:rPr>
      </w:pPr>
      <w:bookmarkStart w:id="0" w:name="_Toc500177589"/>
      <w:r>
        <w:rPr>
          <w:sz w:val="26"/>
          <w:szCs w:val="26"/>
        </w:rPr>
        <w:t>Введение.</w:t>
      </w:r>
      <w:bookmarkEnd w:id="0"/>
    </w:p>
    <w:p w:rsidR="0022308D" w:rsidRDefault="0022308D">
      <w:pPr>
        <w:pStyle w:val="21"/>
      </w:pPr>
      <w:r>
        <w:t xml:space="preserve">Финансовое состояние предприятия характеризуется широким кругом показателей, отражающим наличие, размещение и использование финансовых ресурсов. В условиях массовой неплатежеспособности предприятий  и практического применения ко многим из них процедуры банкротства объективная и точная оценка их финансового состояния приобретает первостепенное значение. Определение финансового состояния на ту или иную дату помогает ответить на вопрос, насколько правильно предприятие управляло финансовыми ресурсами в течение периода, предшествовавшего этой дате.  </w:t>
      </w:r>
    </w:p>
    <w:p w:rsidR="0022308D" w:rsidRDefault="0022308D">
      <w:pPr>
        <w:pStyle w:val="23"/>
      </w:pPr>
      <w:r>
        <w:t xml:space="preserve">Существуют различные методики анализа финансового состояния. В нашей стране по опыту экономически развитых стран все большее распространение получает методика, основанная на расчете и использовании системы коэффициентов. </w:t>
      </w:r>
    </w:p>
    <w:p w:rsidR="0022308D" w:rsidRDefault="0022308D">
      <w:pPr>
        <w:spacing w:line="360" w:lineRule="auto"/>
        <w:ind w:firstLine="709"/>
        <w:jc w:val="both"/>
        <w:rPr>
          <w:sz w:val="26"/>
          <w:szCs w:val="26"/>
        </w:rPr>
      </w:pPr>
      <w:r>
        <w:rPr>
          <w:sz w:val="26"/>
          <w:szCs w:val="26"/>
        </w:rPr>
        <w:t>Данная работа посвящена рассмотрению финансовой отчетности и анализу финансового состояния предприятия. Задачами моей работы являются:</w:t>
      </w:r>
    </w:p>
    <w:p w:rsidR="0022308D" w:rsidRDefault="0022308D">
      <w:pPr>
        <w:numPr>
          <w:ilvl w:val="0"/>
          <w:numId w:val="3"/>
        </w:numPr>
        <w:tabs>
          <w:tab w:val="clear" w:pos="360"/>
          <w:tab w:val="left" w:pos="993"/>
        </w:tabs>
        <w:spacing w:line="360" w:lineRule="auto"/>
        <w:ind w:firstLine="709"/>
        <w:jc w:val="both"/>
        <w:rPr>
          <w:sz w:val="26"/>
          <w:szCs w:val="26"/>
        </w:rPr>
      </w:pPr>
      <w:r>
        <w:rPr>
          <w:sz w:val="26"/>
          <w:szCs w:val="26"/>
        </w:rPr>
        <w:t>рассмотреть роль финансовой отчетности в финансовом анализе;</w:t>
      </w:r>
    </w:p>
    <w:p w:rsidR="0022308D" w:rsidRDefault="0022308D">
      <w:pPr>
        <w:numPr>
          <w:ilvl w:val="0"/>
          <w:numId w:val="3"/>
        </w:numPr>
        <w:tabs>
          <w:tab w:val="clear" w:pos="360"/>
          <w:tab w:val="left" w:pos="993"/>
        </w:tabs>
        <w:spacing w:line="360" w:lineRule="auto"/>
        <w:ind w:firstLine="709"/>
        <w:jc w:val="both"/>
        <w:rPr>
          <w:sz w:val="26"/>
          <w:szCs w:val="26"/>
        </w:rPr>
      </w:pPr>
      <w:r>
        <w:rPr>
          <w:sz w:val="26"/>
          <w:szCs w:val="26"/>
        </w:rPr>
        <w:t>описать методику анализа ликвидности и платежеспособности и анализа финансовой отчетности на примере конкретного предприятия;</w:t>
      </w:r>
    </w:p>
    <w:p w:rsidR="0022308D" w:rsidRDefault="0022308D">
      <w:pPr>
        <w:numPr>
          <w:ilvl w:val="0"/>
          <w:numId w:val="3"/>
        </w:numPr>
        <w:tabs>
          <w:tab w:val="clear" w:pos="360"/>
          <w:tab w:val="left" w:pos="993"/>
        </w:tabs>
        <w:spacing w:line="360" w:lineRule="auto"/>
        <w:ind w:firstLine="709"/>
        <w:jc w:val="both"/>
        <w:rPr>
          <w:sz w:val="26"/>
          <w:szCs w:val="26"/>
        </w:rPr>
      </w:pPr>
      <w:r>
        <w:rPr>
          <w:sz w:val="26"/>
          <w:szCs w:val="26"/>
        </w:rPr>
        <w:t xml:space="preserve">провести обобщающую оценку финансового состояния предприятия; </w:t>
      </w:r>
    </w:p>
    <w:p w:rsidR="0022308D" w:rsidRDefault="0022308D">
      <w:pPr>
        <w:numPr>
          <w:ilvl w:val="0"/>
          <w:numId w:val="3"/>
        </w:numPr>
        <w:tabs>
          <w:tab w:val="clear" w:pos="360"/>
          <w:tab w:val="left" w:pos="993"/>
        </w:tabs>
        <w:spacing w:line="360" w:lineRule="auto"/>
        <w:ind w:firstLine="709"/>
        <w:jc w:val="both"/>
        <w:rPr>
          <w:sz w:val="26"/>
          <w:szCs w:val="26"/>
        </w:rPr>
      </w:pPr>
      <w:r>
        <w:rPr>
          <w:sz w:val="26"/>
          <w:szCs w:val="26"/>
        </w:rPr>
        <w:t>рассмотреть особенности финансового состояния предприятий различных отраслей экономики.</w:t>
      </w:r>
    </w:p>
    <w:p w:rsidR="0022308D" w:rsidRDefault="0022308D">
      <w:pPr>
        <w:spacing w:line="360" w:lineRule="auto"/>
        <w:ind w:firstLine="709"/>
        <w:jc w:val="both"/>
        <w:rPr>
          <w:sz w:val="26"/>
          <w:szCs w:val="26"/>
        </w:rPr>
      </w:pPr>
      <w:r>
        <w:rPr>
          <w:sz w:val="26"/>
          <w:szCs w:val="26"/>
        </w:rPr>
        <w:t>Таким образом, можно определить структуру работы. В первой главе будет рассмотрена взаимосвязь финансовой отчетности и финансового анализа: информационная база для анализа финансового состояния,  роль финансовой отчетности в финансовом анализе, понятие, состав и  содержание форм финансовой отчетности.</w:t>
      </w:r>
    </w:p>
    <w:p w:rsidR="0022308D" w:rsidRDefault="0022308D">
      <w:pPr>
        <w:spacing w:line="360" w:lineRule="auto"/>
        <w:ind w:firstLine="709"/>
        <w:jc w:val="both"/>
        <w:rPr>
          <w:sz w:val="26"/>
          <w:szCs w:val="26"/>
        </w:rPr>
      </w:pPr>
      <w:r>
        <w:rPr>
          <w:sz w:val="26"/>
          <w:szCs w:val="26"/>
        </w:rPr>
        <w:t xml:space="preserve">Вторая глава будет посвящена непосредственно анализу финансового состояния предприятия, то есть я дам методику анализа ликвидности и платежеспособности, а также анализа финансовой устойчивости предприятия. В этой же главе на основе рассмотренных показателей я опишу методику определения обобщающей оценки финансового состояния данного предприятия. </w:t>
      </w:r>
    </w:p>
    <w:p w:rsidR="0022308D" w:rsidRDefault="0022308D">
      <w:pPr>
        <w:spacing w:line="360" w:lineRule="auto"/>
        <w:ind w:firstLine="709"/>
        <w:jc w:val="both"/>
        <w:rPr>
          <w:sz w:val="26"/>
          <w:szCs w:val="26"/>
        </w:rPr>
      </w:pPr>
      <w:r>
        <w:rPr>
          <w:sz w:val="26"/>
          <w:szCs w:val="26"/>
        </w:rPr>
        <w:t>В третьей главе я рассмотрю особенности финансового анализа предприятий различных отраслей экономики, а именно: промышленных, торговых и кредитных организаций. В виду ограничения работы в объеме я рассмотрю только отличительные черты финансового анализа этих сфер экономики.</w:t>
      </w:r>
    </w:p>
    <w:p w:rsidR="0022308D" w:rsidRDefault="0022308D">
      <w:pPr>
        <w:pStyle w:val="1"/>
        <w:jc w:val="center"/>
        <w:rPr>
          <w:sz w:val="26"/>
          <w:szCs w:val="26"/>
        </w:rPr>
      </w:pPr>
      <w:bookmarkStart w:id="1" w:name="_Toc500177590"/>
      <w:r>
        <w:rPr>
          <w:sz w:val="26"/>
          <w:szCs w:val="26"/>
        </w:rPr>
        <w:t>1.Финансовая отчетность.</w:t>
      </w:r>
      <w:bookmarkEnd w:id="1"/>
    </w:p>
    <w:p w:rsidR="0022308D" w:rsidRDefault="0022308D">
      <w:pPr>
        <w:pStyle w:val="2"/>
        <w:jc w:val="center"/>
        <w:rPr>
          <w:sz w:val="26"/>
          <w:szCs w:val="26"/>
        </w:rPr>
      </w:pPr>
      <w:bookmarkStart w:id="2" w:name="_Toc500177591"/>
      <w:r>
        <w:rPr>
          <w:sz w:val="26"/>
          <w:szCs w:val="26"/>
        </w:rPr>
        <w:t>1.1 Понятие, состав и пользователи финансовой отчетности</w:t>
      </w:r>
      <w:bookmarkEnd w:id="2"/>
      <w:r>
        <w:rPr>
          <w:sz w:val="26"/>
          <w:szCs w:val="26"/>
        </w:rPr>
        <w:t xml:space="preserve"> </w:t>
      </w:r>
    </w:p>
    <w:p w:rsidR="0022308D" w:rsidRDefault="0022308D">
      <w:pPr>
        <w:pStyle w:val="21"/>
      </w:pPr>
      <w:r>
        <w:rPr>
          <w:b/>
          <w:bCs/>
        </w:rPr>
        <w:t xml:space="preserve">Бухгалтерская (финансовая) отчетность </w:t>
      </w:r>
      <w:r>
        <w:t>– единая система данных об имущественном и финансовом положении организации и о результате ее хозяйственной деятельности, составляемая на основе данных бухгалтерского учета по установленным формам.</w:t>
      </w:r>
      <w:r>
        <w:rPr>
          <w:rStyle w:val="a7"/>
        </w:rPr>
        <w:footnoteReference w:id="1"/>
      </w:r>
    </w:p>
    <w:p w:rsidR="0022308D" w:rsidRDefault="0022308D">
      <w:pPr>
        <w:pStyle w:val="21"/>
        <w:rPr>
          <w:b/>
          <w:bCs/>
        </w:rPr>
      </w:pPr>
      <w:r>
        <w:t xml:space="preserve">Состав, содержание, требования и другие методические основы регламентированы «Положением по ведению бухгалтерского учета и бухгалтерской отчетности в РФ», утвержденному приказом Минфина РФ от 29 июля 1998 г. №34н и Положением по бухгалтерскому учету «Бухгалтерская отчетность организации» (ПБУ 4/99), утвержденному приказом Минфина РФ от 6 июля 1999 г. №43н. Согласно этим положениям </w:t>
      </w:r>
      <w:r>
        <w:rPr>
          <w:b/>
          <w:bCs/>
        </w:rPr>
        <w:t>в состав бухгалтерской отчетности включаются:</w:t>
      </w:r>
    </w:p>
    <w:p w:rsidR="0022308D" w:rsidRDefault="0022308D">
      <w:pPr>
        <w:pStyle w:val="21"/>
        <w:numPr>
          <w:ilvl w:val="0"/>
          <w:numId w:val="13"/>
        </w:numPr>
        <w:tabs>
          <w:tab w:val="clear" w:pos="1080"/>
          <w:tab w:val="left" w:pos="993"/>
        </w:tabs>
        <w:ind w:left="0" w:firstLine="709"/>
      </w:pPr>
      <w:r>
        <w:t>бухгалтерский баланс – форма №1;</w:t>
      </w:r>
    </w:p>
    <w:p w:rsidR="0022308D" w:rsidRDefault="0022308D">
      <w:pPr>
        <w:pStyle w:val="21"/>
        <w:numPr>
          <w:ilvl w:val="0"/>
          <w:numId w:val="13"/>
        </w:numPr>
        <w:tabs>
          <w:tab w:val="clear" w:pos="1080"/>
          <w:tab w:val="left" w:pos="993"/>
        </w:tabs>
        <w:ind w:left="0" w:firstLine="709"/>
      </w:pPr>
      <w:r>
        <w:t>отчет о прибылях и убытках – форма №2;</w:t>
      </w:r>
    </w:p>
    <w:p w:rsidR="0022308D" w:rsidRDefault="0022308D">
      <w:pPr>
        <w:pStyle w:val="21"/>
        <w:numPr>
          <w:ilvl w:val="0"/>
          <w:numId w:val="13"/>
        </w:numPr>
        <w:tabs>
          <w:tab w:val="clear" w:pos="1080"/>
        </w:tabs>
      </w:pPr>
      <w:r>
        <w:t>приложения к бухгалтерскому балансу и отчету о прибылях и убытках:</w:t>
      </w:r>
    </w:p>
    <w:p w:rsidR="0022308D" w:rsidRDefault="0022308D">
      <w:pPr>
        <w:pStyle w:val="21"/>
        <w:ind w:left="1080" w:firstLine="0"/>
      </w:pPr>
      <w:r>
        <w:t>отчет о движении капитала – форма №3 (годовая);</w:t>
      </w:r>
    </w:p>
    <w:p w:rsidR="0022308D" w:rsidRDefault="0022308D">
      <w:pPr>
        <w:pStyle w:val="21"/>
        <w:ind w:left="1080" w:firstLine="0"/>
      </w:pPr>
      <w:r>
        <w:t>отчет о движении денежных средств – форма №4 (годовая);</w:t>
      </w:r>
    </w:p>
    <w:p w:rsidR="0022308D" w:rsidRDefault="0022308D">
      <w:pPr>
        <w:pStyle w:val="21"/>
        <w:ind w:left="1080" w:firstLine="0"/>
      </w:pPr>
      <w:r>
        <w:t>приложение к бухгалтерскому балансу – форма №5 (годовая);</w:t>
      </w:r>
    </w:p>
    <w:p w:rsidR="0022308D" w:rsidRDefault="0022308D">
      <w:pPr>
        <w:pStyle w:val="21"/>
        <w:ind w:left="1080" w:firstLine="0"/>
      </w:pPr>
      <w:r>
        <w:t>пояснительная записка;</w:t>
      </w:r>
    </w:p>
    <w:p w:rsidR="0022308D" w:rsidRDefault="0022308D">
      <w:pPr>
        <w:pStyle w:val="21"/>
        <w:numPr>
          <w:ilvl w:val="0"/>
          <w:numId w:val="13"/>
        </w:numPr>
        <w:tabs>
          <w:tab w:val="clear" w:pos="1080"/>
          <w:tab w:val="left" w:pos="993"/>
        </w:tabs>
        <w:ind w:left="0" w:firstLine="709"/>
      </w:pPr>
      <w:r>
        <w:t>отчет о целевом использовании полученных средств – форма №6 (годовая) – для общественных организаций (объединений);</w:t>
      </w:r>
    </w:p>
    <w:p w:rsidR="0022308D" w:rsidRDefault="0022308D">
      <w:pPr>
        <w:pStyle w:val="21"/>
        <w:numPr>
          <w:ilvl w:val="0"/>
          <w:numId w:val="13"/>
        </w:numPr>
        <w:tabs>
          <w:tab w:val="clear" w:pos="1080"/>
          <w:tab w:val="left" w:pos="993"/>
        </w:tabs>
        <w:ind w:left="0" w:firstLine="720"/>
      </w:pPr>
      <w:r>
        <w:t>специализированные формы, установленные в соответствии с пунктом 30 Положения о бухгалтерском учете и отчетности в РФ;</w:t>
      </w:r>
    </w:p>
    <w:p w:rsidR="0022308D" w:rsidRDefault="0022308D">
      <w:pPr>
        <w:pStyle w:val="21"/>
        <w:numPr>
          <w:ilvl w:val="0"/>
          <w:numId w:val="13"/>
        </w:numPr>
        <w:tabs>
          <w:tab w:val="clear" w:pos="1080"/>
          <w:tab w:val="left" w:pos="993"/>
        </w:tabs>
        <w:ind w:left="0" w:firstLine="709"/>
      </w:pPr>
      <w:r>
        <w:t>итоговая часть аудиторского заключения, выданного по результатам обязательного по законодательству РФ аудита бухгалтерской отчетности.</w:t>
      </w:r>
    </w:p>
    <w:p w:rsidR="0022308D" w:rsidRDefault="0022308D">
      <w:pPr>
        <w:pStyle w:val="21"/>
        <w:ind w:firstLine="709"/>
        <w:rPr>
          <w:b/>
          <w:bCs/>
        </w:rPr>
      </w:pPr>
      <w:r>
        <w:t xml:space="preserve">В ПБУ 4/99 выдвигаются </w:t>
      </w:r>
      <w:r>
        <w:rPr>
          <w:b/>
          <w:bCs/>
        </w:rPr>
        <w:t>требования к составлению бухгалтерской отчетности:</w:t>
      </w:r>
    </w:p>
    <w:p w:rsidR="0022308D" w:rsidRDefault="0022308D">
      <w:pPr>
        <w:pStyle w:val="21"/>
        <w:ind w:firstLine="709"/>
      </w:pPr>
      <w:r>
        <w:t>Организация должна составлять бухгалтерскую отчетность за месяц, квартал и год нарастающим итогом с начала отчетного года. При этом месячная и квартальная отчетность является промежуточной.</w:t>
      </w:r>
    </w:p>
    <w:p w:rsidR="0022308D" w:rsidRDefault="0022308D">
      <w:pPr>
        <w:pStyle w:val="21"/>
        <w:ind w:firstLine="709"/>
      </w:pPr>
      <w:r>
        <w:t>Бухгалтерская отчетность должна давать достоверное и полное представление об имущественном и финансовом положении организации, об его изменениях, а также финансовых результатах ее деятельности. Достоверной считается бухгалтерская отчетность, сформированная и составленная исходя из правил, установленных нормативными актами по бухгалтерскому учету РФ.</w:t>
      </w:r>
    </w:p>
    <w:p w:rsidR="0022308D" w:rsidRDefault="0022308D">
      <w:pPr>
        <w:pStyle w:val="21"/>
        <w:ind w:firstLine="709"/>
      </w:pPr>
      <w:r>
        <w:t>При формировании бухгалтерской отчетности организацией должна быть обеспечена нейтральность информации, содержащейся в ней, то есть исключено одностороннее удовлетворение интересов одних групп пользователей бухгалтерской отчетности перед другими.</w:t>
      </w:r>
    </w:p>
    <w:p w:rsidR="0022308D" w:rsidRDefault="0022308D">
      <w:pPr>
        <w:pStyle w:val="21"/>
        <w:ind w:firstLine="709"/>
      </w:pPr>
      <w:r>
        <w:t>Данные по числовым показателям в отчетности приводятся минимум за два года – отчетный и предшествовавший отчетному (кроме отчета, составляемого за первый отчетный год). Если данные за период, предшествовавший отчетному году, несопоставимы с данными за отчетный период, то первые из названных данных подлежат корректировке исходя из правил, установленными нормативными актами.</w:t>
      </w:r>
    </w:p>
    <w:p w:rsidR="0022308D" w:rsidRDefault="0022308D">
      <w:pPr>
        <w:pStyle w:val="21"/>
        <w:tabs>
          <w:tab w:val="left" w:pos="993"/>
        </w:tabs>
        <w:ind w:firstLine="709"/>
      </w:pPr>
      <w:r>
        <w:t>Бухгалтерская отчетность должна быть составлена на русском языке и в валюте Российской Федерации.  Пример заполнения форм бухгалтерской отчетности представлен в Приложении 1.</w:t>
      </w:r>
    </w:p>
    <w:p w:rsidR="0022308D" w:rsidRDefault="0022308D">
      <w:pPr>
        <w:pStyle w:val="21"/>
        <w:ind w:firstLine="709"/>
      </w:pPr>
      <w:r>
        <w:t xml:space="preserve">Работа по анализу бухгалтерской отчетности должна удовлетворять многим требованиям. Круг пользователей включает различные категории – от серьезных аналитиков до случайных «любителей». Все они руководствуются общей целью для достижения своих интересов – оценить по данным финансовой отчетности финансовое состояние организации. Финансовая отчетность в России представляет интерес </w:t>
      </w:r>
      <w:r>
        <w:rPr>
          <w:b/>
          <w:bCs/>
        </w:rPr>
        <w:t>для двух групп внешних пользователей</w:t>
      </w:r>
      <w:r>
        <w:rPr>
          <w:i/>
          <w:iCs/>
        </w:rPr>
        <w:t xml:space="preserve">. </w:t>
      </w:r>
    </w:p>
    <w:p w:rsidR="0022308D" w:rsidRDefault="0022308D">
      <w:pPr>
        <w:pStyle w:val="21"/>
        <w:numPr>
          <w:ilvl w:val="0"/>
          <w:numId w:val="14"/>
        </w:numPr>
      </w:pPr>
      <w:r>
        <w:t>Непосредственно заинтересованных в деятельности организации;</w:t>
      </w:r>
    </w:p>
    <w:p w:rsidR="0022308D" w:rsidRDefault="0022308D">
      <w:pPr>
        <w:pStyle w:val="21"/>
        <w:numPr>
          <w:ilvl w:val="0"/>
          <w:numId w:val="14"/>
        </w:numPr>
      </w:pPr>
      <w:r>
        <w:t>Опосредованно заинтересованных в ней.</w:t>
      </w:r>
    </w:p>
    <w:p w:rsidR="0022308D" w:rsidRDefault="0022308D">
      <w:pPr>
        <w:pStyle w:val="21"/>
        <w:ind w:firstLine="709"/>
      </w:pPr>
      <w:r>
        <w:t>К первой группе  относятся следующие пользователи:</w:t>
      </w:r>
    </w:p>
    <w:p w:rsidR="0022308D" w:rsidRDefault="0022308D">
      <w:pPr>
        <w:pStyle w:val="21"/>
        <w:numPr>
          <w:ilvl w:val="0"/>
          <w:numId w:val="15"/>
        </w:numPr>
        <w:tabs>
          <w:tab w:val="clear" w:pos="360"/>
          <w:tab w:val="num" w:pos="993"/>
        </w:tabs>
        <w:ind w:firstLine="709"/>
      </w:pPr>
      <w:r>
        <w:t>государство, прежде всего в виде налоговых органов, которые проверяют правильность составления отчетных документов, расчета налогов, определяют налоговую политику;</w:t>
      </w:r>
    </w:p>
    <w:p w:rsidR="0022308D" w:rsidRDefault="0022308D">
      <w:pPr>
        <w:pStyle w:val="21"/>
        <w:numPr>
          <w:ilvl w:val="0"/>
          <w:numId w:val="15"/>
        </w:numPr>
        <w:tabs>
          <w:tab w:val="clear" w:pos="360"/>
          <w:tab w:val="num" w:pos="993"/>
        </w:tabs>
        <w:ind w:firstLine="709"/>
      </w:pPr>
      <w:r>
        <w:t>существующие и потенциальные кредиторы, использующие отчетность для оценки целесообразности предоставления или продления кредита, определения условий кредитования, усиление кредита, определение условий кредитования, условия гарантий возврата кредита, оценки доверия к организации как к клиенту;</w:t>
      </w:r>
    </w:p>
    <w:p w:rsidR="0022308D" w:rsidRDefault="0022308D">
      <w:pPr>
        <w:pStyle w:val="21"/>
        <w:numPr>
          <w:ilvl w:val="0"/>
          <w:numId w:val="15"/>
        </w:numPr>
        <w:tabs>
          <w:tab w:val="clear" w:pos="360"/>
          <w:tab w:val="num" w:pos="993"/>
        </w:tabs>
        <w:ind w:firstLine="709"/>
      </w:pPr>
      <w:r>
        <w:t>поставщики и покупатели, определяющие надежность деловых связей с данным клиентом;</w:t>
      </w:r>
    </w:p>
    <w:p w:rsidR="0022308D" w:rsidRDefault="0022308D">
      <w:pPr>
        <w:pStyle w:val="21"/>
        <w:numPr>
          <w:ilvl w:val="0"/>
          <w:numId w:val="15"/>
        </w:numPr>
        <w:tabs>
          <w:tab w:val="clear" w:pos="360"/>
          <w:tab w:val="num" w:pos="993"/>
        </w:tabs>
        <w:ind w:firstLine="709"/>
      </w:pPr>
      <w:r>
        <w:t>существующие и потенциальные собственники средств организации, которым необходимо определить увеличение или уменьшение доли собственных средств и оценить эффективность использования ресурсов руководством организации.</w:t>
      </w:r>
    </w:p>
    <w:p w:rsidR="0022308D" w:rsidRDefault="0022308D">
      <w:pPr>
        <w:pStyle w:val="21"/>
        <w:ind w:firstLine="709"/>
      </w:pPr>
      <w:r>
        <w:rPr>
          <w:i/>
          <w:iCs/>
        </w:rPr>
        <w:t>Вторая группа</w:t>
      </w:r>
      <w:r>
        <w:t xml:space="preserve"> пользователей финансовой отчетности – это те, кто непосредственно не заинтересован в деятельности предприятия. Однако изучение отчетности им необходимо для того, чтобы защитить интересы первой группы пользователей отчетности. К этой группе относятся:</w:t>
      </w:r>
    </w:p>
    <w:p w:rsidR="0022308D" w:rsidRDefault="0022308D">
      <w:pPr>
        <w:pStyle w:val="21"/>
        <w:numPr>
          <w:ilvl w:val="0"/>
          <w:numId w:val="16"/>
        </w:numPr>
        <w:tabs>
          <w:tab w:val="clear" w:pos="360"/>
          <w:tab w:val="num" w:pos="993"/>
        </w:tabs>
        <w:ind w:firstLine="709"/>
      </w:pPr>
      <w:r>
        <w:t>аудиторские службы, проверяющие соответствие данных отчетности соответствующим правилам с целью защиты интересов инвесторов;</w:t>
      </w:r>
    </w:p>
    <w:p w:rsidR="0022308D" w:rsidRDefault="0022308D">
      <w:pPr>
        <w:pStyle w:val="21"/>
        <w:numPr>
          <w:ilvl w:val="0"/>
          <w:numId w:val="16"/>
        </w:numPr>
        <w:tabs>
          <w:tab w:val="clear" w:pos="360"/>
          <w:tab w:val="num" w:pos="993"/>
        </w:tabs>
        <w:ind w:firstLine="709"/>
      </w:pPr>
      <w:r>
        <w:t>консультанты по финансовым вопросам, использующие отчетность в целях выработки рекомендаций своим клиентам относительно помещения их капиталов в ту или иную компанию;</w:t>
      </w:r>
    </w:p>
    <w:p w:rsidR="0022308D" w:rsidRDefault="0022308D">
      <w:pPr>
        <w:pStyle w:val="21"/>
        <w:numPr>
          <w:ilvl w:val="0"/>
          <w:numId w:val="16"/>
        </w:numPr>
        <w:tabs>
          <w:tab w:val="clear" w:pos="360"/>
          <w:tab w:val="num" w:pos="993"/>
        </w:tabs>
        <w:ind w:firstLine="709"/>
      </w:pPr>
      <w:r>
        <w:t>законодательные органы и др.</w:t>
      </w:r>
    </w:p>
    <w:p w:rsidR="0022308D" w:rsidRDefault="0022308D">
      <w:pPr>
        <w:pStyle w:val="21"/>
        <w:tabs>
          <w:tab w:val="left" w:pos="993"/>
        </w:tabs>
        <w:ind w:firstLine="709"/>
      </w:pPr>
      <w:r>
        <w:t xml:space="preserve">К внутренним пользователям отчетности относятся высшее руководство организации, общее собрание участников, которые по данным отчетности определяют правильность принятых инвестиционных решений и эффективность структуры капитала,  осуществляют предварительные расчеты финансовых показателей предстоящих отчетных периодов. </w:t>
      </w:r>
    </w:p>
    <w:p w:rsidR="0022308D" w:rsidRDefault="0022308D">
      <w:pPr>
        <w:pStyle w:val="2"/>
        <w:spacing w:before="120"/>
        <w:jc w:val="center"/>
        <w:rPr>
          <w:sz w:val="26"/>
          <w:szCs w:val="26"/>
        </w:rPr>
      </w:pPr>
      <w:bookmarkStart w:id="3" w:name="_Toc500177592"/>
      <w:r>
        <w:rPr>
          <w:sz w:val="26"/>
          <w:szCs w:val="26"/>
        </w:rPr>
        <w:t>1.2 Роль финансовой отчетности в финансовом анализе</w:t>
      </w:r>
      <w:bookmarkEnd w:id="3"/>
    </w:p>
    <w:p w:rsidR="0022308D" w:rsidRDefault="0022308D">
      <w:pPr>
        <w:pStyle w:val="21"/>
      </w:pPr>
      <w:r>
        <w:t xml:space="preserve">Результаты финансово-хозяйственной деятельности организации представляют интерес для различных категорий аналитиков: управленческого персонала, представителей финансовых органов, аудиторов, налоговых инспекторов, работников банковской системы, кредиторов и т.п. Оценка результатов деятельности, как правило, осуществляется в рамках финансового анализа. Основной информационной базой такого анализа служит бухгалтерская (финансовая) отчетность. </w:t>
      </w:r>
    </w:p>
    <w:p w:rsidR="0022308D" w:rsidRDefault="0022308D">
      <w:pPr>
        <w:pStyle w:val="21"/>
      </w:pPr>
      <w:r>
        <w:t>Методика анализа финансовой отчетности основывается на знании и понимании:</w:t>
      </w:r>
    </w:p>
    <w:p w:rsidR="0022308D" w:rsidRDefault="0022308D">
      <w:pPr>
        <w:pStyle w:val="21"/>
        <w:numPr>
          <w:ilvl w:val="0"/>
          <w:numId w:val="6"/>
        </w:numPr>
        <w:tabs>
          <w:tab w:val="clear" w:pos="360"/>
          <w:tab w:val="num" w:pos="993"/>
        </w:tabs>
        <w:ind w:firstLine="709"/>
      </w:pPr>
      <w:r>
        <w:t>экономической природы статей отчетности;</w:t>
      </w:r>
    </w:p>
    <w:p w:rsidR="0022308D" w:rsidRDefault="0022308D">
      <w:pPr>
        <w:pStyle w:val="21"/>
        <w:numPr>
          <w:ilvl w:val="0"/>
          <w:numId w:val="6"/>
        </w:numPr>
        <w:tabs>
          <w:tab w:val="clear" w:pos="360"/>
          <w:tab w:val="num" w:pos="993"/>
        </w:tabs>
        <w:ind w:firstLine="709"/>
      </w:pPr>
      <w:r>
        <w:t>содержания основных аналитических взаимосвязей отчетных форм;</w:t>
      </w:r>
    </w:p>
    <w:p w:rsidR="0022308D" w:rsidRDefault="0022308D">
      <w:pPr>
        <w:pStyle w:val="21"/>
        <w:numPr>
          <w:ilvl w:val="0"/>
          <w:numId w:val="6"/>
        </w:numPr>
        <w:tabs>
          <w:tab w:val="clear" w:pos="360"/>
          <w:tab w:val="left" w:pos="993"/>
        </w:tabs>
        <w:ind w:firstLine="709"/>
      </w:pPr>
      <w:r>
        <w:t>ограничений, присущих балансу и сопутствующим отчетным формам;</w:t>
      </w:r>
    </w:p>
    <w:p w:rsidR="0022308D" w:rsidRDefault="0022308D">
      <w:pPr>
        <w:pStyle w:val="21"/>
        <w:tabs>
          <w:tab w:val="left" w:pos="993"/>
        </w:tabs>
        <w:ind w:firstLine="709"/>
      </w:pPr>
      <w:r>
        <w:rPr>
          <w:b/>
          <w:bCs/>
        </w:rPr>
        <w:t xml:space="preserve">Экономическая природа статей отчетности. </w:t>
      </w:r>
      <w:r>
        <w:t xml:space="preserve">Отчетность содержит десятки показателей, многие из которых являются комплексными. Безусловно, решающей предпосылкой качественного анализа финансового состояния коммерческой организации является понимание экономического содержания каждой статьи, ее значимости в структуре отчетной формы. </w:t>
      </w:r>
    </w:p>
    <w:p w:rsidR="0022308D" w:rsidRDefault="0022308D">
      <w:pPr>
        <w:pStyle w:val="21"/>
        <w:tabs>
          <w:tab w:val="left" w:pos="993"/>
        </w:tabs>
        <w:ind w:firstLine="709"/>
      </w:pPr>
      <w:r>
        <w:rPr>
          <w:b/>
          <w:bCs/>
        </w:rPr>
        <w:t xml:space="preserve">Основные аналитические взаимосвязи финансовой отчетности. </w:t>
      </w:r>
      <w:r>
        <w:t>Отчетность представляет собой комплекс взаимоувязанных показателей. Суть взаимосвязи состоит во взаимодополнении отчетных форм, их разделов и статей. Здесь необходимо выделить два аспекта.</w:t>
      </w:r>
    </w:p>
    <w:p w:rsidR="0022308D" w:rsidRDefault="0022308D">
      <w:pPr>
        <w:pStyle w:val="21"/>
        <w:tabs>
          <w:tab w:val="left" w:pos="993"/>
        </w:tabs>
        <w:ind w:firstLine="709"/>
      </w:pPr>
      <w:r>
        <w:t>Во-первых, логика построения отчетности определяется прежде всего необходимостью дать развернутую характеристику экономического и финансового потенциала организации и эффективности его использования. Основные формы отчетности – бухгалтерский баланс и отчет о прибылях и убытках – отражают две стороны организации как функционирующей социально-экономической системы: статическую и динамическую. Поэтому отсутствие любой из этих форм в годовом отчете существенно обеднило бы его, сделало невозможным получить полное представление о финансовом и имущественном положении организации, ее рентабельности, перспективности развития.</w:t>
      </w:r>
    </w:p>
    <w:p w:rsidR="0022308D" w:rsidRDefault="0022308D">
      <w:pPr>
        <w:pStyle w:val="21"/>
        <w:tabs>
          <w:tab w:val="left" w:pos="993"/>
        </w:tabs>
        <w:ind w:firstLine="709"/>
      </w:pPr>
      <w:r>
        <w:t>Во-вторых, многие балансовые статьи комплексные. Поэтому ряд показателей баланса, наиболее существенных для оценки имущественного и финансового положения организации, расшифровывается в сопутствующих отчетных формах.</w:t>
      </w:r>
    </w:p>
    <w:p w:rsidR="0022308D" w:rsidRDefault="0022308D">
      <w:pPr>
        <w:pStyle w:val="21"/>
        <w:tabs>
          <w:tab w:val="left" w:pos="993"/>
        </w:tabs>
        <w:ind w:firstLine="709"/>
      </w:pPr>
      <w:r>
        <w:rPr>
          <w:b/>
          <w:bCs/>
        </w:rPr>
        <w:t xml:space="preserve">Ограничения в балансе. </w:t>
      </w:r>
      <w:r>
        <w:t>Бухгалтерский баланс является наиболее информативной формой для анализа и оценки финансового состояния предприятия. Умение чтения бухгалтерского баланса дает возможность:</w:t>
      </w:r>
    </w:p>
    <w:p w:rsidR="0022308D" w:rsidRDefault="0022308D">
      <w:pPr>
        <w:pStyle w:val="21"/>
        <w:numPr>
          <w:ilvl w:val="0"/>
          <w:numId w:val="7"/>
        </w:numPr>
        <w:tabs>
          <w:tab w:val="clear" w:pos="360"/>
          <w:tab w:val="left" w:pos="993"/>
          <w:tab w:val="num" w:pos="1069"/>
        </w:tabs>
        <w:ind w:left="709" w:firstLine="0"/>
      </w:pPr>
      <w:r>
        <w:t>получить значительный объем информации о предприятии;</w:t>
      </w:r>
    </w:p>
    <w:p w:rsidR="0022308D" w:rsidRDefault="0022308D">
      <w:pPr>
        <w:pStyle w:val="21"/>
        <w:numPr>
          <w:ilvl w:val="0"/>
          <w:numId w:val="8"/>
        </w:numPr>
        <w:tabs>
          <w:tab w:val="left" w:pos="993"/>
        </w:tabs>
        <w:ind w:firstLine="709"/>
      </w:pPr>
      <w:r>
        <w:t>определить степень обеспеченности предприятия собственными оборотными средствами;</w:t>
      </w:r>
    </w:p>
    <w:p w:rsidR="0022308D" w:rsidRDefault="0022308D">
      <w:pPr>
        <w:pStyle w:val="21"/>
        <w:numPr>
          <w:ilvl w:val="0"/>
          <w:numId w:val="8"/>
        </w:numPr>
        <w:tabs>
          <w:tab w:val="left" w:pos="993"/>
        </w:tabs>
        <w:ind w:firstLine="709"/>
      </w:pPr>
      <w:r>
        <w:t>установить, за счет каких статей изменилась величина оборотных средств;</w:t>
      </w:r>
    </w:p>
    <w:p w:rsidR="0022308D" w:rsidRDefault="0022308D">
      <w:pPr>
        <w:pStyle w:val="21"/>
        <w:numPr>
          <w:ilvl w:val="0"/>
          <w:numId w:val="8"/>
        </w:numPr>
        <w:tabs>
          <w:tab w:val="left" w:pos="993"/>
        </w:tabs>
        <w:ind w:firstLine="709"/>
      </w:pPr>
      <w:r>
        <w:t>оценить общее финансовое состояние даже без расчетов аналитических показателей.</w:t>
      </w:r>
    </w:p>
    <w:p w:rsidR="0022308D" w:rsidRDefault="0022308D">
      <w:pPr>
        <w:pStyle w:val="21"/>
        <w:tabs>
          <w:tab w:val="left" w:pos="993"/>
        </w:tabs>
        <w:ind w:firstLine="709"/>
        <w:rPr>
          <w:i/>
          <w:iCs/>
        </w:rPr>
      </w:pPr>
      <w:r>
        <w:t xml:space="preserve">Значение бухгалтерского баланса так велико, что анализ финансового состояния нередко называют анализом баланса. </w:t>
      </w:r>
      <w:r>
        <w:rPr>
          <w:i/>
          <w:iCs/>
        </w:rPr>
        <w:t>Основные направления анализа для реальной оценки финансового состояния:</w:t>
      </w:r>
    </w:p>
    <w:p w:rsidR="0022308D" w:rsidRDefault="0022308D">
      <w:pPr>
        <w:pStyle w:val="21"/>
        <w:tabs>
          <w:tab w:val="left" w:pos="993"/>
        </w:tabs>
        <w:ind w:firstLine="709"/>
      </w:pPr>
      <w:r>
        <w:t xml:space="preserve">1.Анализ финансового состояния на краткосрочную перспективу заключается в расчете показателей оценки удовлетворенности структуры баланса. </w:t>
      </w:r>
    </w:p>
    <w:p w:rsidR="0022308D" w:rsidRDefault="0022308D">
      <w:pPr>
        <w:pStyle w:val="21"/>
        <w:tabs>
          <w:tab w:val="left" w:pos="993"/>
        </w:tabs>
        <w:ind w:firstLine="709"/>
      </w:pPr>
      <w:r>
        <w:t>2.Анализ финансового состояния на долгосрочную перспективу исследует структуру средств, степень зависимости организации от  инвесторов и кредиторов.</w:t>
      </w:r>
    </w:p>
    <w:p w:rsidR="0022308D" w:rsidRDefault="0022308D">
      <w:pPr>
        <w:pStyle w:val="21"/>
        <w:tabs>
          <w:tab w:val="left" w:pos="993"/>
        </w:tabs>
        <w:ind w:firstLine="709"/>
        <w:rPr>
          <w:i/>
          <w:iCs/>
        </w:rPr>
      </w:pPr>
      <w:r>
        <w:rPr>
          <w:i/>
          <w:iCs/>
        </w:rPr>
        <w:t>Для оценки реальных аналитических возможностей необходимо знать ограничения информации, представленной в балансе:</w:t>
      </w:r>
    </w:p>
    <w:p w:rsidR="0022308D" w:rsidRDefault="0022308D">
      <w:pPr>
        <w:pStyle w:val="21"/>
        <w:tabs>
          <w:tab w:val="left" w:pos="993"/>
        </w:tabs>
        <w:ind w:firstLine="709"/>
      </w:pPr>
      <w:r>
        <w:t>1. Баланс историчен по своей природе: он фиксирует сложившиеся к моменту его составления итоги хозяйственных операций.</w:t>
      </w:r>
    </w:p>
    <w:p w:rsidR="0022308D" w:rsidRDefault="0022308D">
      <w:pPr>
        <w:pStyle w:val="21"/>
        <w:tabs>
          <w:tab w:val="left" w:pos="993"/>
        </w:tabs>
        <w:ind w:firstLine="709"/>
      </w:pPr>
      <w:r>
        <w:t>2. Баланс отражает статус-кво в средствах организации, то есть отвечает на вопрос, что представляет собой организация на данный момент, но не отвечает на вопрос, в результате чего сложилось такое положение.</w:t>
      </w:r>
    </w:p>
    <w:p w:rsidR="0022308D" w:rsidRDefault="0022308D">
      <w:pPr>
        <w:pStyle w:val="21"/>
        <w:tabs>
          <w:tab w:val="left" w:pos="993"/>
        </w:tabs>
        <w:ind w:firstLine="709"/>
      </w:pPr>
      <w:r>
        <w:t xml:space="preserve">3. Одно из существенных ограничений баланса – заложенный в нем принцип использования цен приобретения. Все основные и оборотные средства оцениваются по текущим ценам их приобретения, что в условиях инфляции, роста цен, низкой обновляемости основных средств существенно искажает реальную оценку имущества в целом. </w:t>
      </w:r>
    </w:p>
    <w:p w:rsidR="0022308D" w:rsidRDefault="0022308D">
      <w:pPr>
        <w:pStyle w:val="21"/>
        <w:tabs>
          <w:tab w:val="left" w:pos="993"/>
        </w:tabs>
        <w:ind w:firstLine="709"/>
      </w:pPr>
      <w:r>
        <w:t xml:space="preserve">Таким образом, можно сформулировать </w:t>
      </w:r>
      <w:r>
        <w:rPr>
          <w:i/>
          <w:iCs/>
        </w:rPr>
        <w:t>роль финансовой отчетности в</w:t>
      </w:r>
      <w:r>
        <w:t xml:space="preserve"> </w:t>
      </w:r>
      <w:r>
        <w:rPr>
          <w:i/>
          <w:iCs/>
        </w:rPr>
        <w:t>финансовом анализе</w:t>
      </w:r>
      <w:r>
        <w:t>: разные группы пользователей этой отчетности добиваются одной общей задачи – провести анализ финансового состояния предприятия и на его основе достичь поставленных целей:</w:t>
      </w:r>
    </w:p>
    <w:p w:rsidR="0022308D" w:rsidRDefault="0022308D">
      <w:pPr>
        <w:pStyle w:val="21"/>
        <w:numPr>
          <w:ilvl w:val="0"/>
          <w:numId w:val="12"/>
        </w:numPr>
        <w:tabs>
          <w:tab w:val="left" w:pos="993"/>
        </w:tabs>
        <w:ind w:firstLine="709"/>
      </w:pPr>
      <w:r>
        <w:t>руководители получают представление о месте своего предприятия в системе аналогичных предприятий, правильности выбранного стратегического курса, сравнительных характеристик эффективности использования ресурсов и принятии решений самых разнообразных вопросов по управлению предприятием;</w:t>
      </w:r>
    </w:p>
    <w:p w:rsidR="0022308D" w:rsidRDefault="0022308D">
      <w:pPr>
        <w:pStyle w:val="21"/>
        <w:numPr>
          <w:ilvl w:val="0"/>
          <w:numId w:val="12"/>
        </w:numPr>
        <w:tabs>
          <w:tab w:val="left" w:pos="993"/>
        </w:tabs>
        <w:ind w:firstLine="709"/>
      </w:pPr>
      <w:r>
        <w:t>аудиторы получают подсказку для выбора правильного решения в процессе аудирования, планирования своей проверки, выявления слабых мест в системе учета и зон возможных преднамеренных и непреднамеренных ошибок во внешней отчетности клиента;</w:t>
      </w:r>
    </w:p>
    <w:p w:rsidR="0022308D" w:rsidRDefault="0022308D">
      <w:pPr>
        <w:pStyle w:val="21"/>
        <w:numPr>
          <w:ilvl w:val="0"/>
          <w:numId w:val="12"/>
        </w:numPr>
        <w:tabs>
          <w:tab w:val="left" w:pos="993"/>
        </w:tabs>
        <w:ind w:firstLine="709"/>
      </w:pPr>
      <w:r>
        <w:t>аналитики определяют направления финансового анализа.</w:t>
      </w:r>
    </w:p>
    <w:p w:rsidR="0022308D" w:rsidRDefault="0022308D">
      <w:pPr>
        <w:pStyle w:val="1"/>
        <w:jc w:val="center"/>
        <w:rPr>
          <w:sz w:val="26"/>
          <w:szCs w:val="26"/>
        </w:rPr>
      </w:pPr>
      <w:bookmarkStart w:id="4" w:name="_Toc500177593"/>
      <w:r>
        <w:rPr>
          <w:sz w:val="26"/>
          <w:szCs w:val="26"/>
        </w:rPr>
        <w:t>2. Анализ финансового состояния.</w:t>
      </w:r>
      <w:bookmarkEnd w:id="4"/>
    </w:p>
    <w:p w:rsidR="0022308D" w:rsidRDefault="0022308D">
      <w:pPr>
        <w:pStyle w:val="2"/>
        <w:jc w:val="center"/>
        <w:rPr>
          <w:sz w:val="26"/>
          <w:szCs w:val="26"/>
        </w:rPr>
      </w:pPr>
      <w:bookmarkStart w:id="5" w:name="_Toc500177594"/>
      <w:r>
        <w:rPr>
          <w:sz w:val="26"/>
          <w:szCs w:val="26"/>
        </w:rPr>
        <w:t>2.1 Методика анализа ликвидности и платежеспособности.</w:t>
      </w:r>
      <w:bookmarkEnd w:id="5"/>
    </w:p>
    <w:p w:rsidR="0022308D" w:rsidRDefault="0022308D">
      <w:pPr>
        <w:spacing w:line="360" w:lineRule="auto"/>
        <w:ind w:firstLine="720"/>
        <w:jc w:val="both"/>
        <w:rPr>
          <w:sz w:val="26"/>
          <w:szCs w:val="26"/>
        </w:rPr>
      </w:pPr>
      <w:r>
        <w:rPr>
          <w:sz w:val="26"/>
          <w:szCs w:val="26"/>
        </w:rPr>
        <w:t>Финансовое состояние организации можно оценивать с точки зрения краткосрочной и долгосрочной перспективы. В первом случае критерий оценки финансового состояния – ликвидность и платежеспособность организации.</w:t>
      </w:r>
    </w:p>
    <w:p w:rsidR="0022308D" w:rsidRDefault="0022308D">
      <w:pPr>
        <w:spacing w:line="360" w:lineRule="auto"/>
        <w:ind w:firstLine="720"/>
        <w:jc w:val="both"/>
        <w:rPr>
          <w:sz w:val="26"/>
          <w:szCs w:val="26"/>
          <w:lang w:val="en-US"/>
        </w:rPr>
      </w:pPr>
      <w:r>
        <w:rPr>
          <w:sz w:val="26"/>
          <w:szCs w:val="26"/>
        </w:rPr>
        <w:t xml:space="preserve">В ряде работ отечественных специалистов понятия ликвидности и платежеспособности нередко отождествляются, хотя вряд ли это оправдано. Под </w:t>
      </w:r>
      <w:r>
        <w:rPr>
          <w:b/>
          <w:bCs/>
          <w:sz w:val="26"/>
          <w:szCs w:val="26"/>
        </w:rPr>
        <w:t>ликвидностью</w:t>
      </w:r>
      <w:r>
        <w:rPr>
          <w:sz w:val="26"/>
          <w:szCs w:val="26"/>
        </w:rPr>
        <w:t xml:space="preserve"> какого-либо актива следует понимать способность его трансформироваться в денежные средства, а степень ликвидности определяется продолжительностью временного периода, в течение которого эта трансформация может быть осуществлена. Чем короче период, тем выше ликвидность данного актива. </w:t>
      </w:r>
      <w:r>
        <w:rPr>
          <w:b/>
          <w:bCs/>
          <w:sz w:val="26"/>
          <w:szCs w:val="26"/>
        </w:rPr>
        <w:t xml:space="preserve">Ликвидность баланса </w:t>
      </w:r>
      <w:r>
        <w:rPr>
          <w:sz w:val="26"/>
          <w:szCs w:val="26"/>
        </w:rPr>
        <w:t>определяется как степень покрытия обязательств организации ее активами, срок превращения которых в деньги соответствует сроку погашения обязательств.</w:t>
      </w:r>
      <w:r>
        <w:rPr>
          <w:sz w:val="26"/>
          <w:szCs w:val="26"/>
          <w:lang w:val="en-US"/>
        </w:rPr>
        <w:t xml:space="preserve"> [5</w:t>
      </w:r>
      <w:r>
        <w:rPr>
          <w:sz w:val="26"/>
          <w:szCs w:val="26"/>
        </w:rPr>
        <w:t>, стр. 79</w:t>
      </w:r>
      <w:r>
        <w:rPr>
          <w:sz w:val="26"/>
          <w:szCs w:val="26"/>
          <w:lang w:val="en-US"/>
        </w:rPr>
        <w:t>]</w:t>
      </w:r>
    </w:p>
    <w:p w:rsidR="0022308D" w:rsidRDefault="0022308D">
      <w:pPr>
        <w:spacing w:line="360" w:lineRule="auto"/>
        <w:ind w:firstLine="720"/>
        <w:jc w:val="both"/>
        <w:rPr>
          <w:sz w:val="26"/>
          <w:szCs w:val="26"/>
        </w:rPr>
      </w:pPr>
      <w:r>
        <w:rPr>
          <w:sz w:val="26"/>
          <w:szCs w:val="26"/>
        </w:rPr>
        <w:t xml:space="preserve">Говоря о ликвидности организации, имеют в виду наличие у нее оборотных средств в размере, теоретически достаточным для погашения краткосрочных обязательств, хотя бы и с нарушением сроков погашения. Количественно ликвидность характеризуется специальными относительными показателями – коэффициентами ликвидности. </w:t>
      </w:r>
    </w:p>
    <w:p w:rsidR="0022308D" w:rsidRDefault="0022308D">
      <w:pPr>
        <w:spacing w:line="360" w:lineRule="auto"/>
        <w:ind w:firstLine="720"/>
        <w:jc w:val="both"/>
        <w:rPr>
          <w:sz w:val="26"/>
          <w:szCs w:val="26"/>
        </w:rPr>
      </w:pPr>
      <w:r>
        <w:rPr>
          <w:b/>
          <w:bCs/>
          <w:sz w:val="26"/>
          <w:szCs w:val="26"/>
        </w:rPr>
        <w:t>Платежеспособность</w:t>
      </w:r>
      <w:r>
        <w:rPr>
          <w:sz w:val="26"/>
          <w:szCs w:val="26"/>
        </w:rPr>
        <w:t xml:space="preserve"> означает наличие у организации денежных средств и их эквивалентов, достаточных для расчетов по кредиторской задолженности, требующей немедленного погашения. Таким образом, основными признаками платежеспособности являются: а) наличие в достаточном объеме средств на расчетном счете; б) отсутствие просроченной кредиторской задолженности.</w:t>
      </w:r>
      <w:r>
        <w:rPr>
          <w:sz w:val="26"/>
          <w:szCs w:val="26"/>
          <w:lang w:val="en-US"/>
        </w:rPr>
        <w:t xml:space="preserve"> [9, стр.229]</w:t>
      </w:r>
    </w:p>
    <w:p w:rsidR="0022308D" w:rsidRDefault="0022308D">
      <w:pPr>
        <w:spacing w:line="360" w:lineRule="auto"/>
        <w:ind w:firstLine="720"/>
        <w:jc w:val="both"/>
        <w:rPr>
          <w:sz w:val="26"/>
          <w:szCs w:val="26"/>
        </w:rPr>
      </w:pPr>
      <w:r>
        <w:rPr>
          <w:sz w:val="26"/>
          <w:szCs w:val="26"/>
        </w:rPr>
        <w:t>Очевидно, что ликвидность и платежеспособность не тождественны друг другу.</w:t>
      </w:r>
    </w:p>
    <w:p w:rsidR="0022308D" w:rsidRDefault="0022308D">
      <w:pPr>
        <w:pStyle w:val="3"/>
        <w:rPr>
          <w:rFonts w:ascii="Arial" w:hAnsi="Arial" w:cs="Arial"/>
          <w:b/>
          <w:bCs/>
        </w:rPr>
      </w:pPr>
      <w:r>
        <w:rPr>
          <w:rFonts w:ascii="Arial" w:hAnsi="Arial" w:cs="Arial"/>
          <w:b/>
          <w:bCs/>
        </w:rPr>
        <w:t>Анализ ликвидности баланса.</w:t>
      </w:r>
    </w:p>
    <w:p w:rsidR="0022308D" w:rsidRDefault="0022308D">
      <w:pPr>
        <w:spacing w:line="360" w:lineRule="auto"/>
        <w:ind w:firstLine="720"/>
        <w:jc w:val="both"/>
        <w:rPr>
          <w:sz w:val="26"/>
          <w:szCs w:val="26"/>
        </w:rPr>
      </w:pPr>
      <w:r>
        <w:rPr>
          <w:sz w:val="26"/>
          <w:szCs w:val="26"/>
        </w:rPr>
        <w:t xml:space="preserve">Анализ ликвидности баланса заключается в </w:t>
      </w:r>
      <w:r>
        <w:rPr>
          <w:i/>
          <w:iCs/>
          <w:sz w:val="26"/>
          <w:szCs w:val="26"/>
        </w:rPr>
        <w:t xml:space="preserve">сравнении средств по активу, </w:t>
      </w:r>
      <w:r>
        <w:rPr>
          <w:sz w:val="26"/>
          <w:szCs w:val="26"/>
        </w:rPr>
        <w:t xml:space="preserve">сгруппированных по степени их ликвидности и расположенных в порядке убывания ликвидности, с </w:t>
      </w:r>
      <w:r>
        <w:rPr>
          <w:i/>
          <w:iCs/>
          <w:sz w:val="26"/>
          <w:szCs w:val="26"/>
        </w:rPr>
        <w:t xml:space="preserve">обязательствами по пассиву, </w:t>
      </w:r>
      <w:r>
        <w:rPr>
          <w:sz w:val="26"/>
          <w:szCs w:val="26"/>
        </w:rPr>
        <w:t xml:space="preserve"> сгруппированными по срокам их погашения и расположенными в порядке возрастания сроков. </w:t>
      </w:r>
    </w:p>
    <w:p w:rsidR="0022308D" w:rsidRDefault="0022308D">
      <w:pPr>
        <w:spacing w:line="360" w:lineRule="auto"/>
        <w:ind w:firstLine="720"/>
        <w:jc w:val="both"/>
        <w:rPr>
          <w:sz w:val="26"/>
          <w:szCs w:val="26"/>
        </w:rPr>
      </w:pPr>
      <w:r>
        <w:rPr>
          <w:sz w:val="26"/>
          <w:szCs w:val="26"/>
        </w:rPr>
        <w:t>В зависимости от степени ликвидности, то есть скорости превращения в денежные средства, активы предприятия разделяются на следующие группы.</w:t>
      </w:r>
    </w:p>
    <w:p w:rsidR="0022308D" w:rsidRDefault="0022308D">
      <w:pPr>
        <w:spacing w:line="360" w:lineRule="auto"/>
        <w:ind w:firstLine="720"/>
        <w:jc w:val="both"/>
        <w:rPr>
          <w:sz w:val="26"/>
          <w:szCs w:val="26"/>
        </w:rPr>
      </w:pPr>
      <w:r>
        <w:rPr>
          <w:b/>
          <w:bCs/>
          <w:sz w:val="26"/>
          <w:szCs w:val="26"/>
        </w:rPr>
        <w:t xml:space="preserve">А1. </w:t>
      </w:r>
      <w:r>
        <w:rPr>
          <w:i/>
          <w:iCs/>
          <w:sz w:val="26"/>
          <w:szCs w:val="26"/>
        </w:rPr>
        <w:t xml:space="preserve">Наиболее ликвидные активы – </w:t>
      </w:r>
      <w:r>
        <w:rPr>
          <w:sz w:val="26"/>
          <w:szCs w:val="26"/>
        </w:rPr>
        <w:t>к ним относятся все статьи денежных средств предприятия и краткосрочные финансовые вложения (ценные бумаги). Данная группа рассчитывается следующим образом:  А1 = стр.250 + стр.260</w:t>
      </w:r>
    </w:p>
    <w:p w:rsidR="0022308D" w:rsidRDefault="0022308D">
      <w:pPr>
        <w:spacing w:line="360" w:lineRule="auto"/>
        <w:ind w:firstLine="720"/>
        <w:jc w:val="both"/>
        <w:rPr>
          <w:sz w:val="26"/>
          <w:szCs w:val="26"/>
        </w:rPr>
      </w:pPr>
      <w:r>
        <w:rPr>
          <w:b/>
          <w:bCs/>
          <w:sz w:val="26"/>
          <w:szCs w:val="26"/>
        </w:rPr>
        <w:t xml:space="preserve">А2. </w:t>
      </w:r>
      <w:r>
        <w:rPr>
          <w:i/>
          <w:iCs/>
          <w:sz w:val="26"/>
          <w:szCs w:val="26"/>
        </w:rPr>
        <w:t xml:space="preserve">Быстрореализуемые активы – </w:t>
      </w:r>
      <w:r>
        <w:rPr>
          <w:sz w:val="26"/>
          <w:szCs w:val="26"/>
        </w:rPr>
        <w:t>активы, для обращения которых в наличные средства требуется определенное время. Сюда включают дебиторскую задолженность, платежи по которой ожидаются в течение 12 месяцев после отчетной даты.</w:t>
      </w:r>
    </w:p>
    <w:p w:rsidR="0022308D" w:rsidRDefault="0022308D">
      <w:pPr>
        <w:pStyle w:val="3"/>
      </w:pPr>
      <w:r>
        <w:t>А2 = стр.240</w:t>
      </w:r>
    </w:p>
    <w:p w:rsidR="0022308D" w:rsidRDefault="0022308D">
      <w:pPr>
        <w:spacing w:line="360" w:lineRule="auto"/>
        <w:ind w:firstLine="720"/>
        <w:jc w:val="both"/>
        <w:rPr>
          <w:sz w:val="26"/>
          <w:szCs w:val="26"/>
        </w:rPr>
      </w:pPr>
      <w:r>
        <w:rPr>
          <w:b/>
          <w:bCs/>
          <w:sz w:val="26"/>
          <w:szCs w:val="26"/>
        </w:rPr>
        <w:t xml:space="preserve">А3. </w:t>
      </w:r>
      <w:r>
        <w:rPr>
          <w:i/>
          <w:iCs/>
          <w:sz w:val="26"/>
          <w:szCs w:val="26"/>
        </w:rPr>
        <w:t xml:space="preserve">Медленнореализуемые активы – </w:t>
      </w:r>
      <w:r>
        <w:rPr>
          <w:sz w:val="26"/>
          <w:szCs w:val="26"/>
        </w:rPr>
        <w:t xml:space="preserve">наименее ликвидные активы – запасы, НДС, дебиторская задолженность (платежи, по которой ожидаются более, чем через 12 месяцев после отчетной даты) и прочие оборотные активы. </w:t>
      </w:r>
    </w:p>
    <w:p w:rsidR="0022308D" w:rsidRDefault="0022308D">
      <w:pPr>
        <w:pStyle w:val="3"/>
      </w:pPr>
      <w:r>
        <w:t>А3 = стр.210 + стр.220 + стр.230 + стр.270</w:t>
      </w:r>
    </w:p>
    <w:p w:rsidR="0022308D" w:rsidRDefault="0022308D">
      <w:pPr>
        <w:spacing w:line="360" w:lineRule="auto"/>
        <w:ind w:firstLine="720"/>
        <w:jc w:val="both"/>
        <w:rPr>
          <w:sz w:val="26"/>
          <w:szCs w:val="26"/>
        </w:rPr>
      </w:pPr>
      <w:r>
        <w:rPr>
          <w:b/>
          <w:bCs/>
          <w:sz w:val="26"/>
          <w:szCs w:val="26"/>
        </w:rPr>
        <w:t xml:space="preserve">А4. </w:t>
      </w:r>
      <w:r>
        <w:rPr>
          <w:i/>
          <w:iCs/>
          <w:sz w:val="26"/>
          <w:szCs w:val="26"/>
        </w:rPr>
        <w:t xml:space="preserve">Труднореализуемые активы – </w:t>
      </w:r>
      <w:r>
        <w:rPr>
          <w:sz w:val="26"/>
          <w:szCs w:val="26"/>
        </w:rPr>
        <w:t>активы, которые предназначены для использования в хозяйственной деятельности в течение относительно продолжительного периода времени. В эту группу включают внеоборотные активы.</w:t>
      </w:r>
    </w:p>
    <w:p w:rsidR="0022308D" w:rsidRDefault="0022308D">
      <w:pPr>
        <w:pStyle w:val="3"/>
      </w:pPr>
      <w:r>
        <w:t>А4 = стр.190</w:t>
      </w:r>
    </w:p>
    <w:p w:rsidR="0022308D" w:rsidRDefault="0022308D">
      <w:pPr>
        <w:spacing w:line="360" w:lineRule="auto"/>
        <w:ind w:firstLine="720"/>
        <w:jc w:val="both"/>
        <w:rPr>
          <w:sz w:val="26"/>
          <w:szCs w:val="26"/>
        </w:rPr>
      </w:pPr>
      <w:r>
        <w:rPr>
          <w:sz w:val="26"/>
          <w:szCs w:val="26"/>
        </w:rPr>
        <w:t>Первые три группы активов (наиболее ликвидные активы, быстрореализуемые и медленнореализуемые активы) в течение текущего хозяйственного периода могут постоянно меняться и относятся к текущим активам фирмы. Текущие активы более ликвидные, чем остальное имущество фирмы.</w:t>
      </w:r>
    </w:p>
    <w:p w:rsidR="0022308D" w:rsidRDefault="0022308D">
      <w:pPr>
        <w:spacing w:line="360" w:lineRule="auto"/>
        <w:ind w:firstLine="720"/>
        <w:jc w:val="both"/>
        <w:rPr>
          <w:sz w:val="26"/>
          <w:szCs w:val="26"/>
        </w:rPr>
      </w:pPr>
      <w:r>
        <w:rPr>
          <w:sz w:val="26"/>
          <w:szCs w:val="26"/>
        </w:rPr>
        <w:t>Пассивы баланса группируются по степени срочности их оплаты.</w:t>
      </w:r>
    </w:p>
    <w:p w:rsidR="0022308D" w:rsidRDefault="0022308D">
      <w:pPr>
        <w:spacing w:line="360" w:lineRule="auto"/>
        <w:ind w:firstLine="720"/>
        <w:jc w:val="both"/>
        <w:rPr>
          <w:sz w:val="26"/>
          <w:szCs w:val="26"/>
        </w:rPr>
      </w:pPr>
      <w:r>
        <w:rPr>
          <w:b/>
          <w:bCs/>
          <w:sz w:val="26"/>
          <w:szCs w:val="26"/>
        </w:rPr>
        <w:t xml:space="preserve">П1. </w:t>
      </w:r>
      <w:r>
        <w:rPr>
          <w:i/>
          <w:iCs/>
          <w:sz w:val="26"/>
          <w:szCs w:val="26"/>
        </w:rPr>
        <w:t xml:space="preserve">Наиболее срочные обязательства – </w:t>
      </w:r>
      <w:r>
        <w:rPr>
          <w:sz w:val="26"/>
          <w:szCs w:val="26"/>
        </w:rPr>
        <w:t>к ним относится кредиторская задолженность.                              П1 = стр.620</w:t>
      </w:r>
    </w:p>
    <w:p w:rsidR="0022308D" w:rsidRDefault="0022308D">
      <w:pPr>
        <w:spacing w:line="360" w:lineRule="auto"/>
        <w:ind w:firstLine="720"/>
        <w:jc w:val="both"/>
        <w:rPr>
          <w:sz w:val="26"/>
          <w:szCs w:val="26"/>
        </w:rPr>
      </w:pPr>
      <w:r>
        <w:rPr>
          <w:b/>
          <w:bCs/>
          <w:sz w:val="26"/>
          <w:szCs w:val="26"/>
        </w:rPr>
        <w:t xml:space="preserve">П2. </w:t>
      </w:r>
      <w:r>
        <w:rPr>
          <w:i/>
          <w:iCs/>
          <w:sz w:val="26"/>
          <w:szCs w:val="26"/>
        </w:rPr>
        <w:t xml:space="preserve">Краткосрочные пассивы – </w:t>
      </w:r>
      <w:r>
        <w:rPr>
          <w:sz w:val="26"/>
          <w:szCs w:val="26"/>
        </w:rPr>
        <w:t>это краткосрочные заемные средства, прочие краткосрочные пассивы, расчеты по дивидендам.</w:t>
      </w:r>
    </w:p>
    <w:p w:rsidR="0022308D" w:rsidRDefault="0022308D">
      <w:pPr>
        <w:pStyle w:val="3"/>
      </w:pPr>
      <w:r>
        <w:t>П2 = стр.610 + стр.630 + стр.660</w:t>
      </w:r>
    </w:p>
    <w:p w:rsidR="0022308D" w:rsidRDefault="0022308D">
      <w:pPr>
        <w:spacing w:line="360" w:lineRule="auto"/>
        <w:ind w:firstLine="720"/>
        <w:jc w:val="both"/>
        <w:rPr>
          <w:sz w:val="26"/>
          <w:szCs w:val="26"/>
        </w:rPr>
      </w:pPr>
      <w:r>
        <w:rPr>
          <w:b/>
          <w:bCs/>
          <w:sz w:val="26"/>
          <w:szCs w:val="26"/>
        </w:rPr>
        <w:t xml:space="preserve">П3. </w:t>
      </w:r>
      <w:r>
        <w:rPr>
          <w:i/>
          <w:iCs/>
          <w:sz w:val="26"/>
          <w:szCs w:val="26"/>
        </w:rPr>
        <w:t xml:space="preserve">Долгосрочные пассивы – </w:t>
      </w:r>
      <w:r>
        <w:rPr>
          <w:sz w:val="26"/>
          <w:szCs w:val="26"/>
        </w:rPr>
        <w:t>долгосрочные заемные кредиты банков и прочие долгосрочные пассивы.                  П3 = стр.590</w:t>
      </w:r>
    </w:p>
    <w:p w:rsidR="0022308D" w:rsidRDefault="0022308D">
      <w:pPr>
        <w:spacing w:line="360" w:lineRule="auto"/>
        <w:ind w:firstLine="720"/>
        <w:jc w:val="both"/>
        <w:rPr>
          <w:sz w:val="26"/>
          <w:szCs w:val="26"/>
          <w:lang w:val="en-US"/>
        </w:rPr>
      </w:pPr>
      <w:r>
        <w:rPr>
          <w:b/>
          <w:bCs/>
          <w:sz w:val="26"/>
          <w:szCs w:val="26"/>
        </w:rPr>
        <w:t xml:space="preserve">П4. </w:t>
      </w:r>
      <w:r>
        <w:rPr>
          <w:i/>
          <w:iCs/>
          <w:sz w:val="26"/>
          <w:szCs w:val="26"/>
        </w:rPr>
        <w:t xml:space="preserve">Постоянные пассивы – </w:t>
      </w:r>
      <w:r>
        <w:rPr>
          <w:sz w:val="26"/>
          <w:szCs w:val="26"/>
        </w:rPr>
        <w:t>статьи 3 раздела баланса «Капитал и резервы» за минусом статей убытков (если они есть) и отдельные статьи 5 раздела баланса, не вошедшие в предыдущие группы: «Доходы будущих периодов», «Фонды потребления» и «Резервы предстоящих расходов и платежей».</w:t>
      </w:r>
      <w:r>
        <w:rPr>
          <w:sz w:val="26"/>
          <w:szCs w:val="26"/>
          <w:lang w:val="en-US"/>
        </w:rPr>
        <w:t>[18</w:t>
      </w:r>
      <w:r>
        <w:rPr>
          <w:sz w:val="26"/>
          <w:szCs w:val="26"/>
        </w:rPr>
        <w:t>, стр.64</w:t>
      </w:r>
      <w:r>
        <w:rPr>
          <w:sz w:val="26"/>
          <w:szCs w:val="26"/>
          <w:lang w:val="en-US"/>
        </w:rPr>
        <w:t>]</w:t>
      </w:r>
    </w:p>
    <w:p w:rsidR="0022308D" w:rsidRDefault="0022308D">
      <w:pPr>
        <w:spacing w:line="360" w:lineRule="auto"/>
        <w:ind w:firstLine="720"/>
        <w:jc w:val="center"/>
        <w:rPr>
          <w:sz w:val="26"/>
          <w:szCs w:val="26"/>
          <w:lang w:val="en-US"/>
        </w:rPr>
      </w:pPr>
      <w:r>
        <w:rPr>
          <w:sz w:val="26"/>
          <w:szCs w:val="26"/>
        </w:rPr>
        <w:t xml:space="preserve">П4 = стр.490 </w:t>
      </w:r>
      <w:r>
        <w:rPr>
          <w:sz w:val="26"/>
          <w:szCs w:val="26"/>
          <w:lang w:val="en-US"/>
        </w:rPr>
        <w:t>[</w:t>
      </w:r>
      <w:r>
        <w:rPr>
          <w:sz w:val="26"/>
          <w:szCs w:val="26"/>
        </w:rPr>
        <w:t>-стр.465 – стр.475</w:t>
      </w:r>
      <w:r>
        <w:rPr>
          <w:sz w:val="26"/>
          <w:szCs w:val="26"/>
          <w:lang w:val="en-US"/>
        </w:rPr>
        <w:t>] + стр.640 + стр.650</w:t>
      </w:r>
    </w:p>
    <w:p w:rsidR="0022308D" w:rsidRDefault="0022308D">
      <w:pPr>
        <w:spacing w:line="360" w:lineRule="auto"/>
        <w:ind w:firstLine="720"/>
        <w:jc w:val="both"/>
        <w:rPr>
          <w:b/>
          <w:bCs/>
          <w:sz w:val="26"/>
          <w:szCs w:val="26"/>
        </w:rPr>
      </w:pPr>
      <w:r>
        <w:rPr>
          <w:sz w:val="26"/>
          <w:szCs w:val="26"/>
        </w:rPr>
        <w:t xml:space="preserve">Краткосрочные и долгосрочные обязательства,  вместе взятые, называют </w:t>
      </w:r>
      <w:r>
        <w:rPr>
          <w:b/>
          <w:bCs/>
          <w:sz w:val="26"/>
          <w:szCs w:val="26"/>
        </w:rPr>
        <w:t xml:space="preserve">внешними обязательствами. </w:t>
      </w:r>
    </w:p>
    <w:p w:rsidR="0022308D" w:rsidRDefault="0022308D">
      <w:pPr>
        <w:spacing w:line="360" w:lineRule="auto"/>
        <w:ind w:firstLine="720"/>
        <w:jc w:val="both"/>
        <w:rPr>
          <w:sz w:val="26"/>
          <w:szCs w:val="26"/>
        </w:rPr>
      </w:pPr>
      <w:r>
        <w:rPr>
          <w:sz w:val="26"/>
          <w:szCs w:val="26"/>
        </w:rPr>
        <w:t xml:space="preserve">Фирма  считается ликвидной, если ее текущие активы превышают ее краткосрочные обязательства. Фирма может быть ликвидной в большей или меньшей степени. Для определения ликвидности баланса следует сопоставить итоги по каждой группе активов и пассивов. Баланс считается абсолютно ликвидным, если имеют место следующие соотношения:       </w:t>
      </w:r>
    </w:p>
    <w:p w:rsidR="0022308D" w:rsidRDefault="0022308D">
      <w:pPr>
        <w:spacing w:line="360" w:lineRule="auto"/>
        <w:ind w:firstLine="720"/>
        <w:jc w:val="center"/>
        <w:rPr>
          <w:lang w:val="en-US"/>
        </w:rPr>
      </w:pPr>
      <w:r>
        <w:rPr>
          <w:sz w:val="26"/>
          <w:szCs w:val="26"/>
        </w:rPr>
        <w:t>А1</w:t>
      </w:r>
      <w:r>
        <w:rPr>
          <w:sz w:val="26"/>
          <w:szCs w:val="26"/>
          <w:lang w:val="en-US"/>
        </w:rPr>
        <w:t>&gt;=</w:t>
      </w:r>
      <w:r>
        <w:rPr>
          <w:sz w:val="26"/>
          <w:szCs w:val="26"/>
        </w:rPr>
        <w:t>П1; А1</w:t>
      </w:r>
      <w:r>
        <w:rPr>
          <w:sz w:val="26"/>
          <w:szCs w:val="26"/>
          <w:lang w:val="en-US"/>
        </w:rPr>
        <w:t>&gt;=</w:t>
      </w:r>
      <w:r>
        <w:rPr>
          <w:sz w:val="26"/>
          <w:szCs w:val="26"/>
        </w:rPr>
        <w:t>П2;  А3</w:t>
      </w:r>
      <w:r>
        <w:rPr>
          <w:sz w:val="26"/>
          <w:szCs w:val="26"/>
          <w:lang w:val="en-US"/>
        </w:rPr>
        <w:t>&gt;=</w:t>
      </w:r>
      <w:r>
        <w:rPr>
          <w:sz w:val="26"/>
          <w:szCs w:val="26"/>
        </w:rPr>
        <w:t>П3; А4</w:t>
      </w:r>
      <w:r>
        <w:rPr>
          <w:sz w:val="26"/>
          <w:szCs w:val="26"/>
          <w:lang w:val="en-US"/>
        </w:rPr>
        <w:t>&lt;=</w:t>
      </w:r>
      <w:r>
        <w:rPr>
          <w:sz w:val="26"/>
          <w:szCs w:val="26"/>
        </w:rPr>
        <w:t>П4</w:t>
      </w:r>
    </w:p>
    <w:p w:rsidR="0022308D" w:rsidRDefault="0022308D">
      <w:pPr>
        <w:pStyle w:val="21"/>
      </w:pPr>
      <w:r>
        <w:t xml:space="preserve">Если выполняются первые три неравенства, то есть текущие активы превышают внешние обязательства, то обязательно выполняется последнее неравенство, которое имеет глубокий экономический смысл: наличие у фирмы собственных оборотных средств; соблюдается минимальное условие финансовой устойчивости. </w:t>
      </w:r>
    </w:p>
    <w:p w:rsidR="0022308D" w:rsidRDefault="0022308D">
      <w:pPr>
        <w:pStyle w:val="21"/>
      </w:pPr>
      <w:r>
        <w:t>Невыполнение какого-либо из первых трех неравенств свидетельствует о том, что ликвидность баланса в большей или меньшей степени отличается от абсолютной.</w:t>
      </w:r>
    </w:p>
    <w:p w:rsidR="0022308D" w:rsidRDefault="0022308D">
      <w:pPr>
        <w:pStyle w:val="21"/>
      </w:pPr>
      <w:r>
        <w:t xml:space="preserve"> Сопоставление ликвидных средств и обязательств позволяет вычислить:</w:t>
      </w:r>
    </w:p>
    <w:p w:rsidR="0022308D" w:rsidRDefault="0022308D">
      <w:pPr>
        <w:pStyle w:val="21"/>
        <w:numPr>
          <w:ilvl w:val="0"/>
          <w:numId w:val="17"/>
        </w:numPr>
        <w:tabs>
          <w:tab w:val="clear" w:pos="360"/>
          <w:tab w:val="num" w:pos="993"/>
        </w:tabs>
        <w:ind w:firstLine="709"/>
      </w:pPr>
      <w:r>
        <w:t>текущую ликвидность, которая свидетельствует о платежеспособности (+) или неплатежеспособности (-) организации на ближайший к рассматриваемому моменту промежуток времени:              ТЛ = (А1 + А2) – (П1 + П2);</w:t>
      </w:r>
    </w:p>
    <w:p w:rsidR="0022308D" w:rsidRDefault="0022308D">
      <w:pPr>
        <w:pStyle w:val="21"/>
        <w:numPr>
          <w:ilvl w:val="0"/>
          <w:numId w:val="18"/>
        </w:numPr>
        <w:tabs>
          <w:tab w:val="clear" w:pos="360"/>
          <w:tab w:val="num" w:pos="993"/>
        </w:tabs>
        <w:ind w:firstLine="709"/>
      </w:pPr>
      <w:r>
        <w:t>перспективную ликвидность – это прогноз платежеспособности на основе сравнения будущих поступлений и платежей:  ПЛ = А3 – П3.</w:t>
      </w:r>
    </w:p>
    <w:p w:rsidR="0022308D" w:rsidRDefault="0022308D">
      <w:pPr>
        <w:pStyle w:val="21"/>
        <w:ind w:firstLine="709"/>
        <w:rPr>
          <w:lang w:val="en-US"/>
        </w:rPr>
      </w:pPr>
      <w:r>
        <w:t>Анализ ликвидности баланса оформляется в виде таблицы 1.</w:t>
      </w:r>
      <w:r>
        <w:rPr>
          <w:lang w:val="en-US"/>
        </w:rPr>
        <w:t>[2</w:t>
      </w:r>
      <w:r>
        <w:t>, стр.41</w:t>
      </w:r>
      <w:r>
        <w:rPr>
          <w:lang w:val="en-US"/>
        </w:rPr>
        <w:t>]</w:t>
      </w:r>
    </w:p>
    <w:p w:rsidR="0022308D" w:rsidRDefault="0022308D">
      <w:pPr>
        <w:pStyle w:val="21"/>
        <w:ind w:firstLine="709"/>
        <w:jc w:val="right"/>
        <w:rPr>
          <w:i/>
          <w:iCs/>
        </w:rPr>
      </w:pPr>
      <w:r>
        <w:rPr>
          <w:i/>
          <w:iCs/>
        </w:rPr>
        <w:t>Таблица 1</w:t>
      </w:r>
    </w:p>
    <w:p w:rsidR="0022308D" w:rsidRDefault="0022308D">
      <w:pPr>
        <w:pStyle w:val="21"/>
        <w:ind w:firstLine="709"/>
        <w:jc w:val="center"/>
      </w:pPr>
      <w:r>
        <w:t>Анализ ликвидности баланса.</w:t>
      </w:r>
      <w:r>
        <w:rPr>
          <w:b/>
          <w:bCs/>
        </w:rPr>
        <w:t xml:space="preserve"> </w:t>
      </w:r>
      <w:r>
        <w:t>[Приложение 1]</w:t>
      </w:r>
    </w:p>
    <w:tbl>
      <w:tblPr>
        <w:tblW w:w="0" w:type="auto"/>
        <w:tblInd w:w="-45" w:type="dxa"/>
        <w:tblLayout w:type="fixed"/>
        <w:tblCellMar>
          <w:left w:w="30" w:type="dxa"/>
          <w:right w:w="30" w:type="dxa"/>
        </w:tblCellMar>
        <w:tblLook w:val="0000" w:firstRow="0" w:lastRow="0" w:firstColumn="0" w:lastColumn="0" w:noHBand="0" w:noVBand="0"/>
      </w:tblPr>
      <w:tblGrid>
        <w:gridCol w:w="1483"/>
        <w:gridCol w:w="1229"/>
        <w:gridCol w:w="1104"/>
        <w:gridCol w:w="1656"/>
        <w:gridCol w:w="1166"/>
        <w:gridCol w:w="1104"/>
        <w:gridCol w:w="1008"/>
        <w:gridCol w:w="1104"/>
      </w:tblGrid>
      <w:tr w:rsidR="0022308D">
        <w:trPr>
          <w:trHeight w:val="600"/>
          <w:tblHeader/>
        </w:trPr>
        <w:tc>
          <w:tcPr>
            <w:tcW w:w="1483" w:type="dxa"/>
            <w:tcBorders>
              <w:top w:val="single" w:sz="12" w:space="0" w:color="auto"/>
              <w:left w:val="single" w:sz="12" w:space="0" w:color="auto"/>
              <w:bottom w:val="single" w:sz="12" w:space="0" w:color="auto"/>
              <w:right w:val="single" w:sz="6" w:space="0" w:color="auto"/>
            </w:tcBorders>
            <w:vAlign w:val="center"/>
          </w:tcPr>
          <w:p w:rsidR="0022308D" w:rsidRDefault="0022308D">
            <w:pPr>
              <w:jc w:val="center"/>
              <w:rPr>
                <w:snapToGrid w:val="0"/>
                <w:color w:val="000000"/>
                <w:sz w:val="24"/>
                <w:szCs w:val="24"/>
              </w:rPr>
            </w:pPr>
            <w:r>
              <w:rPr>
                <w:snapToGrid w:val="0"/>
                <w:color w:val="000000"/>
                <w:sz w:val="24"/>
                <w:szCs w:val="24"/>
              </w:rPr>
              <w:t>Актив</w:t>
            </w:r>
          </w:p>
        </w:tc>
        <w:tc>
          <w:tcPr>
            <w:tcW w:w="1229" w:type="dxa"/>
            <w:tcBorders>
              <w:top w:val="single" w:sz="12" w:space="0" w:color="auto"/>
              <w:left w:val="single" w:sz="6" w:space="0" w:color="auto"/>
              <w:bottom w:val="single" w:sz="12" w:space="0" w:color="auto"/>
              <w:right w:val="single" w:sz="6" w:space="0" w:color="auto"/>
            </w:tcBorders>
            <w:vAlign w:val="center"/>
          </w:tcPr>
          <w:p w:rsidR="0022308D" w:rsidRDefault="0022308D">
            <w:pPr>
              <w:jc w:val="center"/>
              <w:rPr>
                <w:snapToGrid w:val="0"/>
                <w:color w:val="000000"/>
                <w:sz w:val="24"/>
                <w:szCs w:val="24"/>
              </w:rPr>
            </w:pPr>
            <w:r>
              <w:rPr>
                <w:snapToGrid w:val="0"/>
                <w:color w:val="000000"/>
                <w:sz w:val="24"/>
                <w:szCs w:val="24"/>
              </w:rPr>
              <w:t>На  начало периода</w:t>
            </w:r>
          </w:p>
        </w:tc>
        <w:tc>
          <w:tcPr>
            <w:tcW w:w="1104" w:type="dxa"/>
            <w:tcBorders>
              <w:top w:val="single" w:sz="12" w:space="0" w:color="auto"/>
              <w:left w:val="single" w:sz="6" w:space="0" w:color="auto"/>
              <w:bottom w:val="single" w:sz="12" w:space="0" w:color="auto"/>
              <w:right w:val="single" w:sz="12" w:space="0" w:color="auto"/>
            </w:tcBorders>
            <w:vAlign w:val="bottom"/>
          </w:tcPr>
          <w:p w:rsidR="0022308D" w:rsidRDefault="0022308D">
            <w:pPr>
              <w:jc w:val="center"/>
              <w:rPr>
                <w:snapToGrid w:val="0"/>
                <w:color w:val="000000"/>
                <w:sz w:val="24"/>
                <w:szCs w:val="24"/>
              </w:rPr>
            </w:pPr>
            <w:r>
              <w:rPr>
                <w:snapToGrid w:val="0"/>
                <w:color w:val="000000"/>
                <w:sz w:val="24"/>
                <w:szCs w:val="24"/>
              </w:rPr>
              <w:t>На конец периода</w:t>
            </w:r>
          </w:p>
        </w:tc>
        <w:tc>
          <w:tcPr>
            <w:tcW w:w="1656" w:type="dxa"/>
            <w:tcBorders>
              <w:top w:val="single" w:sz="12" w:space="0" w:color="auto"/>
              <w:left w:val="single" w:sz="12" w:space="0" w:color="auto"/>
              <w:bottom w:val="single" w:sz="12" w:space="0" w:color="auto"/>
              <w:right w:val="single" w:sz="6" w:space="0" w:color="auto"/>
            </w:tcBorders>
            <w:vAlign w:val="center"/>
          </w:tcPr>
          <w:p w:rsidR="0022308D" w:rsidRDefault="0022308D">
            <w:pPr>
              <w:jc w:val="center"/>
              <w:rPr>
                <w:snapToGrid w:val="0"/>
                <w:color w:val="000000"/>
                <w:sz w:val="24"/>
                <w:szCs w:val="24"/>
              </w:rPr>
            </w:pPr>
            <w:r>
              <w:rPr>
                <w:snapToGrid w:val="0"/>
                <w:color w:val="000000"/>
                <w:sz w:val="24"/>
                <w:szCs w:val="24"/>
              </w:rPr>
              <w:t>Пассив</w:t>
            </w:r>
          </w:p>
        </w:tc>
        <w:tc>
          <w:tcPr>
            <w:tcW w:w="1166" w:type="dxa"/>
            <w:tcBorders>
              <w:top w:val="single" w:sz="12" w:space="0" w:color="auto"/>
              <w:left w:val="single" w:sz="6" w:space="0" w:color="auto"/>
              <w:bottom w:val="single" w:sz="12" w:space="0" w:color="auto"/>
              <w:right w:val="single" w:sz="6" w:space="0" w:color="auto"/>
            </w:tcBorders>
            <w:vAlign w:val="bottom"/>
          </w:tcPr>
          <w:p w:rsidR="0022308D" w:rsidRDefault="0022308D">
            <w:pPr>
              <w:jc w:val="center"/>
              <w:rPr>
                <w:snapToGrid w:val="0"/>
                <w:color w:val="000000"/>
                <w:sz w:val="24"/>
                <w:szCs w:val="24"/>
              </w:rPr>
            </w:pPr>
            <w:r>
              <w:rPr>
                <w:snapToGrid w:val="0"/>
                <w:color w:val="000000"/>
                <w:sz w:val="24"/>
                <w:szCs w:val="24"/>
              </w:rPr>
              <w:t>На начало периода</w:t>
            </w:r>
          </w:p>
        </w:tc>
        <w:tc>
          <w:tcPr>
            <w:tcW w:w="1104" w:type="dxa"/>
            <w:tcBorders>
              <w:top w:val="single" w:sz="12" w:space="0" w:color="auto"/>
              <w:left w:val="single" w:sz="6" w:space="0" w:color="auto"/>
              <w:bottom w:val="single" w:sz="12" w:space="0" w:color="auto"/>
              <w:right w:val="single" w:sz="12" w:space="0" w:color="auto"/>
            </w:tcBorders>
            <w:vAlign w:val="bottom"/>
          </w:tcPr>
          <w:p w:rsidR="0022308D" w:rsidRDefault="0022308D">
            <w:pPr>
              <w:jc w:val="center"/>
              <w:rPr>
                <w:snapToGrid w:val="0"/>
                <w:color w:val="000000"/>
                <w:sz w:val="24"/>
                <w:szCs w:val="24"/>
              </w:rPr>
            </w:pPr>
            <w:r>
              <w:rPr>
                <w:snapToGrid w:val="0"/>
                <w:color w:val="000000"/>
                <w:sz w:val="24"/>
                <w:szCs w:val="24"/>
              </w:rPr>
              <w:t>На конец периода</w:t>
            </w:r>
          </w:p>
        </w:tc>
        <w:tc>
          <w:tcPr>
            <w:tcW w:w="2112" w:type="dxa"/>
            <w:gridSpan w:val="2"/>
            <w:tcBorders>
              <w:top w:val="single" w:sz="12" w:space="0" w:color="auto"/>
              <w:left w:val="single" w:sz="12" w:space="0" w:color="auto"/>
              <w:bottom w:val="single" w:sz="12" w:space="0" w:color="auto"/>
              <w:right w:val="single" w:sz="12" w:space="0" w:color="auto"/>
            </w:tcBorders>
            <w:vAlign w:val="bottom"/>
          </w:tcPr>
          <w:p w:rsidR="0022308D" w:rsidRDefault="0022308D">
            <w:pPr>
              <w:jc w:val="center"/>
              <w:rPr>
                <w:snapToGrid w:val="0"/>
                <w:color w:val="000000"/>
                <w:sz w:val="24"/>
                <w:szCs w:val="24"/>
              </w:rPr>
            </w:pPr>
            <w:r>
              <w:rPr>
                <w:snapToGrid w:val="0"/>
                <w:color w:val="000000"/>
                <w:sz w:val="24"/>
                <w:szCs w:val="24"/>
              </w:rPr>
              <w:t>Платеж излишек или недостаток</w:t>
            </w:r>
          </w:p>
        </w:tc>
      </w:tr>
      <w:tr w:rsidR="0022308D">
        <w:trPr>
          <w:trHeight w:val="307"/>
        </w:trPr>
        <w:tc>
          <w:tcPr>
            <w:tcW w:w="1483" w:type="dxa"/>
            <w:tcBorders>
              <w:top w:val="single" w:sz="12" w:space="0" w:color="auto"/>
              <w:left w:val="single" w:sz="12" w:space="0" w:color="auto"/>
              <w:bottom w:val="single" w:sz="6" w:space="0" w:color="auto"/>
              <w:right w:val="single" w:sz="6" w:space="0" w:color="auto"/>
            </w:tcBorders>
          </w:tcPr>
          <w:p w:rsidR="0022308D" w:rsidRDefault="0022308D">
            <w:pPr>
              <w:jc w:val="center"/>
              <w:rPr>
                <w:snapToGrid w:val="0"/>
                <w:color w:val="000000"/>
                <w:sz w:val="24"/>
                <w:szCs w:val="24"/>
              </w:rPr>
            </w:pPr>
            <w:r>
              <w:rPr>
                <w:snapToGrid w:val="0"/>
                <w:color w:val="000000"/>
                <w:sz w:val="24"/>
                <w:szCs w:val="24"/>
              </w:rPr>
              <w:t>1</w:t>
            </w:r>
          </w:p>
        </w:tc>
        <w:tc>
          <w:tcPr>
            <w:tcW w:w="1229" w:type="dxa"/>
            <w:tcBorders>
              <w:top w:val="single" w:sz="12" w:space="0" w:color="auto"/>
              <w:left w:val="single" w:sz="6" w:space="0" w:color="auto"/>
              <w:bottom w:val="single" w:sz="6" w:space="0" w:color="auto"/>
              <w:right w:val="single" w:sz="6" w:space="0" w:color="auto"/>
            </w:tcBorders>
          </w:tcPr>
          <w:p w:rsidR="0022308D" w:rsidRDefault="0022308D">
            <w:pPr>
              <w:jc w:val="center"/>
              <w:rPr>
                <w:snapToGrid w:val="0"/>
                <w:color w:val="000000"/>
                <w:sz w:val="24"/>
                <w:szCs w:val="24"/>
              </w:rPr>
            </w:pPr>
            <w:r>
              <w:rPr>
                <w:snapToGrid w:val="0"/>
                <w:color w:val="000000"/>
                <w:sz w:val="24"/>
                <w:szCs w:val="24"/>
              </w:rPr>
              <w:t>2</w:t>
            </w:r>
          </w:p>
        </w:tc>
        <w:tc>
          <w:tcPr>
            <w:tcW w:w="1104" w:type="dxa"/>
            <w:tcBorders>
              <w:top w:val="single" w:sz="12" w:space="0" w:color="auto"/>
              <w:left w:val="single" w:sz="6" w:space="0" w:color="auto"/>
              <w:bottom w:val="single" w:sz="6" w:space="0" w:color="auto"/>
              <w:right w:val="single" w:sz="12" w:space="0" w:color="auto"/>
            </w:tcBorders>
          </w:tcPr>
          <w:p w:rsidR="0022308D" w:rsidRDefault="0022308D">
            <w:pPr>
              <w:jc w:val="center"/>
              <w:rPr>
                <w:snapToGrid w:val="0"/>
                <w:color w:val="000000"/>
                <w:sz w:val="24"/>
                <w:szCs w:val="24"/>
              </w:rPr>
            </w:pPr>
            <w:r>
              <w:rPr>
                <w:snapToGrid w:val="0"/>
                <w:color w:val="000000"/>
                <w:sz w:val="24"/>
                <w:szCs w:val="24"/>
              </w:rPr>
              <w:t>3</w:t>
            </w:r>
          </w:p>
        </w:tc>
        <w:tc>
          <w:tcPr>
            <w:tcW w:w="1656" w:type="dxa"/>
            <w:tcBorders>
              <w:top w:val="single" w:sz="12" w:space="0" w:color="auto"/>
              <w:left w:val="single" w:sz="12" w:space="0" w:color="auto"/>
              <w:bottom w:val="single" w:sz="6" w:space="0" w:color="auto"/>
              <w:right w:val="single" w:sz="6" w:space="0" w:color="auto"/>
            </w:tcBorders>
          </w:tcPr>
          <w:p w:rsidR="0022308D" w:rsidRDefault="0022308D">
            <w:pPr>
              <w:jc w:val="center"/>
              <w:rPr>
                <w:snapToGrid w:val="0"/>
                <w:color w:val="000000"/>
                <w:sz w:val="24"/>
                <w:szCs w:val="24"/>
              </w:rPr>
            </w:pPr>
            <w:r>
              <w:rPr>
                <w:snapToGrid w:val="0"/>
                <w:color w:val="000000"/>
                <w:sz w:val="24"/>
                <w:szCs w:val="24"/>
              </w:rPr>
              <w:t>4</w:t>
            </w:r>
          </w:p>
        </w:tc>
        <w:tc>
          <w:tcPr>
            <w:tcW w:w="1166" w:type="dxa"/>
            <w:tcBorders>
              <w:top w:val="single" w:sz="12" w:space="0" w:color="auto"/>
              <w:left w:val="single" w:sz="6" w:space="0" w:color="auto"/>
              <w:bottom w:val="single" w:sz="6" w:space="0" w:color="auto"/>
              <w:right w:val="single" w:sz="6" w:space="0" w:color="auto"/>
            </w:tcBorders>
          </w:tcPr>
          <w:p w:rsidR="0022308D" w:rsidRDefault="0022308D">
            <w:pPr>
              <w:jc w:val="center"/>
              <w:rPr>
                <w:snapToGrid w:val="0"/>
                <w:color w:val="000000"/>
                <w:sz w:val="24"/>
                <w:szCs w:val="24"/>
              </w:rPr>
            </w:pPr>
            <w:r>
              <w:rPr>
                <w:snapToGrid w:val="0"/>
                <w:color w:val="000000"/>
                <w:sz w:val="24"/>
                <w:szCs w:val="24"/>
              </w:rPr>
              <w:t>5</w:t>
            </w:r>
          </w:p>
        </w:tc>
        <w:tc>
          <w:tcPr>
            <w:tcW w:w="1104" w:type="dxa"/>
            <w:tcBorders>
              <w:top w:val="single" w:sz="12" w:space="0" w:color="auto"/>
              <w:left w:val="single" w:sz="6" w:space="0" w:color="auto"/>
              <w:bottom w:val="single" w:sz="6" w:space="0" w:color="auto"/>
              <w:right w:val="single" w:sz="12" w:space="0" w:color="auto"/>
            </w:tcBorders>
          </w:tcPr>
          <w:p w:rsidR="0022308D" w:rsidRDefault="0022308D">
            <w:pPr>
              <w:jc w:val="center"/>
              <w:rPr>
                <w:snapToGrid w:val="0"/>
                <w:color w:val="000000"/>
                <w:sz w:val="24"/>
                <w:szCs w:val="24"/>
              </w:rPr>
            </w:pPr>
            <w:r>
              <w:rPr>
                <w:snapToGrid w:val="0"/>
                <w:color w:val="000000"/>
                <w:sz w:val="24"/>
                <w:szCs w:val="24"/>
              </w:rPr>
              <w:t>6</w:t>
            </w:r>
          </w:p>
        </w:tc>
        <w:tc>
          <w:tcPr>
            <w:tcW w:w="1008" w:type="dxa"/>
            <w:tcBorders>
              <w:top w:val="single" w:sz="12" w:space="0" w:color="auto"/>
              <w:left w:val="single" w:sz="12" w:space="0" w:color="auto"/>
              <w:bottom w:val="single" w:sz="6" w:space="0" w:color="auto"/>
              <w:right w:val="single" w:sz="6" w:space="0" w:color="auto"/>
            </w:tcBorders>
          </w:tcPr>
          <w:p w:rsidR="0022308D" w:rsidRDefault="0022308D">
            <w:pPr>
              <w:jc w:val="center"/>
              <w:rPr>
                <w:snapToGrid w:val="0"/>
                <w:color w:val="000000"/>
                <w:sz w:val="24"/>
                <w:szCs w:val="24"/>
              </w:rPr>
            </w:pPr>
            <w:r>
              <w:rPr>
                <w:snapToGrid w:val="0"/>
                <w:color w:val="000000"/>
                <w:sz w:val="24"/>
                <w:szCs w:val="24"/>
              </w:rPr>
              <w:t>7=2-5</w:t>
            </w:r>
          </w:p>
        </w:tc>
        <w:tc>
          <w:tcPr>
            <w:tcW w:w="1104" w:type="dxa"/>
            <w:tcBorders>
              <w:top w:val="single" w:sz="12" w:space="0" w:color="auto"/>
              <w:left w:val="single" w:sz="6" w:space="0" w:color="auto"/>
              <w:bottom w:val="single" w:sz="6" w:space="0" w:color="auto"/>
              <w:right w:val="single" w:sz="12" w:space="0" w:color="auto"/>
            </w:tcBorders>
          </w:tcPr>
          <w:p w:rsidR="0022308D" w:rsidRDefault="0022308D">
            <w:pPr>
              <w:jc w:val="center"/>
              <w:rPr>
                <w:snapToGrid w:val="0"/>
                <w:color w:val="000000"/>
                <w:sz w:val="24"/>
                <w:szCs w:val="24"/>
              </w:rPr>
            </w:pPr>
            <w:r>
              <w:rPr>
                <w:snapToGrid w:val="0"/>
                <w:color w:val="000000"/>
                <w:sz w:val="24"/>
                <w:szCs w:val="24"/>
              </w:rPr>
              <w:t>8=3-6</w:t>
            </w:r>
          </w:p>
        </w:tc>
      </w:tr>
      <w:tr w:rsidR="0022308D">
        <w:trPr>
          <w:trHeight w:val="922"/>
        </w:trPr>
        <w:tc>
          <w:tcPr>
            <w:tcW w:w="1483" w:type="dxa"/>
            <w:tcBorders>
              <w:top w:val="single" w:sz="6" w:space="0" w:color="auto"/>
              <w:left w:val="single" w:sz="12" w:space="0" w:color="auto"/>
              <w:bottom w:val="single" w:sz="6" w:space="0" w:color="auto"/>
              <w:right w:val="single" w:sz="6" w:space="0" w:color="auto"/>
            </w:tcBorders>
          </w:tcPr>
          <w:p w:rsidR="0022308D" w:rsidRDefault="0022308D">
            <w:pPr>
              <w:rPr>
                <w:snapToGrid w:val="0"/>
                <w:color w:val="000000"/>
                <w:sz w:val="24"/>
                <w:szCs w:val="24"/>
              </w:rPr>
            </w:pPr>
            <w:r>
              <w:rPr>
                <w:snapToGrid w:val="0"/>
                <w:color w:val="000000"/>
                <w:sz w:val="24"/>
                <w:szCs w:val="24"/>
              </w:rPr>
              <w:t>1. Наиболее ликвидные активы (А1)</w:t>
            </w:r>
          </w:p>
        </w:tc>
        <w:tc>
          <w:tcPr>
            <w:tcW w:w="1229" w:type="dxa"/>
            <w:tcBorders>
              <w:top w:val="single" w:sz="6" w:space="0" w:color="auto"/>
              <w:left w:val="single" w:sz="6" w:space="0" w:color="auto"/>
              <w:bottom w:val="single" w:sz="6" w:space="0" w:color="auto"/>
              <w:right w:val="single" w:sz="6" w:space="0" w:color="auto"/>
            </w:tcBorders>
            <w:vAlign w:val="center"/>
          </w:tcPr>
          <w:p w:rsidR="0022308D" w:rsidRDefault="0022308D">
            <w:pPr>
              <w:jc w:val="center"/>
              <w:rPr>
                <w:snapToGrid w:val="0"/>
                <w:color w:val="000000"/>
                <w:sz w:val="24"/>
                <w:szCs w:val="24"/>
              </w:rPr>
            </w:pPr>
            <w:r>
              <w:rPr>
                <w:snapToGrid w:val="0"/>
                <w:color w:val="000000"/>
                <w:sz w:val="24"/>
                <w:szCs w:val="24"/>
              </w:rPr>
              <w:t>9 881</w:t>
            </w:r>
          </w:p>
        </w:tc>
        <w:tc>
          <w:tcPr>
            <w:tcW w:w="1104" w:type="dxa"/>
            <w:tcBorders>
              <w:top w:val="single" w:sz="6" w:space="0" w:color="auto"/>
              <w:left w:val="single" w:sz="6" w:space="0" w:color="auto"/>
              <w:bottom w:val="single" w:sz="6" w:space="0" w:color="auto"/>
              <w:right w:val="single" w:sz="12" w:space="0" w:color="auto"/>
            </w:tcBorders>
            <w:vAlign w:val="center"/>
          </w:tcPr>
          <w:p w:rsidR="0022308D" w:rsidRDefault="0022308D">
            <w:pPr>
              <w:jc w:val="center"/>
              <w:rPr>
                <w:snapToGrid w:val="0"/>
                <w:color w:val="000000"/>
                <w:sz w:val="24"/>
                <w:szCs w:val="24"/>
              </w:rPr>
            </w:pPr>
            <w:r>
              <w:rPr>
                <w:snapToGrid w:val="0"/>
                <w:color w:val="000000"/>
                <w:sz w:val="24"/>
                <w:szCs w:val="24"/>
              </w:rPr>
              <w:t>7 859</w:t>
            </w:r>
          </w:p>
        </w:tc>
        <w:tc>
          <w:tcPr>
            <w:tcW w:w="1656" w:type="dxa"/>
            <w:tcBorders>
              <w:top w:val="single" w:sz="6" w:space="0" w:color="auto"/>
              <w:left w:val="single" w:sz="12" w:space="0" w:color="auto"/>
              <w:bottom w:val="single" w:sz="6" w:space="0" w:color="auto"/>
              <w:right w:val="single" w:sz="6" w:space="0" w:color="auto"/>
            </w:tcBorders>
          </w:tcPr>
          <w:p w:rsidR="0022308D" w:rsidRDefault="0022308D">
            <w:pPr>
              <w:rPr>
                <w:snapToGrid w:val="0"/>
                <w:color w:val="000000"/>
                <w:sz w:val="24"/>
                <w:szCs w:val="24"/>
              </w:rPr>
            </w:pPr>
            <w:r>
              <w:rPr>
                <w:snapToGrid w:val="0"/>
                <w:color w:val="000000"/>
                <w:sz w:val="24"/>
                <w:szCs w:val="24"/>
              </w:rPr>
              <w:t>1. Наиболее срочные обяз-ва (П1)</w:t>
            </w:r>
          </w:p>
        </w:tc>
        <w:tc>
          <w:tcPr>
            <w:tcW w:w="1166" w:type="dxa"/>
            <w:tcBorders>
              <w:top w:val="single" w:sz="6" w:space="0" w:color="auto"/>
              <w:left w:val="single" w:sz="6" w:space="0" w:color="auto"/>
              <w:bottom w:val="single" w:sz="6" w:space="0" w:color="auto"/>
              <w:right w:val="single" w:sz="6" w:space="0" w:color="auto"/>
            </w:tcBorders>
            <w:vAlign w:val="center"/>
          </w:tcPr>
          <w:p w:rsidR="0022308D" w:rsidRDefault="0022308D">
            <w:pPr>
              <w:jc w:val="center"/>
              <w:rPr>
                <w:snapToGrid w:val="0"/>
                <w:color w:val="000000"/>
                <w:sz w:val="24"/>
                <w:szCs w:val="24"/>
              </w:rPr>
            </w:pPr>
            <w:r>
              <w:rPr>
                <w:snapToGrid w:val="0"/>
                <w:color w:val="000000"/>
                <w:sz w:val="24"/>
                <w:szCs w:val="24"/>
              </w:rPr>
              <w:t>25 664</w:t>
            </w:r>
          </w:p>
        </w:tc>
        <w:tc>
          <w:tcPr>
            <w:tcW w:w="1104" w:type="dxa"/>
            <w:tcBorders>
              <w:top w:val="single" w:sz="6" w:space="0" w:color="auto"/>
              <w:left w:val="single" w:sz="6" w:space="0" w:color="auto"/>
              <w:bottom w:val="single" w:sz="6" w:space="0" w:color="auto"/>
              <w:right w:val="single" w:sz="12" w:space="0" w:color="auto"/>
            </w:tcBorders>
            <w:vAlign w:val="center"/>
          </w:tcPr>
          <w:p w:rsidR="0022308D" w:rsidRDefault="0022308D">
            <w:pPr>
              <w:jc w:val="center"/>
              <w:rPr>
                <w:snapToGrid w:val="0"/>
                <w:color w:val="000000"/>
                <w:sz w:val="24"/>
                <w:szCs w:val="24"/>
              </w:rPr>
            </w:pPr>
            <w:r>
              <w:rPr>
                <w:snapToGrid w:val="0"/>
                <w:color w:val="000000"/>
                <w:sz w:val="24"/>
                <w:szCs w:val="24"/>
              </w:rPr>
              <w:t>47 210</w:t>
            </w:r>
          </w:p>
        </w:tc>
        <w:tc>
          <w:tcPr>
            <w:tcW w:w="1008" w:type="dxa"/>
            <w:tcBorders>
              <w:top w:val="single" w:sz="6" w:space="0" w:color="auto"/>
              <w:left w:val="single" w:sz="12" w:space="0" w:color="auto"/>
              <w:bottom w:val="single" w:sz="6" w:space="0" w:color="auto"/>
              <w:right w:val="single" w:sz="6" w:space="0" w:color="auto"/>
            </w:tcBorders>
            <w:vAlign w:val="center"/>
          </w:tcPr>
          <w:p w:rsidR="0022308D" w:rsidRDefault="0022308D">
            <w:pPr>
              <w:jc w:val="center"/>
              <w:rPr>
                <w:snapToGrid w:val="0"/>
                <w:color w:val="000000"/>
                <w:sz w:val="24"/>
                <w:szCs w:val="24"/>
              </w:rPr>
            </w:pPr>
            <w:r>
              <w:rPr>
                <w:snapToGrid w:val="0"/>
                <w:color w:val="000000"/>
                <w:sz w:val="24"/>
                <w:szCs w:val="24"/>
              </w:rPr>
              <w:t>-15 783</w:t>
            </w:r>
          </w:p>
        </w:tc>
        <w:tc>
          <w:tcPr>
            <w:tcW w:w="1104" w:type="dxa"/>
            <w:tcBorders>
              <w:top w:val="single" w:sz="6" w:space="0" w:color="auto"/>
              <w:left w:val="single" w:sz="6" w:space="0" w:color="auto"/>
              <w:bottom w:val="single" w:sz="6" w:space="0" w:color="auto"/>
              <w:right w:val="single" w:sz="12" w:space="0" w:color="auto"/>
            </w:tcBorders>
            <w:vAlign w:val="center"/>
          </w:tcPr>
          <w:p w:rsidR="0022308D" w:rsidRDefault="0022308D">
            <w:pPr>
              <w:jc w:val="center"/>
              <w:rPr>
                <w:snapToGrid w:val="0"/>
                <w:color w:val="000000"/>
                <w:sz w:val="24"/>
                <w:szCs w:val="24"/>
              </w:rPr>
            </w:pPr>
            <w:r>
              <w:rPr>
                <w:snapToGrid w:val="0"/>
                <w:color w:val="000000"/>
                <w:sz w:val="24"/>
                <w:szCs w:val="24"/>
              </w:rPr>
              <w:t>-39 351</w:t>
            </w:r>
          </w:p>
        </w:tc>
      </w:tr>
      <w:tr w:rsidR="0022308D">
        <w:trPr>
          <w:trHeight w:val="907"/>
        </w:trPr>
        <w:tc>
          <w:tcPr>
            <w:tcW w:w="1483" w:type="dxa"/>
            <w:tcBorders>
              <w:top w:val="single" w:sz="6" w:space="0" w:color="auto"/>
              <w:left w:val="single" w:sz="12" w:space="0" w:color="auto"/>
              <w:bottom w:val="single" w:sz="6" w:space="0" w:color="auto"/>
              <w:right w:val="single" w:sz="6" w:space="0" w:color="auto"/>
            </w:tcBorders>
          </w:tcPr>
          <w:p w:rsidR="0022308D" w:rsidRDefault="0022308D">
            <w:pPr>
              <w:rPr>
                <w:snapToGrid w:val="0"/>
                <w:color w:val="000000"/>
                <w:sz w:val="24"/>
                <w:szCs w:val="24"/>
              </w:rPr>
            </w:pPr>
            <w:r>
              <w:rPr>
                <w:snapToGrid w:val="0"/>
                <w:color w:val="000000"/>
                <w:sz w:val="24"/>
                <w:szCs w:val="24"/>
              </w:rPr>
              <w:t>2. Быстро реализуемые активы (А2)</w:t>
            </w:r>
          </w:p>
        </w:tc>
        <w:tc>
          <w:tcPr>
            <w:tcW w:w="1229" w:type="dxa"/>
            <w:tcBorders>
              <w:top w:val="single" w:sz="6" w:space="0" w:color="auto"/>
              <w:left w:val="single" w:sz="6" w:space="0" w:color="auto"/>
              <w:bottom w:val="single" w:sz="6" w:space="0" w:color="auto"/>
              <w:right w:val="single" w:sz="6" w:space="0" w:color="auto"/>
            </w:tcBorders>
            <w:vAlign w:val="center"/>
          </w:tcPr>
          <w:p w:rsidR="0022308D" w:rsidRDefault="0022308D">
            <w:pPr>
              <w:jc w:val="center"/>
              <w:rPr>
                <w:snapToGrid w:val="0"/>
                <w:color w:val="000000"/>
                <w:sz w:val="24"/>
                <w:szCs w:val="24"/>
              </w:rPr>
            </w:pPr>
            <w:r>
              <w:rPr>
                <w:snapToGrid w:val="0"/>
                <w:color w:val="000000"/>
                <w:sz w:val="24"/>
                <w:szCs w:val="24"/>
              </w:rPr>
              <w:t>61 151</w:t>
            </w:r>
          </w:p>
        </w:tc>
        <w:tc>
          <w:tcPr>
            <w:tcW w:w="1104" w:type="dxa"/>
            <w:tcBorders>
              <w:top w:val="single" w:sz="6" w:space="0" w:color="auto"/>
              <w:left w:val="single" w:sz="6" w:space="0" w:color="auto"/>
              <w:bottom w:val="single" w:sz="6" w:space="0" w:color="auto"/>
              <w:right w:val="single" w:sz="12" w:space="0" w:color="auto"/>
            </w:tcBorders>
            <w:vAlign w:val="center"/>
          </w:tcPr>
          <w:p w:rsidR="0022308D" w:rsidRDefault="0022308D">
            <w:pPr>
              <w:jc w:val="center"/>
              <w:rPr>
                <w:snapToGrid w:val="0"/>
                <w:color w:val="000000"/>
                <w:sz w:val="24"/>
                <w:szCs w:val="24"/>
              </w:rPr>
            </w:pPr>
            <w:r>
              <w:rPr>
                <w:snapToGrid w:val="0"/>
                <w:color w:val="000000"/>
                <w:sz w:val="24"/>
                <w:szCs w:val="24"/>
              </w:rPr>
              <w:t>62 731</w:t>
            </w:r>
          </w:p>
        </w:tc>
        <w:tc>
          <w:tcPr>
            <w:tcW w:w="1656" w:type="dxa"/>
            <w:tcBorders>
              <w:top w:val="single" w:sz="6" w:space="0" w:color="auto"/>
              <w:left w:val="single" w:sz="12" w:space="0" w:color="auto"/>
              <w:bottom w:val="single" w:sz="6" w:space="0" w:color="auto"/>
              <w:right w:val="single" w:sz="6" w:space="0" w:color="auto"/>
            </w:tcBorders>
          </w:tcPr>
          <w:p w:rsidR="0022308D" w:rsidRDefault="0022308D">
            <w:pPr>
              <w:rPr>
                <w:snapToGrid w:val="0"/>
                <w:color w:val="000000"/>
                <w:sz w:val="24"/>
                <w:szCs w:val="24"/>
              </w:rPr>
            </w:pPr>
            <w:r>
              <w:rPr>
                <w:snapToGrid w:val="0"/>
                <w:color w:val="000000"/>
                <w:sz w:val="24"/>
                <w:szCs w:val="24"/>
              </w:rPr>
              <w:t>2. Кратко-срочные пассивы (П2)</w:t>
            </w:r>
          </w:p>
        </w:tc>
        <w:tc>
          <w:tcPr>
            <w:tcW w:w="1166" w:type="dxa"/>
            <w:tcBorders>
              <w:top w:val="single" w:sz="6" w:space="0" w:color="auto"/>
              <w:left w:val="single" w:sz="6" w:space="0" w:color="auto"/>
              <w:bottom w:val="single" w:sz="6" w:space="0" w:color="auto"/>
              <w:right w:val="single" w:sz="6" w:space="0" w:color="auto"/>
            </w:tcBorders>
            <w:vAlign w:val="center"/>
          </w:tcPr>
          <w:p w:rsidR="0022308D" w:rsidRDefault="0022308D">
            <w:pPr>
              <w:jc w:val="center"/>
              <w:rPr>
                <w:snapToGrid w:val="0"/>
                <w:color w:val="000000"/>
                <w:sz w:val="24"/>
                <w:szCs w:val="24"/>
              </w:rPr>
            </w:pPr>
            <w:r>
              <w:rPr>
                <w:snapToGrid w:val="0"/>
                <w:color w:val="000000"/>
                <w:sz w:val="24"/>
                <w:szCs w:val="24"/>
              </w:rPr>
              <w:t>79 462</w:t>
            </w:r>
          </w:p>
        </w:tc>
        <w:tc>
          <w:tcPr>
            <w:tcW w:w="1104" w:type="dxa"/>
            <w:tcBorders>
              <w:top w:val="single" w:sz="6" w:space="0" w:color="auto"/>
              <w:left w:val="single" w:sz="6" w:space="0" w:color="auto"/>
              <w:bottom w:val="single" w:sz="6" w:space="0" w:color="auto"/>
              <w:right w:val="single" w:sz="12" w:space="0" w:color="auto"/>
            </w:tcBorders>
            <w:vAlign w:val="center"/>
          </w:tcPr>
          <w:p w:rsidR="0022308D" w:rsidRDefault="0022308D">
            <w:pPr>
              <w:jc w:val="center"/>
              <w:rPr>
                <w:snapToGrid w:val="0"/>
                <w:color w:val="000000"/>
                <w:sz w:val="24"/>
                <w:szCs w:val="24"/>
              </w:rPr>
            </w:pPr>
            <w:r>
              <w:rPr>
                <w:snapToGrid w:val="0"/>
                <w:color w:val="000000"/>
                <w:sz w:val="24"/>
                <w:szCs w:val="24"/>
              </w:rPr>
              <w:t>59 277</w:t>
            </w:r>
          </w:p>
        </w:tc>
        <w:tc>
          <w:tcPr>
            <w:tcW w:w="1008" w:type="dxa"/>
            <w:tcBorders>
              <w:top w:val="single" w:sz="6" w:space="0" w:color="auto"/>
              <w:left w:val="single" w:sz="12" w:space="0" w:color="auto"/>
              <w:bottom w:val="single" w:sz="6" w:space="0" w:color="auto"/>
              <w:right w:val="single" w:sz="6" w:space="0" w:color="auto"/>
            </w:tcBorders>
            <w:vAlign w:val="center"/>
          </w:tcPr>
          <w:p w:rsidR="0022308D" w:rsidRDefault="0022308D">
            <w:pPr>
              <w:jc w:val="center"/>
              <w:rPr>
                <w:snapToGrid w:val="0"/>
                <w:color w:val="000000"/>
                <w:sz w:val="24"/>
                <w:szCs w:val="24"/>
              </w:rPr>
            </w:pPr>
            <w:r>
              <w:rPr>
                <w:snapToGrid w:val="0"/>
                <w:color w:val="000000"/>
                <w:sz w:val="24"/>
                <w:szCs w:val="24"/>
              </w:rPr>
              <w:t>-18 311</w:t>
            </w:r>
          </w:p>
        </w:tc>
        <w:tc>
          <w:tcPr>
            <w:tcW w:w="1104" w:type="dxa"/>
            <w:tcBorders>
              <w:top w:val="single" w:sz="6" w:space="0" w:color="auto"/>
              <w:left w:val="single" w:sz="6" w:space="0" w:color="auto"/>
              <w:bottom w:val="single" w:sz="6" w:space="0" w:color="auto"/>
              <w:right w:val="single" w:sz="12" w:space="0" w:color="auto"/>
            </w:tcBorders>
            <w:vAlign w:val="center"/>
          </w:tcPr>
          <w:p w:rsidR="0022308D" w:rsidRDefault="0022308D">
            <w:pPr>
              <w:jc w:val="center"/>
              <w:rPr>
                <w:snapToGrid w:val="0"/>
                <w:color w:val="000000"/>
                <w:sz w:val="24"/>
                <w:szCs w:val="24"/>
              </w:rPr>
            </w:pPr>
            <w:r>
              <w:rPr>
                <w:snapToGrid w:val="0"/>
                <w:color w:val="000000"/>
                <w:sz w:val="24"/>
                <w:szCs w:val="24"/>
              </w:rPr>
              <w:t>3 454</w:t>
            </w:r>
          </w:p>
        </w:tc>
      </w:tr>
      <w:tr w:rsidR="0022308D">
        <w:trPr>
          <w:trHeight w:val="922"/>
        </w:trPr>
        <w:tc>
          <w:tcPr>
            <w:tcW w:w="1483" w:type="dxa"/>
            <w:tcBorders>
              <w:top w:val="single" w:sz="6" w:space="0" w:color="auto"/>
              <w:left w:val="single" w:sz="12" w:space="0" w:color="auto"/>
              <w:bottom w:val="single" w:sz="6" w:space="0" w:color="auto"/>
              <w:right w:val="single" w:sz="6" w:space="0" w:color="auto"/>
            </w:tcBorders>
          </w:tcPr>
          <w:p w:rsidR="0022308D" w:rsidRDefault="0022308D">
            <w:pPr>
              <w:rPr>
                <w:snapToGrid w:val="0"/>
                <w:color w:val="000000"/>
                <w:sz w:val="24"/>
                <w:szCs w:val="24"/>
              </w:rPr>
            </w:pPr>
            <w:r>
              <w:rPr>
                <w:snapToGrid w:val="0"/>
                <w:color w:val="000000"/>
                <w:sz w:val="24"/>
                <w:szCs w:val="24"/>
              </w:rPr>
              <w:t>3. Медленно реализуемые активы (А3)</w:t>
            </w:r>
          </w:p>
        </w:tc>
        <w:tc>
          <w:tcPr>
            <w:tcW w:w="1229" w:type="dxa"/>
            <w:tcBorders>
              <w:top w:val="single" w:sz="6" w:space="0" w:color="auto"/>
              <w:left w:val="single" w:sz="6" w:space="0" w:color="auto"/>
              <w:bottom w:val="single" w:sz="6" w:space="0" w:color="auto"/>
              <w:right w:val="single" w:sz="6" w:space="0" w:color="auto"/>
            </w:tcBorders>
            <w:vAlign w:val="center"/>
          </w:tcPr>
          <w:p w:rsidR="0022308D" w:rsidRDefault="0022308D">
            <w:pPr>
              <w:jc w:val="center"/>
              <w:rPr>
                <w:snapToGrid w:val="0"/>
                <w:color w:val="000000"/>
                <w:sz w:val="24"/>
                <w:szCs w:val="24"/>
              </w:rPr>
            </w:pPr>
            <w:r>
              <w:rPr>
                <w:snapToGrid w:val="0"/>
                <w:color w:val="000000"/>
                <w:sz w:val="24"/>
                <w:szCs w:val="24"/>
              </w:rPr>
              <w:t>119 377</w:t>
            </w:r>
          </w:p>
        </w:tc>
        <w:tc>
          <w:tcPr>
            <w:tcW w:w="1104" w:type="dxa"/>
            <w:tcBorders>
              <w:top w:val="single" w:sz="6" w:space="0" w:color="auto"/>
              <w:left w:val="single" w:sz="6" w:space="0" w:color="auto"/>
              <w:bottom w:val="single" w:sz="6" w:space="0" w:color="auto"/>
              <w:right w:val="single" w:sz="12" w:space="0" w:color="auto"/>
            </w:tcBorders>
            <w:vAlign w:val="center"/>
          </w:tcPr>
          <w:p w:rsidR="0022308D" w:rsidRDefault="0022308D">
            <w:pPr>
              <w:jc w:val="center"/>
              <w:rPr>
                <w:snapToGrid w:val="0"/>
                <w:color w:val="000000"/>
                <w:sz w:val="24"/>
                <w:szCs w:val="24"/>
              </w:rPr>
            </w:pPr>
            <w:r>
              <w:rPr>
                <w:snapToGrid w:val="0"/>
                <w:color w:val="000000"/>
                <w:sz w:val="24"/>
                <w:szCs w:val="24"/>
              </w:rPr>
              <w:t>122 509</w:t>
            </w:r>
          </w:p>
        </w:tc>
        <w:tc>
          <w:tcPr>
            <w:tcW w:w="1656" w:type="dxa"/>
            <w:tcBorders>
              <w:top w:val="single" w:sz="6" w:space="0" w:color="auto"/>
              <w:left w:val="single" w:sz="12" w:space="0" w:color="auto"/>
              <w:bottom w:val="single" w:sz="6" w:space="0" w:color="auto"/>
              <w:right w:val="single" w:sz="6" w:space="0" w:color="auto"/>
            </w:tcBorders>
          </w:tcPr>
          <w:p w:rsidR="0022308D" w:rsidRDefault="0022308D">
            <w:pPr>
              <w:rPr>
                <w:snapToGrid w:val="0"/>
                <w:color w:val="000000"/>
                <w:sz w:val="24"/>
                <w:szCs w:val="24"/>
              </w:rPr>
            </w:pPr>
            <w:r>
              <w:rPr>
                <w:snapToGrid w:val="0"/>
                <w:color w:val="000000"/>
                <w:sz w:val="24"/>
                <w:szCs w:val="24"/>
              </w:rPr>
              <w:t>3. Долго-срочные пассивы (П3)</w:t>
            </w:r>
          </w:p>
        </w:tc>
        <w:tc>
          <w:tcPr>
            <w:tcW w:w="1166" w:type="dxa"/>
            <w:tcBorders>
              <w:top w:val="single" w:sz="6" w:space="0" w:color="auto"/>
              <w:left w:val="single" w:sz="6" w:space="0" w:color="auto"/>
              <w:bottom w:val="single" w:sz="6" w:space="0" w:color="auto"/>
              <w:right w:val="single" w:sz="6" w:space="0" w:color="auto"/>
            </w:tcBorders>
            <w:vAlign w:val="center"/>
          </w:tcPr>
          <w:p w:rsidR="0022308D" w:rsidRDefault="0022308D">
            <w:pPr>
              <w:jc w:val="center"/>
              <w:rPr>
                <w:snapToGrid w:val="0"/>
                <w:color w:val="000000"/>
                <w:sz w:val="24"/>
                <w:szCs w:val="24"/>
              </w:rPr>
            </w:pPr>
            <w:r>
              <w:rPr>
                <w:snapToGrid w:val="0"/>
                <w:color w:val="000000"/>
                <w:sz w:val="24"/>
                <w:szCs w:val="24"/>
              </w:rPr>
              <w:t>7 822</w:t>
            </w:r>
          </w:p>
        </w:tc>
        <w:tc>
          <w:tcPr>
            <w:tcW w:w="1104" w:type="dxa"/>
            <w:tcBorders>
              <w:top w:val="single" w:sz="6" w:space="0" w:color="auto"/>
              <w:left w:val="single" w:sz="6" w:space="0" w:color="auto"/>
              <w:bottom w:val="single" w:sz="6" w:space="0" w:color="auto"/>
              <w:right w:val="single" w:sz="12" w:space="0" w:color="auto"/>
            </w:tcBorders>
            <w:vAlign w:val="center"/>
          </w:tcPr>
          <w:p w:rsidR="0022308D" w:rsidRDefault="0022308D">
            <w:pPr>
              <w:jc w:val="center"/>
              <w:rPr>
                <w:snapToGrid w:val="0"/>
                <w:color w:val="000000"/>
                <w:sz w:val="24"/>
                <w:szCs w:val="24"/>
              </w:rPr>
            </w:pPr>
            <w:r>
              <w:rPr>
                <w:snapToGrid w:val="0"/>
                <w:color w:val="000000"/>
                <w:sz w:val="24"/>
                <w:szCs w:val="24"/>
              </w:rPr>
              <w:t>7 075</w:t>
            </w:r>
          </w:p>
        </w:tc>
        <w:tc>
          <w:tcPr>
            <w:tcW w:w="1008" w:type="dxa"/>
            <w:tcBorders>
              <w:top w:val="single" w:sz="6" w:space="0" w:color="auto"/>
              <w:left w:val="single" w:sz="12" w:space="0" w:color="auto"/>
              <w:bottom w:val="single" w:sz="6" w:space="0" w:color="auto"/>
              <w:right w:val="single" w:sz="6" w:space="0" w:color="auto"/>
            </w:tcBorders>
            <w:vAlign w:val="center"/>
          </w:tcPr>
          <w:p w:rsidR="0022308D" w:rsidRDefault="0022308D">
            <w:pPr>
              <w:jc w:val="center"/>
              <w:rPr>
                <w:snapToGrid w:val="0"/>
                <w:color w:val="000000"/>
                <w:sz w:val="24"/>
                <w:szCs w:val="24"/>
              </w:rPr>
            </w:pPr>
            <w:r>
              <w:rPr>
                <w:snapToGrid w:val="0"/>
                <w:color w:val="000000"/>
                <w:sz w:val="24"/>
                <w:szCs w:val="24"/>
              </w:rPr>
              <w:t>111 555</w:t>
            </w:r>
          </w:p>
        </w:tc>
        <w:tc>
          <w:tcPr>
            <w:tcW w:w="1104" w:type="dxa"/>
            <w:tcBorders>
              <w:top w:val="single" w:sz="6" w:space="0" w:color="auto"/>
              <w:left w:val="single" w:sz="6" w:space="0" w:color="auto"/>
              <w:bottom w:val="single" w:sz="6" w:space="0" w:color="auto"/>
              <w:right w:val="single" w:sz="12" w:space="0" w:color="auto"/>
            </w:tcBorders>
            <w:vAlign w:val="center"/>
          </w:tcPr>
          <w:p w:rsidR="0022308D" w:rsidRDefault="0022308D">
            <w:pPr>
              <w:jc w:val="center"/>
              <w:rPr>
                <w:snapToGrid w:val="0"/>
                <w:color w:val="000000"/>
                <w:sz w:val="24"/>
                <w:szCs w:val="24"/>
              </w:rPr>
            </w:pPr>
            <w:r>
              <w:rPr>
                <w:snapToGrid w:val="0"/>
                <w:color w:val="000000"/>
                <w:sz w:val="24"/>
                <w:szCs w:val="24"/>
              </w:rPr>
              <w:t>115 434</w:t>
            </w:r>
          </w:p>
        </w:tc>
      </w:tr>
      <w:tr w:rsidR="0022308D">
        <w:trPr>
          <w:trHeight w:val="936"/>
        </w:trPr>
        <w:tc>
          <w:tcPr>
            <w:tcW w:w="1483" w:type="dxa"/>
            <w:tcBorders>
              <w:top w:val="single" w:sz="6" w:space="0" w:color="auto"/>
              <w:left w:val="single" w:sz="12" w:space="0" w:color="auto"/>
              <w:bottom w:val="single" w:sz="12" w:space="0" w:color="auto"/>
              <w:right w:val="single" w:sz="6" w:space="0" w:color="auto"/>
            </w:tcBorders>
          </w:tcPr>
          <w:p w:rsidR="0022308D" w:rsidRDefault="0022308D">
            <w:pPr>
              <w:rPr>
                <w:snapToGrid w:val="0"/>
                <w:color w:val="000000"/>
                <w:sz w:val="24"/>
                <w:szCs w:val="24"/>
              </w:rPr>
            </w:pPr>
            <w:r>
              <w:rPr>
                <w:snapToGrid w:val="0"/>
                <w:color w:val="000000"/>
                <w:sz w:val="24"/>
                <w:szCs w:val="24"/>
              </w:rPr>
              <w:t>4. Трудноре-ализуемые активы (А4)</w:t>
            </w:r>
          </w:p>
        </w:tc>
        <w:tc>
          <w:tcPr>
            <w:tcW w:w="1229" w:type="dxa"/>
            <w:tcBorders>
              <w:top w:val="single" w:sz="6" w:space="0" w:color="auto"/>
              <w:left w:val="single" w:sz="6" w:space="0" w:color="auto"/>
              <w:bottom w:val="single" w:sz="12" w:space="0" w:color="auto"/>
              <w:right w:val="single" w:sz="6" w:space="0" w:color="auto"/>
            </w:tcBorders>
            <w:vAlign w:val="center"/>
          </w:tcPr>
          <w:p w:rsidR="0022308D" w:rsidRDefault="0022308D">
            <w:pPr>
              <w:jc w:val="center"/>
              <w:rPr>
                <w:snapToGrid w:val="0"/>
                <w:color w:val="000000"/>
                <w:sz w:val="24"/>
                <w:szCs w:val="24"/>
              </w:rPr>
            </w:pPr>
            <w:r>
              <w:rPr>
                <w:snapToGrid w:val="0"/>
                <w:color w:val="000000"/>
                <w:sz w:val="24"/>
                <w:szCs w:val="24"/>
              </w:rPr>
              <w:t>128 260</w:t>
            </w:r>
          </w:p>
        </w:tc>
        <w:tc>
          <w:tcPr>
            <w:tcW w:w="1104" w:type="dxa"/>
            <w:tcBorders>
              <w:top w:val="single" w:sz="6" w:space="0" w:color="auto"/>
              <w:left w:val="single" w:sz="6" w:space="0" w:color="auto"/>
              <w:bottom w:val="single" w:sz="12" w:space="0" w:color="auto"/>
              <w:right w:val="single" w:sz="12" w:space="0" w:color="auto"/>
            </w:tcBorders>
            <w:vAlign w:val="center"/>
          </w:tcPr>
          <w:p w:rsidR="0022308D" w:rsidRDefault="0022308D">
            <w:pPr>
              <w:jc w:val="center"/>
              <w:rPr>
                <w:snapToGrid w:val="0"/>
                <w:color w:val="000000"/>
                <w:sz w:val="24"/>
                <w:szCs w:val="24"/>
              </w:rPr>
            </w:pPr>
            <w:r>
              <w:rPr>
                <w:snapToGrid w:val="0"/>
                <w:color w:val="000000"/>
                <w:sz w:val="24"/>
                <w:szCs w:val="24"/>
              </w:rPr>
              <w:t>129 520</w:t>
            </w:r>
          </w:p>
        </w:tc>
        <w:tc>
          <w:tcPr>
            <w:tcW w:w="1656" w:type="dxa"/>
            <w:tcBorders>
              <w:top w:val="single" w:sz="6" w:space="0" w:color="auto"/>
              <w:left w:val="single" w:sz="12" w:space="0" w:color="auto"/>
              <w:bottom w:val="single" w:sz="12" w:space="0" w:color="auto"/>
              <w:right w:val="single" w:sz="6" w:space="0" w:color="auto"/>
            </w:tcBorders>
          </w:tcPr>
          <w:p w:rsidR="0022308D" w:rsidRDefault="0022308D">
            <w:pPr>
              <w:rPr>
                <w:snapToGrid w:val="0"/>
                <w:color w:val="000000"/>
                <w:sz w:val="24"/>
                <w:szCs w:val="24"/>
              </w:rPr>
            </w:pPr>
            <w:r>
              <w:rPr>
                <w:snapToGrid w:val="0"/>
                <w:color w:val="000000"/>
                <w:sz w:val="24"/>
                <w:szCs w:val="24"/>
              </w:rPr>
              <w:t>4. Постоянные пассивы (П4)</w:t>
            </w:r>
          </w:p>
        </w:tc>
        <w:tc>
          <w:tcPr>
            <w:tcW w:w="1166" w:type="dxa"/>
            <w:tcBorders>
              <w:top w:val="single" w:sz="6" w:space="0" w:color="auto"/>
              <w:left w:val="single" w:sz="6" w:space="0" w:color="auto"/>
              <w:bottom w:val="single" w:sz="12" w:space="0" w:color="auto"/>
              <w:right w:val="single" w:sz="6" w:space="0" w:color="auto"/>
            </w:tcBorders>
            <w:vAlign w:val="center"/>
          </w:tcPr>
          <w:p w:rsidR="0022308D" w:rsidRDefault="0022308D">
            <w:pPr>
              <w:jc w:val="center"/>
              <w:rPr>
                <w:snapToGrid w:val="0"/>
                <w:color w:val="000000"/>
                <w:sz w:val="24"/>
                <w:szCs w:val="24"/>
              </w:rPr>
            </w:pPr>
            <w:r>
              <w:rPr>
                <w:snapToGrid w:val="0"/>
                <w:color w:val="000000"/>
                <w:sz w:val="24"/>
                <w:szCs w:val="24"/>
              </w:rPr>
              <w:t>205 721</w:t>
            </w:r>
          </w:p>
        </w:tc>
        <w:tc>
          <w:tcPr>
            <w:tcW w:w="1104" w:type="dxa"/>
            <w:tcBorders>
              <w:top w:val="single" w:sz="6" w:space="0" w:color="auto"/>
              <w:left w:val="single" w:sz="6" w:space="0" w:color="auto"/>
              <w:bottom w:val="single" w:sz="12" w:space="0" w:color="auto"/>
              <w:right w:val="single" w:sz="12" w:space="0" w:color="auto"/>
            </w:tcBorders>
            <w:vAlign w:val="center"/>
          </w:tcPr>
          <w:p w:rsidR="0022308D" w:rsidRDefault="0022308D">
            <w:pPr>
              <w:jc w:val="center"/>
              <w:rPr>
                <w:snapToGrid w:val="0"/>
                <w:color w:val="000000"/>
                <w:sz w:val="24"/>
                <w:szCs w:val="24"/>
              </w:rPr>
            </w:pPr>
            <w:r>
              <w:rPr>
                <w:snapToGrid w:val="0"/>
                <w:color w:val="000000"/>
                <w:sz w:val="24"/>
                <w:szCs w:val="24"/>
              </w:rPr>
              <w:t>209 057</w:t>
            </w:r>
          </w:p>
        </w:tc>
        <w:tc>
          <w:tcPr>
            <w:tcW w:w="1008" w:type="dxa"/>
            <w:tcBorders>
              <w:top w:val="single" w:sz="6" w:space="0" w:color="auto"/>
              <w:left w:val="single" w:sz="12" w:space="0" w:color="auto"/>
              <w:bottom w:val="single" w:sz="12" w:space="0" w:color="auto"/>
              <w:right w:val="single" w:sz="6" w:space="0" w:color="auto"/>
            </w:tcBorders>
            <w:vAlign w:val="center"/>
          </w:tcPr>
          <w:p w:rsidR="0022308D" w:rsidRDefault="0022308D">
            <w:pPr>
              <w:jc w:val="center"/>
              <w:rPr>
                <w:snapToGrid w:val="0"/>
                <w:color w:val="000000"/>
                <w:sz w:val="24"/>
                <w:szCs w:val="24"/>
              </w:rPr>
            </w:pPr>
            <w:r>
              <w:rPr>
                <w:snapToGrid w:val="0"/>
                <w:color w:val="000000"/>
                <w:sz w:val="24"/>
                <w:szCs w:val="24"/>
              </w:rPr>
              <w:t>-77 461</w:t>
            </w:r>
          </w:p>
        </w:tc>
        <w:tc>
          <w:tcPr>
            <w:tcW w:w="1104" w:type="dxa"/>
            <w:tcBorders>
              <w:top w:val="single" w:sz="6" w:space="0" w:color="auto"/>
              <w:left w:val="single" w:sz="6" w:space="0" w:color="auto"/>
              <w:bottom w:val="single" w:sz="12" w:space="0" w:color="auto"/>
              <w:right w:val="single" w:sz="12" w:space="0" w:color="auto"/>
            </w:tcBorders>
            <w:vAlign w:val="center"/>
          </w:tcPr>
          <w:p w:rsidR="0022308D" w:rsidRDefault="0022308D">
            <w:pPr>
              <w:jc w:val="center"/>
              <w:rPr>
                <w:snapToGrid w:val="0"/>
                <w:color w:val="000000"/>
                <w:sz w:val="24"/>
                <w:szCs w:val="24"/>
              </w:rPr>
            </w:pPr>
            <w:r>
              <w:rPr>
                <w:snapToGrid w:val="0"/>
                <w:color w:val="000000"/>
                <w:sz w:val="24"/>
                <w:szCs w:val="24"/>
              </w:rPr>
              <w:t>-79 537</w:t>
            </w:r>
          </w:p>
        </w:tc>
      </w:tr>
      <w:tr w:rsidR="0022308D">
        <w:trPr>
          <w:trHeight w:val="322"/>
        </w:trPr>
        <w:tc>
          <w:tcPr>
            <w:tcW w:w="1483" w:type="dxa"/>
            <w:tcBorders>
              <w:top w:val="single" w:sz="12" w:space="0" w:color="auto"/>
              <w:left w:val="single" w:sz="12" w:space="0" w:color="auto"/>
              <w:bottom w:val="single" w:sz="12" w:space="0" w:color="auto"/>
              <w:right w:val="single" w:sz="6" w:space="0" w:color="auto"/>
            </w:tcBorders>
          </w:tcPr>
          <w:p w:rsidR="0022308D" w:rsidRDefault="0022308D">
            <w:pPr>
              <w:pStyle w:val="4"/>
            </w:pPr>
            <w:r>
              <w:t>Баланс</w:t>
            </w:r>
          </w:p>
        </w:tc>
        <w:tc>
          <w:tcPr>
            <w:tcW w:w="1229" w:type="dxa"/>
            <w:tcBorders>
              <w:top w:val="single" w:sz="12" w:space="0" w:color="auto"/>
              <w:left w:val="single" w:sz="6" w:space="0" w:color="auto"/>
              <w:bottom w:val="single" w:sz="12" w:space="0" w:color="auto"/>
              <w:right w:val="single" w:sz="6" w:space="0" w:color="auto"/>
            </w:tcBorders>
            <w:vAlign w:val="center"/>
          </w:tcPr>
          <w:p w:rsidR="0022308D" w:rsidRDefault="0022308D">
            <w:pPr>
              <w:jc w:val="center"/>
              <w:rPr>
                <w:snapToGrid w:val="0"/>
                <w:color w:val="000000"/>
                <w:sz w:val="24"/>
                <w:szCs w:val="24"/>
              </w:rPr>
            </w:pPr>
            <w:r>
              <w:rPr>
                <w:snapToGrid w:val="0"/>
                <w:color w:val="000000"/>
                <w:sz w:val="24"/>
                <w:szCs w:val="24"/>
              </w:rPr>
              <w:t>318 669</w:t>
            </w:r>
          </w:p>
        </w:tc>
        <w:tc>
          <w:tcPr>
            <w:tcW w:w="1104" w:type="dxa"/>
            <w:tcBorders>
              <w:top w:val="single" w:sz="12" w:space="0" w:color="auto"/>
              <w:left w:val="single" w:sz="6" w:space="0" w:color="auto"/>
              <w:bottom w:val="single" w:sz="12" w:space="0" w:color="auto"/>
              <w:right w:val="single" w:sz="12" w:space="0" w:color="auto"/>
            </w:tcBorders>
            <w:vAlign w:val="center"/>
          </w:tcPr>
          <w:p w:rsidR="0022308D" w:rsidRDefault="0022308D">
            <w:pPr>
              <w:jc w:val="center"/>
              <w:rPr>
                <w:snapToGrid w:val="0"/>
                <w:color w:val="000000"/>
                <w:sz w:val="24"/>
                <w:szCs w:val="24"/>
              </w:rPr>
            </w:pPr>
            <w:r>
              <w:rPr>
                <w:snapToGrid w:val="0"/>
                <w:color w:val="000000"/>
                <w:sz w:val="24"/>
                <w:szCs w:val="24"/>
              </w:rPr>
              <w:t>322 619</w:t>
            </w:r>
          </w:p>
        </w:tc>
        <w:tc>
          <w:tcPr>
            <w:tcW w:w="1656" w:type="dxa"/>
            <w:tcBorders>
              <w:top w:val="single" w:sz="12" w:space="0" w:color="auto"/>
              <w:left w:val="single" w:sz="12" w:space="0" w:color="auto"/>
              <w:bottom w:val="single" w:sz="12" w:space="0" w:color="auto"/>
              <w:right w:val="single" w:sz="6" w:space="0" w:color="auto"/>
            </w:tcBorders>
          </w:tcPr>
          <w:p w:rsidR="0022308D" w:rsidRDefault="0022308D">
            <w:pPr>
              <w:pStyle w:val="4"/>
            </w:pPr>
            <w:r>
              <w:t>Баланс</w:t>
            </w:r>
          </w:p>
        </w:tc>
        <w:tc>
          <w:tcPr>
            <w:tcW w:w="1166" w:type="dxa"/>
            <w:tcBorders>
              <w:top w:val="single" w:sz="12" w:space="0" w:color="auto"/>
              <w:left w:val="single" w:sz="6" w:space="0" w:color="auto"/>
              <w:bottom w:val="single" w:sz="12" w:space="0" w:color="auto"/>
              <w:right w:val="single" w:sz="6" w:space="0" w:color="auto"/>
            </w:tcBorders>
            <w:vAlign w:val="center"/>
          </w:tcPr>
          <w:p w:rsidR="0022308D" w:rsidRDefault="0022308D">
            <w:pPr>
              <w:jc w:val="center"/>
              <w:rPr>
                <w:snapToGrid w:val="0"/>
                <w:color w:val="000000"/>
                <w:sz w:val="24"/>
                <w:szCs w:val="24"/>
              </w:rPr>
            </w:pPr>
            <w:r>
              <w:rPr>
                <w:snapToGrid w:val="0"/>
                <w:color w:val="000000"/>
                <w:sz w:val="24"/>
                <w:szCs w:val="24"/>
              </w:rPr>
              <w:t>318 669</w:t>
            </w:r>
          </w:p>
        </w:tc>
        <w:tc>
          <w:tcPr>
            <w:tcW w:w="1104" w:type="dxa"/>
            <w:tcBorders>
              <w:top w:val="single" w:sz="12" w:space="0" w:color="auto"/>
              <w:left w:val="single" w:sz="6" w:space="0" w:color="auto"/>
              <w:bottom w:val="single" w:sz="12" w:space="0" w:color="auto"/>
              <w:right w:val="single" w:sz="12" w:space="0" w:color="auto"/>
            </w:tcBorders>
            <w:vAlign w:val="center"/>
          </w:tcPr>
          <w:p w:rsidR="0022308D" w:rsidRDefault="0022308D">
            <w:pPr>
              <w:jc w:val="center"/>
              <w:rPr>
                <w:snapToGrid w:val="0"/>
                <w:color w:val="000000"/>
                <w:sz w:val="24"/>
                <w:szCs w:val="24"/>
              </w:rPr>
            </w:pPr>
            <w:r>
              <w:rPr>
                <w:snapToGrid w:val="0"/>
                <w:color w:val="000000"/>
                <w:sz w:val="24"/>
                <w:szCs w:val="24"/>
              </w:rPr>
              <w:t>322 619</w:t>
            </w:r>
          </w:p>
        </w:tc>
        <w:tc>
          <w:tcPr>
            <w:tcW w:w="1008" w:type="dxa"/>
            <w:tcBorders>
              <w:top w:val="single" w:sz="12" w:space="0" w:color="auto"/>
              <w:left w:val="single" w:sz="12" w:space="0" w:color="auto"/>
              <w:bottom w:val="single" w:sz="12" w:space="0" w:color="auto"/>
              <w:right w:val="single" w:sz="6" w:space="0" w:color="auto"/>
            </w:tcBorders>
            <w:vAlign w:val="center"/>
          </w:tcPr>
          <w:p w:rsidR="0022308D" w:rsidRDefault="0022308D">
            <w:pPr>
              <w:jc w:val="center"/>
              <w:rPr>
                <w:snapToGrid w:val="0"/>
                <w:color w:val="000000"/>
                <w:sz w:val="24"/>
                <w:szCs w:val="24"/>
              </w:rPr>
            </w:pPr>
            <w:r>
              <w:rPr>
                <w:snapToGrid w:val="0"/>
                <w:color w:val="000000"/>
                <w:sz w:val="24"/>
                <w:szCs w:val="24"/>
              </w:rPr>
              <w:t>-</w:t>
            </w:r>
          </w:p>
        </w:tc>
        <w:tc>
          <w:tcPr>
            <w:tcW w:w="1104" w:type="dxa"/>
            <w:tcBorders>
              <w:top w:val="single" w:sz="12" w:space="0" w:color="auto"/>
              <w:left w:val="single" w:sz="6" w:space="0" w:color="auto"/>
              <w:bottom w:val="single" w:sz="12" w:space="0" w:color="auto"/>
              <w:right w:val="single" w:sz="12" w:space="0" w:color="auto"/>
            </w:tcBorders>
            <w:vAlign w:val="center"/>
          </w:tcPr>
          <w:p w:rsidR="0022308D" w:rsidRDefault="0022308D">
            <w:pPr>
              <w:jc w:val="center"/>
              <w:rPr>
                <w:snapToGrid w:val="0"/>
                <w:color w:val="000000"/>
                <w:sz w:val="24"/>
                <w:szCs w:val="24"/>
              </w:rPr>
            </w:pPr>
            <w:r>
              <w:rPr>
                <w:snapToGrid w:val="0"/>
                <w:color w:val="000000"/>
                <w:sz w:val="24"/>
                <w:szCs w:val="24"/>
              </w:rPr>
              <w:t>-</w:t>
            </w:r>
          </w:p>
        </w:tc>
      </w:tr>
    </w:tbl>
    <w:p w:rsidR="0022308D" w:rsidRDefault="0022308D">
      <w:pPr>
        <w:pStyle w:val="21"/>
        <w:ind w:firstLine="709"/>
        <w:jc w:val="center"/>
        <w:rPr>
          <w:lang w:val="en-US"/>
        </w:rPr>
      </w:pPr>
      <w:r>
        <w:rPr>
          <w:lang w:val="en-US"/>
        </w:rPr>
        <w:t>[А1&lt;П1; А2&lt;П2; А3&gt;П3; А4&lt;П4]</w:t>
      </w:r>
    </w:p>
    <w:p w:rsidR="0022308D" w:rsidRDefault="0022308D">
      <w:pPr>
        <w:pStyle w:val="21"/>
        <w:ind w:firstLine="709"/>
      </w:pPr>
      <w:r>
        <w:t>Сопоставление итогов 1 группы по активу и пассиву, то есть А1 и П1 (сроки до 3- месяцев), отражает соотношение текущих платежей и поступлений. Сравнение итогов 2 группы по активу и пассиву, то есть А2 и П3 (сроки от 3-х до 6-ти месяцев), показывает тенденцию увеличения или уменьшения текущей ликвидности в недалеком будущем. Сопоставление итогов по активу и пассиву для 3 и 4 групп отражает соотношение платежей и поступлений в относительно отдаленном будущем. Анализ, проводимый по данной схеме, достаточно полно представляет финансовое состояние с точки зрения возможностей своевременного осуществления расчетов.</w:t>
      </w:r>
    </w:p>
    <w:p w:rsidR="0022308D" w:rsidRDefault="0022308D">
      <w:pPr>
        <w:pStyle w:val="21"/>
        <w:ind w:firstLine="709"/>
      </w:pPr>
      <w:r>
        <w:t xml:space="preserve">Исходя из этого, можно охарактеризовать ликвидность баланса как недостаточную. Сопоставление первых двух неравенств свидетельствует о том, что в ближайший промежуток времени организации не удастся поправить свою платежеспособность. Причем, за анализируемый период возрос платежный недостаток наиболее ликвидных активов для покрытия наиболее срочных обязательств (соотношение по первой группе). В начале анализируемого периода соотношение было 0,38:1 (9881:25664). Обращает на себя внимание резкое сокращение (на 21 пункт) величины коэффициента срочности. В результате, в конце отчетного периода организация могла оплатить лишь 17% своих краткосрочных обязательств, что свидетельствует о стесненном финансовом положении. </w:t>
      </w:r>
    </w:p>
    <w:p w:rsidR="0022308D" w:rsidRDefault="0022308D">
      <w:pPr>
        <w:pStyle w:val="21"/>
        <w:ind w:firstLine="709"/>
      </w:pPr>
      <w:r>
        <w:t>Однако следует отметить, что перспективная ликвидность, которую показывает третье неравенство, отражает некоторый платежный излишек.</w:t>
      </w:r>
    </w:p>
    <w:p w:rsidR="0022308D" w:rsidRDefault="0022308D">
      <w:pPr>
        <w:pStyle w:val="21"/>
        <w:ind w:firstLine="709"/>
      </w:pPr>
      <w:r>
        <w:t>Проводимый по изложенной схеме анализ ликвидности баланса является приближенным. Более детальным является анализ платежеспособности при помощи финансовых коэффициентов.</w:t>
      </w:r>
    </w:p>
    <w:p w:rsidR="0022308D" w:rsidRDefault="0022308D">
      <w:pPr>
        <w:pStyle w:val="21"/>
        <w:ind w:firstLine="709"/>
        <w:jc w:val="center"/>
        <w:rPr>
          <w:rFonts w:ascii="Arial" w:hAnsi="Arial" w:cs="Arial"/>
          <w:b/>
          <w:bCs/>
        </w:rPr>
      </w:pPr>
      <w:r>
        <w:rPr>
          <w:rFonts w:ascii="Arial" w:hAnsi="Arial" w:cs="Arial"/>
          <w:b/>
          <w:bCs/>
        </w:rPr>
        <w:t>Расчет и оценка коэффициентов платежеспособности.</w:t>
      </w:r>
    </w:p>
    <w:p w:rsidR="0022308D" w:rsidRDefault="0022308D">
      <w:pPr>
        <w:pStyle w:val="21"/>
        <w:ind w:firstLine="709"/>
      </w:pPr>
      <w:r>
        <w:t>Коэффициенты платежеспособности анализируются по сравнению с нормативами, указанными в Таблице 2</w:t>
      </w:r>
    </w:p>
    <w:p w:rsidR="0022308D" w:rsidRDefault="0022308D">
      <w:pPr>
        <w:pStyle w:val="5"/>
      </w:pPr>
      <w:r>
        <w:t>Таблица 2</w:t>
      </w:r>
    </w:p>
    <w:p w:rsidR="0022308D" w:rsidRDefault="0022308D">
      <w:pPr>
        <w:spacing w:line="360" w:lineRule="auto"/>
        <w:ind w:firstLine="720"/>
        <w:jc w:val="center"/>
        <w:rPr>
          <w:sz w:val="26"/>
          <w:szCs w:val="26"/>
        </w:rPr>
      </w:pPr>
      <w:r>
        <w:rPr>
          <w:sz w:val="26"/>
          <w:szCs w:val="26"/>
        </w:rPr>
        <w:t>Нормативные финансовые коэффициенты.</w:t>
      </w:r>
      <w:r>
        <w:rPr>
          <w:sz w:val="26"/>
          <w:szCs w:val="26"/>
          <w:lang w:val="en-US"/>
        </w:rPr>
        <w:t xml:space="preserve"> [8 стр.40]</w:t>
      </w:r>
    </w:p>
    <w:tbl>
      <w:tblPr>
        <w:tblW w:w="0" w:type="auto"/>
        <w:tblInd w:w="-45" w:type="dxa"/>
        <w:tblLayout w:type="fixed"/>
        <w:tblCellMar>
          <w:left w:w="30" w:type="dxa"/>
          <w:right w:w="30" w:type="dxa"/>
        </w:tblCellMar>
        <w:tblLook w:val="0000" w:firstRow="0" w:lastRow="0" w:firstColumn="0" w:lastColumn="0" w:noHBand="0" w:noVBand="0"/>
      </w:tblPr>
      <w:tblGrid>
        <w:gridCol w:w="3716"/>
        <w:gridCol w:w="2970"/>
        <w:gridCol w:w="3140"/>
      </w:tblGrid>
      <w:tr w:rsidR="0022308D">
        <w:trPr>
          <w:trHeight w:val="328"/>
        </w:trPr>
        <w:tc>
          <w:tcPr>
            <w:tcW w:w="3716" w:type="dxa"/>
            <w:tcBorders>
              <w:top w:val="single" w:sz="12" w:space="0" w:color="auto"/>
              <w:left w:val="single" w:sz="12" w:space="0" w:color="auto"/>
              <w:bottom w:val="single" w:sz="12" w:space="0" w:color="auto"/>
              <w:right w:val="single" w:sz="12" w:space="0" w:color="auto"/>
            </w:tcBorders>
          </w:tcPr>
          <w:p w:rsidR="0022308D" w:rsidRDefault="0022308D">
            <w:pPr>
              <w:jc w:val="center"/>
              <w:rPr>
                <w:snapToGrid w:val="0"/>
                <w:color w:val="000000"/>
                <w:sz w:val="26"/>
                <w:szCs w:val="26"/>
              </w:rPr>
            </w:pPr>
            <w:r>
              <w:rPr>
                <w:snapToGrid w:val="0"/>
                <w:color w:val="000000"/>
                <w:sz w:val="26"/>
                <w:szCs w:val="26"/>
              </w:rPr>
              <w:t>Наименование показателя</w:t>
            </w:r>
          </w:p>
        </w:tc>
        <w:tc>
          <w:tcPr>
            <w:tcW w:w="2970" w:type="dxa"/>
            <w:tcBorders>
              <w:top w:val="single" w:sz="12" w:space="0" w:color="auto"/>
              <w:left w:val="single" w:sz="12" w:space="0" w:color="auto"/>
              <w:bottom w:val="single" w:sz="12" w:space="0" w:color="auto"/>
              <w:right w:val="single" w:sz="12" w:space="0" w:color="auto"/>
            </w:tcBorders>
          </w:tcPr>
          <w:p w:rsidR="0022308D" w:rsidRDefault="0022308D">
            <w:pPr>
              <w:jc w:val="center"/>
              <w:rPr>
                <w:snapToGrid w:val="0"/>
                <w:color w:val="000000"/>
                <w:sz w:val="26"/>
                <w:szCs w:val="26"/>
              </w:rPr>
            </w:pPr>
            <w:r>
              <w:rPr>
                <w:snapToGrid w:val="0"/>
                <w:color w:val="000000"/>
                <w:sz w:val="26"/>
                <w:szCs w:val="26"/>
              </w:rPr>
              <w:t>Способ расчета</w:t>
            </w:r>
          </w:p>
        </w:tc>
        <w:tc>
          <w:tcPr>
            <w:tcW w:w="3140" w:type="dxa"/>
            <w:tcBorders>
              <w:top w:val="single" w:sz="12" w:space="0" w:color="auto"/>
              <w:left w:val="single" w:sz="12" w:space="0" w:color="auto"/>
              <w:bottom w:val="single" w:sz="12" w:space="0" w:color="auto"/>
              <w:right w:val="single" w:sz="12" w:space="0" w:color="auto"/>
            </w:tcBorders>
          </w:tcPr>
          <w:p w:rsidR="0022308D" w:rsidRDefault="0022308D">
            <w:pPr>
              <w:jc w:val="center"/>
              <w:rPr>
                <w:snapToGrid w:val="0"/>
                <w:color w:val="000000"/>
                <w:sz w:val="26"/>
                <w:szCs w:val="26"/>
              </w:rPr>
            </w:pPr>
            <w:r>
              <w:rPr>
                <w:snapToGrid w:val="0"/>
                <w:color w:val="000000"/>
                <w:sz w:val="26"/>
                <w:szCs w:val="26"/>
              </w:rPr>
              <w:t>Нормальное ограничение</w:t>
            </w:r>
          </w:p>
        </w:tc>
      </w:tr>
      <w:tr w:rsidR="0022308D">
        <w:trPr>
          <w:trHeight w:val="701"/>
        </w:trPr>
        <w:tc>
          <w:tcPr>
            <w:tcW w:w="3716" w:type="dxa"/>
            <w:tcBorders>
              <w:left w:val="single" w:sz="12" w:space="0" w:color="auto"/>
              <w:bottom w:val="single" w:sz="6" w:space="0" w:color="auto"/>
              <w:right w:val="single" w:sz="12" w:space="0" w:color="auto"/>
            </w:tcBorders>
          </w:tcPr>
          <w:p w:rsidR="0022308D" w:rsidRDefault="0022308D">
            <w:pPr>
              <w:rPr>
                <w:snapToGrid w:val="0"/>
                <w:color w:val="000000"/>
                <w:sz w:val="26"/>
                <w:szCs w:val="26"/>
              </w:rPr>
            </w:pPr>
            <w:r>
              <w:rPr>
                <w:snapToGrid w:val="0"/>
                <w:color w:val="000000"/>
                <w:sz w:val="26"/>
                <w:szCs w:val="26"/>
              </w:rPr>
              <w:t>1 Общий показатель платежеспособности</w:t>
            </w:r>
          </w:p>
        </w:tc>
        <w:tc>
          <w:tcPr>
            <w:tcW w:w="2970" w:type="dxa"/>
            <w:tcBorders>
              <w:left w:val="single" w:sz="12" w:space="0" w:color="auto"/>
              <w:bottom w:val="single" w:sz="6" w:space="0" w:color="auto"/>
              <w:right w:val="single" w:sz="12" w:space="0" w:color="auto"/>
            </w:tcBorders>
            <w:vAlign w:val="center"/>
          </w:tcPr>
          <w:p w:rsidR="0022308D" w:rsidRDefault="0022308D">
            <w:pPr>
              <w:rPr>
                <w:snapToGrid w:val="0"/>
                <w:color w:val="000000"/>
                <w:sz w:val="26"/>
                <w:szCs w:val="26"/>
              </w:rPr>
            </w:pPr>
            <w:r>
              <w:rPr>
                <w:snapToGrid w:val="0"/>
                <w:color w:val="000000"/>
                <w:sz w:val="26"/>
                <w:szCs w:val="26"/>
              </w:rPr>
              <w:t>L1=(A1+0,5*A2+0,3*A3)/(П1+0,5*П2+0,3*П3)</w:t>
            </w:r>
          </w:p>
        </w:tc>
        <w:tc>
          <w:tcPr>
            <w:tcW w:w="3140" w:type="dxa"/>
            <w:tcBorders>
              <w:left w:val="single" w:sz="12" w:space="0" w:color="auto"/>
              <w:bottom w:val="single" w:sz="6" w:space="0" w:color="auto"/>
              <w:right w:val="single" w:sz="12" w:space="0" w:color="auto"/>
            </w:tcBorders>
            <w:vAlign w:val="center"/>
          </w:tcPr>
          <w:p w:rsidR="0022308D" w:rsidRDefault="0022308D">
            <w:pPr>
              <w:jc w:val="center"/>
              <w:rPr>
                <w:snapToGrid w:val="0"/>
                <w:color w:val="000000"/>
                <w:sz w:val="26"/>
                <w:szCs w:val="26"/>
              </w:rPr>
            </w:pPr>
            <w:r>
              <w:rPr>
                <w:snapToGrid w:val="0"/>
                <w:color w:val="000000"/>
                <w:sz w:val="26"/>
                <w:szCs w:val="26"/>
              </w:rPr>
              <w:t>L1&gt;=1</w:t>
            </w:r>
          </w:p>
        </w:tc>
      </w:tr>
      <w:tr w:rsidR="0022308D">
        <w:trPr>
          <w:trHeight w:val="386"/>
        </w:trPr>
        <w:tc>
          <w:tcPr>
            <w:tcW w:w="3716" w:type="dxa"/>
            <w:tcBorders>
              <w:top w:val="single" w:sz="6" w:space="0" w:color="auto"/>
              <w:left w:val="single" w:sz="12" w:space="0" w:color="auto"/>
              <w:bottom w:val="single" w:sz="6" w:space="0" w:color="auto"/>
              <w:right w:val="single" w:sz="12" w:space="0" w:color="auto"/>
            </w:tcBorders>
          </w:tcPr>
          <w:p w:rsidR="0022308D" w:rsidRDefault="0022308D">
            <w:pPr>
              <w:rPr>
                <w:snapToGrid w:val="0"/>
                <w:color w:val="000000"/>
                <w:sz w:val="26"/>
                <w:szCs w:val="26"/>
              </w:rPr>
            </w:pPr>
            <w:r>
              <w:rPr>
                <w:snapToGrid w:val="0"/>
                <w:color w:val="000000"/>
                <w:sz w:val="26"/>
                <w:szCs w:val="26"/>
              </w:rPr>
              <w:t>2 К-т абсолютной ликвидности</w:t>
            </w:r>
          </w:p>
        </w:tc>
        <w:tc>
          <w:tcPr>
            <w:tcW w:w="2970" w:type="dxa"/>
            <w:tcBorders>
              <w:top w:val="single" w:sz="6" w:space="0" w:color="auto"/>
              <w:left w:val="single" w:sz="12" w:space="0" w:color="auto"/>
              <w:bottom w:val="single" w:sz="6" w:space="0" w:color="auto"/>
              <w:right w:val="single" w:sz="12" w:space="0" w:color="auto"/>
            </w:tcBorders>
            <w:vAlign w:val="center"/>
          </w:tcPr>
          <w:p w:rsidR="0022308D" w:rsidRDefault="0022308D">
            <w:pPr>
              <w:jc w:val="center"/>
              <w:rPr>
                <w:snapToGrid w:val="0"/>
                <w:color w:val="000000"/>
                <w:sz w:val="26"/>
                <w:szCs w:val="26"/>
              </w:rPr>
            </w:pPr>
            <w:r>
              <w:rPr>
                <w:snapToGrid w:val="0"/>
                <w:color w:val="000000"/>
                <w:sz w:val="26"/>
                <w:szCs w:val="26"/>
              </w:rPr>
              <w:t>L2 = А1/(П1+П2)</w:t>
            </w:r>
          </w:p>
        </w:tc>
        <w:tc>
          <w:tcPr>
            <w:tcW w:w="3140" w:type="dxa"/>
            <w:tcBorders>
              <w:top w:val="single" w:sz="6" w:space="0" w:color="auto"/>
              <w:left w:val="single" w:sz="12" w:space="0" w:color="auto"/>
              <w:bottom w:val="single" w:sz="6" w:space="0" w:color="auto"/>
              <w:right w:val="single" w:sz="12" w:space="0" w:color="auto"/>
            </w:tcBorders>
            <w:vAlign w:val="center"/>
          </w:tcPr>
          <w:p w:rsidR="0022308D" w:rsidRDefault="0022308D">
            <w:pPr>
              <w:jc w:val="center"/>
              <w:rPr>
                <w:snapToGrid w:val="0"/>
                <w:color w:val="000000"/>
                <w:sz w:val="26"/>
                <w:szCs w:val="26"/>
              </w:rPr>
            </w:pPr>
            <w:r>
              <w:rPr>
                <w:snapToGrid w:val="0"/>
                <w:color w:val="000000"/>
                <w:sz w:val="26"/>
                <w:szCs w:val="26"/>
              </w:rPr>
              <w:t>L2&gt; 0,1-0,7</w:t>
            </w:r>
          </w:p>
        </w:tc>
      </w:tr>
      <w:tr w:rsidR="0022308D">
        <w:trPr>
          <w:trHeight w:val="643"/>
        </w:trPr>
        <w:tc>
          <w:tcPr>
            <w:tcW w:w="3716" w:type="dxa"/>
            <w:tcBorders>
              <w:top w:val="single" w:sz="6" w:space="0" w:color="auto"/>
              <w:left w:val="single" w:sz="12" w:space="0" w:color="auto"/>
              <w:bottom w:val="single" w:sz="6" w:space="0" w:color="auto"/>
              <w:right w:val="single" w:sz="12" w:space="0" w:color="auto"/>
            </w:tcBorders>
          </w:tcPr>
          <w:p w:rsidR="0022308D" w:rsidRDefault="0022308D">
            <w:pPr>
              <w:rPr>
                <w:snapToGrid w:val="0"/>
                <w:color w:val="000000"/>
                <w:sz w:val="26"/>
                <w:szCs w:val="26"/>
              </w:rPr>
            </w:pPr>
            <w:r>
              <w:rPr>
                <w:snapToGrid w:val="0"/>
                <w:color w:val="000000"/>
                <w:sz w:val="26"/>
                <w:szCs w:val="26"/>
              </w:rPr>
              <w:t>3  Коэффициент "критической" оценки</w:t>
            </w:r>
          </w:p>
        </w:tc>
        <w:tc>
          <w:tcPr>
            <w:tcW w:w="2970" w:type="dxa"/>
            <w:tcBorders>
              <w:top w:val="single" w:sz="6" w:space="0" w:color="auto"/>
              <w:left w:val="single" w:sz="12" w:space="0" w:color="auto"/>
              <w:bottom w:val="single" w:sz="6" w:space="0" w:color="auto"/>
              <w:right w:val="single" w:sz="12" w:space="0" w:color="auto"/>
            </w:tcBorders>
            <w:vAlign w:val="center"/>
          </w:tcPr>
          <w:p w:rsidR="0022308D" w:rsidRDefault="0022308D">
            <w:pPr>
              <w:jc w:val="center"/>
              <w:rPr>
                <w:snapToGrid w:val="0"/>
                <w:color w:val="000000"/>
                <w:sz w:val="26"/>
                <w:szCs w:val="26"/>
              </w:rPr>
            </w:pPr>
            <w:r>
              <w:rPr>
                <w:snapToGrid w:val="0"/>
                <w:color w:val="000000"/>
                <w:sz w:val="26"/>
                <w:szCs w:val="26"/>
              </w:rPr>
              <w:t>L3 = (А1+А2)/(П1+П2)</w:t>
            </w:r>
          </w:p>
        </w:tc>
        <w:tc>
          <w:tcPr>
            <w:tcW w:w="3140" w:type="dxa"/>
            <w:tcBorders>
              <w:top w:val="single" w:sz="6" w:space="0" w:color="auto"/>
              <w:left w:val="single" w:sz="12" w:space="0" w:color="auto"/>
              <w:bottom w:val="single" w:sz="6" w:space="0" w:color="auto"/>
              <w:right w:val="single" w:sz="12" w:space="0" w:color="auto"/>
            </w:tcBorders>
            <w:vAlign w:val="center"/>
          </w:tcPr>
          <w:p w:rsidR="0022308D" w:rsidRDefault="0022308D">
            <w:pPr>
              <w:jc w:val="center"/>
              <w:rPr>
                <w:snapToGrid w:val="0"/>
                <w:color w:val="000000"/>
                <w:sz w:val="26"/>
                <w:szCs w:val="26"/>
              </w:rPr>
            </w:pPr>
            <w:r>
              <w:rPr>
                <w:snapToGrid w:val="0"/>
                <w:color w:val="000000"/>
                <w:sz w:val="26"/>
                <w:szCs w:val="26"/>
              </w:rPr>
              <w:t>Допустимо 0,7-0,8 желательно L3~1</w:t>
            </w:r>
          </w:p>
        </w:tc>
      </w:tr>
      <w:tr w:rsidR="0022308D">
        <w:trPr>
          <w:trHeight w:val="622"/>
        </w:trPr>
        <w:tc>
          <w:tcPr>
            <w:tcW w:w="3716" w:type="dxa"/>
            <w:tcBorders>
              <w:top w:val="single" w:sz="6" w:space="0" w:color="auto"/>
              <w:left w:val="single" w:sz="12" w:space="0" w:color="auto"/>
              <w:bottom w:val="single" w:sz="12" w:space="0" w:color="auto"/>
              <w:right w:val="single" w:sz="12" w:space="0" w:color="auto"/>
            </w:tcBorders>
          </w:tcPr>
          <w:p w:rsidR="0022308D" w:rsidRDefault="0022308D">
            <w:pPr>
              <w:rPr>
                <w:snapToGrid w:val="0"/>
                <w:color w:val="000000"/>
                <w:sz w:val="26"/>
                <w:szCs w:val="26"/>
              </w:rPr>
            </w:pPr>
            <w:r>
              <w:rPr>
                <w:snapToGrid w:val="0"/>
                <w:color w:val="000000"/>
                <w:sz w:val="26"/>
                <w:szCs w:val="26"/>
              </w:rPr>
              <w:t>4 Коэффициент текущей ликвидности</w:t>
            </w:r>
          </w:p>
        </w:tc>
        <w:tc>
          <w:tcPr>
            <w:tcW w:w="2970" w:type="dxa"/>
            <w:tcBorders>
              <w:top w:val="single" w:sz="6" w:space="0" w:color="auto"/>
              <w:left w:val="single" w:sz="12" w:space="0" w:color="auto"/>
              <w:bottom w:val="single" w:sz="12" w:space="0" w:color="auto"/>
              <w:right w:val="single" w:sz="12" w:space="0" w:color="auto"/>
            </w:tcBorders>
            <w:vAlign w:val="center"/>
          </w:tcPr>
          <w:p w:rsidR="0022308D" w:rsidRDefault="0022308D">
            <w:pPr>
              <w:jc w:val="center"/>
              <w:rPr>
                <w:snapToGrid w:val="0"/>
                <w:color w:val="000000"/>
                <w:sz w:val="22"/>
                <w:szCs w:val="22"/>
              </w:rPr>
            </w:pPr>
            <w:r>
              <w:rPr>
                <w:snapToGrid w:val="0"/>
                <w:color w:val="000000"/>
                <w:sz w:val="22"/>
                <w:szCs w:val="22"/>
              </w:rPr>
              <w:t>L4 = (А1+А2+А3)/(П1+П2)</w:t>
            </w:r>
          </w:p>
        </w:tc>
        <w:tc>
          <w:tcPr>
            <w:tcW w:w="3140" w:type="dxa"/>
            <w:tcBorders>
              <w:top w:val="single" w:sz="6" w:space="0" w:color="auto"/>
              <w:left w:val="single" w:sz="12" w:space="0" w:color="auto"/>
              <w:bottom w:val="single" w:sz="12" w:space="0" w:color="auto"/>
              <w:right w:val="single" w:sz="12" w:space="0" w:color="auto"/>
            </w:tcBorders>
            <w:vAlign w:val="center"/>
          </w:tcPr>
          <w:p w:rsidR="0022308D" w:rsidRDefault="0022308D">
            <w:pPr>
              <w:jc w:val="center"/>
              <w:rPr>
                <w:snapToGrid w:val="0"/>
                <w:color w:val="000000"/>
                <w:sz w:val="26"/>
                <w:szCs w:val="26"/>
              </w:rPr>
            </w:pPr>
            <w:r>
              <w:rPr>
                <w:snapToGrid w:val="0"/>
                <w:color w:val="000000"/>
                <w:sz w:val="26"/>
                <w:szCs w:val="26"/>
              </w:rPr>
              <w:t>Необходимое 1; оптимальное    L4~1,5-2</w:t>
            </w:r>
          </w:p>
        </w:tc>
      </w:tr>
    </w:tbl>
    <w:p w:rsidR="0022308D" w:rsidRDefault="0022308D">
      <w:pPr>
        <w:spacing w:line="360" w:lineRule="auto"/>
        <w:ind w:firstLine="720"/>
        <w:jc w:val="both"/>
        <w:rPr>
          <w:sz w:val="26"/>
          <w:szCs w:val="26"/>
        </w:rPr>
      </w:pPr>
      <w:r>
        <w:rPr>
          <w:sz w:val="26"/>
          <w:szCs w:val="26"/>
        </w:rPr>
        <w:t>Поясним смысл коэффициентов. Коэффициент абсолютной ликвидности(</w:t>
      </w:r>
      <w:r>
        <w:rPr>
          <w:sz w:val="26"/>
          <w:szCs w:val="26"/>
          <w:lang w:val="en-US"/>
        </w:rPr>
        <w:t>L2</w:t>
      </w:r>
      <w:r>
        <w:rPr>
          <w:sz w:val="26"/>
          <w:szCs w:val="26"/>
        </w:rPr>
        <w:t>) показывает, какую часть краткосрочной задолженности организация может погасить в ближайшее время за счет денежных средств. Коэффициент «критической» оценки(</w:t>
      </w:r>
      <w:r>
        <w:rPr>
          <w:sz w:val="26"/>
          <w:szCs w:val="26"/>
          <w:lang w:val="en-US"/>
        </w:rPr>
        <w:t>L3</w:t>
      </w:r>
      <w:r>
        <w:rPr>
          <w:sz w:val="26"/>
          <w:szCs w:val="26"/>
        </w:rPr>
        <w:t>) показывает, какая часть краткосрочных обязательств организации может быть немедленно погашена за счет средств на различных счетах и поступлений по расчетам. Коэффициент текущей ликвидности(</w:t>
      </w:r>
      <w:r>
        <w:rPr>
          <w:sz w:val="26"/>
          <w:szCs w:val="26"/>
          <w:lang w:val="en-US"/>
        </w:rPr>
        <w:t>L4</w:t>
      </w:r>
      <w:r>
        <w:rPr>
          <w:sz w:val="26"/>
          <w:szCs w:val="26"/>
        </w:rPr>
        <w:t>)</w:t>
      </w:r>
      <w:r>
        <w:rPr>
          <w:sz w:val="26"/>
          <w:szCs w:val="26"/>
          <w:lang w:val="en-US"/>
        </w:rPr>
        <w:t xml:space="preserve"> </w:t>
      </w:r>
      <w:r>
        <w:rPr>
          <w:sz w:val="26"/>
          <w:szCs w:val="26"/>
        </w:rPr>
        <w:t>показывает, какую часть текущих обязательств по кредитам и расчетам можно погасить, мобилизовав все оборотные средства.</w:t>
      </w:r>
    </w:p>
    <w:p w:rsidR="0022308D" w:rsidRDefault="0022308D">
      <w:pPr>
        <w:spacing w:line="360" w:lineRule="auto"/>
        <w:ind w:firstLine="720"/>
        <w:jc w:val="both"/>
        <w:rPr>
          <w:sz w:val="26"/>
          <w:szCs w:val="26"/>
        </w:rPr>
      </w:pPr>
      <w:r>
        <w:rPr>
          <w:sz w:val="26"/>
          <w:szCs w:val="26"/>
        </w:rPr>
        <w:t xml:space="preserve"> Для комплексной оценки ликвидности баланса в целом используют общий показатель платежеспособности (</w:t>
      </w:r>
      <w:r>
        <w:rPr>
          <w:sz w:val="26"/>
          <w:szCs w:val="26"/>
          <w:lang w:val="en-US"/>
        </w:rPr>
        <w:t>L1</w:t>
      </w:r>
      <w:r>
        <w:rPr>
          <w:sz w:val="26"/>
          <w:szCs w:val="26"/>
        </w:rPr>
        <w:t xml:space="preserve">). С помощью него осуществляется оценка изменения финансовой ситуации в организации с точки зрения ликвидности. </w:t>
      </w:r>
    </w:p>
    <w:p w:rsidR="0022308D" w:rsidRDefault="0022308D">
      <w:pPr>
        <w:spacing w:line="360" w:lineRule="auto"/>
        <w:ind w:firstLine="720"/>
        <w:jc w:val="both"/>
        <w:rPr>
          <w:sz w:val="26"/>
          <w:szCs w:val="26"/>
        </w:rPr>
      </w:pPr>
      <w:r>
        <w:rPr>
          <w:sz w:val="26"/>
          <w:szCs w:val="26"/>
        </w:rPr>
        <w:t>Исходя из данных баланса (см. Приложение 1) в анализируемой организации коэффициенты, характеризующие платежеспособность, имеют следующие значения.</w:t>
      </w:r>
    </w:p>
    <w:p w:rsidR="0022308D" w:rsidRDefault="0022308D">
      <w:pPr>
        <w:pStyle w:val="5"/>
      </w:pPr>
      <w:r>
        <w:t>Таблица 3</w:t>
      </w:r>
    </w:p>
    <w:p w:rsidR="0022308D" w:rsidRDefault="0022308D">
      <w:pPr>
        <w:pStyle w:val="3"/>
      </w:pPr>
      <w:r>
        <w:t>Коэффициенты платежеспособности (в долях единицы)</w:t>
      </w:r>
    </w:p>
    <w:tbl>
      <w:tblPr>
        <w:tblW w:w="0" w:type="auto"/>
        <w:tblInd w:w="-45" w:type="dxa"/>
        <w:tblLayout w:type="fixed"/>
        <w:tblCellMar>
          <w:left w:w="30" w:type="dxa"/>
          <w:right w:w="30" w:type="dxa"/>
        </w:tblCellMar>
        <w:tblLook w:val="0000" w:firstRow="0" w:lastRow="0" w:firstColumn="0" w:lastColumn="0" w:noHBand="0" w:noVBand="0"/>
      </w:tblPr>
      <w:tblGrid>
        <w:gridCol w:w="6024"/>
        <w:gridCol w:w="1277"/>
        <w:gridCol w:w="1118"/>
        <w:gridCol w:w="1469"/>
      </w:tblGrid>
      <w:tr w:rsidR="0022308D">
        <w:trPr>
          <w:trHeight w:val="696"/>
        </w:trPr>
        <w:tc>
          <w:tcPr>
            <w:tcW w:w="6024" w:type="dxa"/>
            <w:tcBorders>
              <w:top w:val="single" w:sz="12" w:space="0" w:color="auto"/>
              <w:left w:val="single" w:sz="12" w:space="0" w:color="auto"/>
              <w:bottom w:val="single" w:sz="12" w:space="0" w:color="auto"/>
              <w:right w:val="single" w:sz="12" w:space="0" w:color="auto"/>
            </w:tcBorders>
            <w:vAlign w:val="center"/>
          </w:tcPr>
          <w:p w:rsidR="0022308D" w:rsidRDefault="0022308D">
            <w:pPr>
              <w:pStyle w:val="6"/>
            </w:pPr>
            <w:r>
              <w:t>Коэффициенты платежеспособности</w:t>
            </w:r>
          </w:p>
        </w:tc>
        <w:tc>
          <w:tcPr>
            <w:tcW w:w="1277" w:type="dxa"/>
            <w:tcBorders>
              <w:top w:val="single" w:sz="12" w:space="0" w:color="auto"/>
              <w:left w:val="single" w:sz="12" w:space="0" w:color="auto"/>
              <w:bottom w:val="single" w:sz="12" w:space="0" w:color="auto"/>
              <w:right w:val="single" w:sz="12" w:space="0" w:color="auto"/>
            </w:tcBorders>
            <w:vAlign w:val="center"/>
          </w:tcPr>
          <w:p w:rsidR="0022308D" w:rsidRDefault="0022308D">
            <w:pPr>
              <w:jc w:val="center"/>
              <w:rPr>
                <w:snapToGrid w:val="0"/>
                <w:color w:val="000000"/>
                <w:sz w:val="26"/>
                <w:szCs w:val="26"/>
              </w:rPr>
            </w:pPr>
            <w:r>
              <w:rPr>
                <w:snapToGrid w:val="0"/>
                <w:color w:val="000000"/>
                <w:sz w:val="26"/>
                <w:szCs w:val="26"/>
              </w:rPr>
              <w:t>На начало периода</w:t>
            </w:r>
          </w:p>
        </w:tc>
        <w:tc>
          <w:tcPr>
            <w:tcW w:w="1118" w:type="dxa"/>
            <w:tcBorders>
              <w:top w:val="single" w:sz="12" w:space="0" w:color="auto"/>
              <w:left w:val="single" w:sz="12" w:space="0" w:color="auto"/>
              <w:bottom w:val="single" w:sz="12" w:space="0" w:color="auto"/>
              <w:right w:val="single" w:sz="12" w:space="0" w:color="auto"/>
            </w:tcBorders>
            <w:vAlign w:val="center"/>
          </w:tcPr>
          <w:p w:rsidR="0022308D" w:rsidRDefault="0022308D">
            <w:pPr>
              <w:jc w:val="center"/>
              <w:rPr>
                <w:snapToGrid w:val="0"/>
                <w:color w:val="000000"/>
                <w:sz w:val="26"/>
                <w:szCs w:val="26"/>
              </w:rPr>
            </w:pPr>
            <w:r>
              <w:rPr>
                <w:snapToGrid w:val="0"/>
                <w:color w:val="000000"/>
                <w:sz w:val="26"/>
                <w:szCs w:val="26"/>
              </w:rPr>
              <w:t>На конец периода</w:t>
            </w:r>
          </w:p>
        </w:tc>
        <w:tc>
          <w:tcPr>
            <w:tcW w:w="1469" w:type="dxa"/>
            <w:tcBorders>
              <w:top w:val="single" w:sz="12" w:space="0" w:color="auto"/>
              <w:left w:val="single" w:sz="12" w:space="0" w:color="auto"/>
              <w:bottom w:val="single" w:sz="12" w:space="0" w:color="auto"/>
              <w:right w:val="single" w:sz="12" w:space="0" w:color="auto"/>
            </w:tcBorders>
            <w:vAlign w:val="center"/>
          </w:tcPr>
          <w:p w:rsidR="0022308D" w:rsidRDefault="0022308D">
            <w:pPr>
              <w:pStyle w:val="6"/>
            </w:pPr>
            <w:r>
              <w:t>Отклонение</w:t>
            </w:r>
          </w:p>
        </w:tc>
      </w:tr>
      <w:tr w:rsidR="0022308D">
        <w:trPr>
          <w:trHeight w:val="322"/>
        </w:trPr>
        <w:tc>
          <w:tcPr>
            <w:tcW w:w="6024" w:type="dxa"/>
            <w:tcBorders>
              <w:left w:val="single" w:sz="12" w:space="0" w:color="auto"/>
              <w:bottom w:val="single" w:sz="6" w:space="0" w:color="auto"/>
              <w:right w:val="single" w:sz="12" w:space="0" w:color="auto"/>
            </w:tcBorders>
          </w:tcPr>
          <w:p w:rsidR="0022308D" w:rsidRDefault="0022308D">
            <w:pPr>
              <w:rPr>
                <w:snapToGrid w:val="0"/>
                <w:color w:val="000000"/>
                <w:sz w:val="26"/>
                <w:szCs w:val="26"/>
              </w:rPr>
            </w:pPr>
            <w:r>
              <w:rPr>
                <w:snapToGrid w:val="0"/>
                <w:color w:val="000000"/>
                <w:sz w:val="26"/>
                <w:szCs w:val="26"/>
              </w:rPr>
              <w:t>1 Общий показатель ликвидности (L1)</w:t>
            </w:r>
          </w:p>
        </w:tc>
        <w:tc>
          <w:tcPr>
            <w:tcW w:w="1277" w:type="dxa"/>
            <w:tcBorders>
              <w:left w:val="single" w:sz="12" w:space="0" w:color="auto"/>
              <w:bottom w:val="single" w:sz="6" w:space="0" w:color="auto"/>
              <w:right w:val="single" w:sz="12" w:space="0" w:color="auto"/>
            </w:tcBorders>
          </w:tcPr>
          <w:p w:rsidR="0022308D" w:rsidRDefault="0022308D">
            <w:pPr>
              <w:jc w:val="center"/>
              <w:rPr>
                <w:snapToGrid w:val="0"/>
                <w:color w:val="000000"/>
                <w:sz w:val="26"/>
                <w:szCs w:val="26"/>
              </w:rPr>
            </w:pPr>
            <w:r>
              <w:rPr>
                <w:snapToGrid w:val="0"/>
                <w:color w:val="000000"/>
                <w:sz w:val="26"/>
                <w:szCs w:val="26"/>
              </w:rPr>
              <w:t>1,126</w:t>
            </w:r>
          </w:p>
        </w:tc>
        <w:tc>
          <w:tcPr>
            <w:tcW w:w="1118" w:type="dxa"/>
            <w:tcBorders>
              <w:left w:val="single" w:sz="12" w:space="0" w:color="auto"/>
              <w:bottom w:val="single" w:sz="6" w:space="0" w:color="auto"/>
              <w:right w:val="single" w:sz="12" w:space="0" w:color="auto"/>
            </w:tcBorders>
          </w:tcPr>
          <w:p w:rsidR="0022308D" w:rsidRDefault="0022308D">
            <w:pPr>
              <w:jc w:val="center"/>
              <w:rPr>
                <w:snapToGrid w:val="0"/>
                <w:color w:val="000000"/>
                <w:sz w:val="26"/>
                <w:szCs w:val="26"/>
              </w:rPr>
            </w:pPr>
            <w:r>
              <w:rPr>
                <w:snapToGrid w:val="0"/>
                <w:color w:val="000000"/>
                <w:sz w:val="26"/>
                <w:szCs w:val="26"/>
              </w:rPr>
              <w:t>0,962</w:t>
            </w:r>
          </w:p>
        </w:tc>
        <w:tc>
          <w:tcPr>
            <w:tcW w:w="1469" w:type="dxa"/>
            <w:tcBorders>
              <w:left w:val="single" w:sz="12" w:space="0" w:color="auto"/>
              <w:bottom w:val="single" w:sz="6" w:space="0" w:color="auto"/>
              <w:right w:val="single" w:sz="12" w:space="0" w:color="auto"/>
            </w:tcBorders>
          </w:tcPr>
          <w:p w:rsidR="0022308D" w:rsidRDefault="0022308D">
            <w:pPr>
              <w:jc w:val="center"/>
              <w:rPr>
                <w:snapToGrid w:val="0"/>
                <w:color w:val="000000"/>
                <w:sz w:val="26"/>
                <w:szCs w:val="26"/>
              </w:rPr>
            </w:pPr>
            <w:r>
              <w:rPr>
                <w:snapToGrid w:val="0"/>
                <w:color w:val="000000"/>
                <w:sz w:val="26"/>
                <w:szCs w:val="26"/>
              </w:rPr>
              <w:t>-0,164</w:t>
            </w:r>
          </w:p>
        </w:tc>
      </w:tr>
      <w:tr w:rsidR="0022308D">
        <w:trPr>
          <w:trHeight w:val="322"/>
        </w:trPr>
        <w:tc>
          <w:tcPr>
            <w:tcW w:w="6024" w:type="dxa"/>
            <w:tcBorders>
              <w:top w:val="single" w:sz="6" w:space="0" w:color="auto"/>
              <w:left w:val="single" w:sz="12" w:space="0" w:color="auto"/>
              <w:bottom w:val="single" w:sz="6" w:space="0" w:color="auto"/>
              <w:right w:val="single" w:sz="12" w:space="0" w:color="auto"/>
            </w:tcBorders>
          </w:tcPr>
          <w:p w:rsidR="0022308D" w:rsidRDefault="0022308D">
            <w:pPr>
              <w:rPr>
                <w:snapToGrid w:val="0"/>
                <w:color w:val="000000"/>
                <w:sz w:val="26"/>
                <w:szCs w:val="26"/>
              </w:rPr>
            </w:pPr>
            <w:r>
              <w:rPr>
                <w:snapToGrid w:val="0"/>
                <w:color w:val="000000"/>
                <w:sz w:val="26"/>
                <w:szCs w:val="26"/>
              </w:rPr>
              <w:t>2 Коэффициент абсолютной ликвидности (L2)</w:t>
            </w:r>
          </w:p>
        </w:tc>
        <w:tc>
          <w:tcPr>
            <w:tcW w:w="1277" w:type="dxa"/>
            <w:tcBorders>
              <w:top w:val="single" w:sz="6" w:space="0" w:color="auto"/>
              <w:left w:val="single" w:sz="12" w:space="0" w:color="auto"/>
              <w:bottom w:val="single" w:sz="6" w:space="0" w:color="auto"/>
              <w:right w:val="single" w:sz="12" w:space="0" w:color="auto"/>
            </w:tcBorders>
          </w:tcPr>
          <w:p w:rsidR="0022308D" w:rsidRDefault="0022308D">
            <w:pPr>
              <w:jc w:val="center"/>
              <w:rPr>
                <w:snapToGrid w:val="0"/>
                <w:color w:val="000000"/>
                <w:sz w:val="26"/>
                <w:szCs w:val="26"/>
              </w:rPr>
            </w:pPr>
            <w:r>
              <w:rPr>
                <w:snapToGrid w:val="0"/>
                <w:color w:val="000000"/>
                <w:sz w:val="26"/>
                <w:szCs w:val="26"/>
              </w:rPr>
              <w:t>0,094</w:t>
            </w:r>
          </w:p>
        </w:tc>
        <w:tc>
          <w:tcPr>
            <w:tcW w:w="1118" w:type="dxa"/>
            <w:tcBorders>
              <w:top w:val="single" w:sz="6" w:space="0" w:color="auto"/>
              <w:left w:val="single" w:sz="12" w:space="0" w:color="auto"/>
              <w:bottom w:val="single" w:sz="6" w:space="0" w:color="auto"/>
              <w:right w:val="single" w:sz="12" w:space="0" w:color="auto"/>
            </w:tcBorders>
          </w:tcPr>
          <w:p w:rsidR="0022308D" w:rsidRDefault="0022308D">
            <w:pPr>
              <w:jc w:val="center"/>
              <w:rPr>
                <w:snapToGrid w:val="0"/>
                <w:color w:val="000000"/>
                <w:sz w:val="26"/>
                <w:szCs w:val="26"/>
              </w:rPr>
            </w:pPr>
            <w:r>
              <w:rPr>
                <w:snapToGrid w:val="0"/>
                <w:color w:val="000000"/>
                <w:sz w:val="26"/>
                <w:szCs w:val="26"/>
              </w:rPr>
              <w:t>0,074</w:t>
            </w:r>
          </w:p>
        </w:tc>
        <w:tc>
          <w:tcPr>
            <w:tcW w:w="1469" w:type="dxa"/>
            <w:tcBorders>
              <w:top w:val="single" w:sz="6" w:space="0" w:color="auto"/>
              <w:left w:val="single" w:sz="12" w:space="0" w:color="auto"/>
              <w:bottom w:val="single" w:sz="6" w:space="0" w:color="auto"/>
              <w:right w:val="single" w:sz="12" w:space="0" w:color="auto"/>
            </w:tcBorders>
          </w:tcPr>
          <w:p w:rsidR="0022308D" w:rsidRDefault="0022308D">
            <w:pPr>
              <w:jc w:val="center"/>
              <w:rPr>
                <w:snapToGrid w:val="0"/>
                <w:color w:val="000000"/>
                <w:sz w:val="26"/>
                <w:szCs w:val="26"/>
              </w:rPr>
            </w:pPr>
            <w:r>
              <w:rPr>
                <w:snapToGrid w:val="0"/>
                <w:color w:val="000000"/>
                <w:sz w:val="26"/>
                <w:szCs w:val="26"/>
              </w:rPr>
              <w:t>-0,02</w:t>
            </w:r>
          </w:p>
        </w:tc>
      </w:tr>
      <w:tr w:rsidR="0022308D">
        <w:trPr>
          <w:trHeight w:val="322"/>
        </w:trPr>
        <w:tc>
          <w:tcPr>
            <w:tcW w:w="6024" w:type="dxa"/>
            <w:tcBorders>
              <w:top w:val="single" w:sz="6" w:space="0" w:color="auto"/>
              <w:left w:val="single" w:sz="12" w:space="0" w:color="auto"/>
              <w:bottom w:val="single" w:sz="6" w:space="0" w:color="auto"/>
              <w:right w:val="single" w:sz="12" w:space="0" w:color="auto"/>
            </w:tcBorders>
          </w:tcPr>
          <w:p w:rsidR="0022308D" w:rsidRDefault="0022308D">
            <w:pPr>
              <w:rPr>
                <w:snapToGrid w:val="0"/>
                <w:color w:val="000000"/>
                <w:sz w:val="26"/>
                <w:szCs w:val="26"/>
              </w:rPr>
            </w:pPr>
            <w:r>
              <w:rPr>
                <w:snapToGrid w:val="0"/>
                <w:color w:val="000000"/>
                <w:sz w:val="26"/>
                <w:szCs w:val="26"/>
              </w:rPr>
              <w:t>3 Коэффициент "критической" оценки (L3)</w:t>
            </w:r>
          </w:p>
        </w:tc>
        <w:tc>
          <w:tcPr>
            <w:tcW w:w="1277" w:type="dxa"/>
            <w:tcBorders>
              <w:top w:val="single" w:sz="6" w:space="0" w:color="auto"/>
              <w:left w:val="single" w:sz="12" w:space="0" w:color="auto"/>
              <w:bottom w:val="single" w:sz="6" w:space="0" w:color="auto"/>
              <w:right w:val="single" w:sz="12" w:space="0" w:color="auto"/>
            </w:tcBorders>
          </w:tcPr>
          <w:p w:rsidR="0022308D" w:rsidRDefault="0022308D">
            <w:pPr>
              <w:jc w:val="center"/>
              <w:rPr>
                <w:snapToGrid w:val="0"/>
                <w:color w:val="000000"/>
                <w:sz w:val="26"/>
                <w:szCs w:val="26"/>
              </w:rPr>
            </w:pPr>
            <w:r>
              <w:rPr>
                <w:snapToGrid w:val="0"/>
                <w:color w:val="000000"/>
                <w:sz w:val="26"/>
                <w:szCs w:val="26"/>
              </w:rPr>
              <w:t>0,676</w:t>
            </w:r>
          </w:p>
        </w:tc>
        <w:tc>
          <w:tcPr>
            <w:tcW w:w="1118" w:type="dxa"/>
            <w:tcBorders>
              <w:top w:val="single" w:sz="6" w:space="0" w:color="auto"/>
              <w:left w:val="single" w:sz="12" w:space="0" w:color="auto"/>
              <w:bottom w:val="single" w:sz="6" w:space="0" w:color="auto"/>
              <w:right w:val="single" w:sz="12" w:space="0" w:color="auto"/>
            </w:tcBorders>
          </w:tcPr>
          <w:p w:rsidR="0022308D" w:rsidRDefault="0022308D">
            <w:pPr>
              <w:jc w:val="center"/>
              <w:rPr>
                <w:snapToGrid w:val="0"/>
                <w:color w:val="000000"/>
                <w:sz w:val="26"/>
                <w:szCs w:val="26"/>
              </w:rPr>
            </w:pPr>
            <w:r>
              <w:rPr>
                <w:snapToGrid w:val="0"/>
                <w:color w:val="000000"/>
                <w:sz w:val="26"/>
                <w:szCs w:val="26"/>
              </w:rPr>
              <w:t>0,663</w:t>
            </w:r>
          </w:p>
        </w:tc>
        <w:tc>
          <w:tcPr>
            <w:tcW w:w="1469" w:type="dxa"/>
            <w:tcBorders>
              <w:top w:val="single" w:sz="6" w:space="0" w:color="auto"/>
              <w:left w:val="single" w:sz="12" w:space="0" w:color="auto"/>
              <w:bottom w:val="single" w:sz="6" w:space="0" w:color="auto"/>
              <w:right w:val="single" w:sz="12" w:space="0" w:color="auto"/>
            </w:tcBorders>
          </w:tcPr>
          <w:p w:rsidR="0022308D" w:rsidRDefault="0022308D">
            <w:pPr>
              <w:jc w:val="center"/>
              <w:rPr>
                <w:snapToGrid w:val="0"/>
                <w:color w:val="000000"/>
                <w:sz w:val="26"/>
                <w:szCs w:val="26"/>
              </w:rPr>
            </w:pPr>
            <w:r>
              <w:rPr>
                <w:snapToGrid w:val="0"/>
                <w:color w:val="000000"/>
                <w:sz w:val="26"/>
                <w:szCs w:val="26"/>
              </w:rPr>
              <w:t>-0,013</w:t>
            </w:r>
          </w:p>
        </w:tc>
      </w:tr>
      <w:tr w:rsidR="0022308D">
        <w:trPr>
          <w:trHeight w:val="336"/>
        </w:trPr>
        <w:tc>
          <w:tcPr>
            <w:tcW w:w="6024" w:type="dxa"/>
            <w:tcBorders>
              <w:top w:val="single" w:sz="6" w:space="0" w:color="auto"/>
              <w:left w:val="single" w:sz="12" w:space="0" w:color="auto"/>
              <w:bottom w:val="single" w:sz="12" w:space="0" w:color="auto"/>
              <w:right w:val="single" w:sz="12" w:space="0" w:color="auto"/>
            </w:tcBorders>
          </w:tcPr>
          <w:p w:rsidR="0022308D" w:rsidRDefault="0022308D">
            <w:pPr>
              <w:rPr>
                <w:snapToGrid w:val="0"/>
                <w:color w:val="000000"/>
                <w:sz w:val="26"/>
                <w:szCs w:val="26"/>
              </w:rPr>
            </w:pPr>
            <w:r>
              <w:rPr>
                <w:snapToGrid w:val="0"/>
                <w:color w:val="000000"/>
                <w:sz w:val="26"/>
                <w:szCs w:val="26"/>
              </w:rPr>
              <w:t>4 Коэффициент текущей ликвидности (L4)</w:t>
            </w:r>
          </w:p>
        </w:tc>
        <w:tc>
          <w:tcPr>
            <w:tcW w:w="1277" w:type="dxa"/>
            <w:tcBorders>
              <w:top w:val="single" w:sz="6" w:space="0" w:color="auto"/>
              <w:left w:val="single" w:sz="12" w:space="0" w:color="auto"/>
              <w:bottom w:val="single" w:sz="12" w:space="0" w:color="auto"/>
              <w:right w:val="single" w:sz="12" w:space="0" w:color="auto"/>
            </w:tcBorders>
          </w:tcPr>
          <w:p w:rsidR="0022308D" w:rsidRDefault="0022308D">
            <w:pPr>
              <w:jc w:val="center"/>
              <w:rPr>
                <w:snapToGrid w:val="0"/>
                <w:color w:val="000000"/>
                <w:sz w:val="26"/>
                <w:szCs w:val="26"/>
              </w:rPr>
            </w:pPr>
            <w:r>
              <w:rPr>
                <w:snapToGrid w:val="0"/>
                <w:color w:val="000000"/>
                <w:sz w:val="26"/>
                <w:szCs w:val="26"/>
              </w:rPr>
              <w:t>1,811</w:t>
            </w:r>
          </w:p>
        </w:tc>
        <w:tc>
          <w:tcPr>
            <w:tcW w:w="1118" w:type="dxa"/>
            <w:tcBorders>
              <w:top w:val="single" w:sz="6" w:space="0" w:color="auto"/>
              <w:left w:val="single" w:sz="12" w:space="0" w:color="auto"/>
              <w:bottom w:val="single" w:sz="12" w:space="0" w:color="auto"/>
              <w:right w:val="single" w:sz="12" w:space="0" w:color="auto"/>
            </w:tcBorders>
          </w:tcPr>
          <w:p w:rsidR="0022308D" w:rsidRDefault="0022308D">
            <w:pPr>
              <w:jc w:val="center"/>
              <w:rPr>
                <w:snapToGrid w:val="0"/>
                <w:color w:val="000000"/>
                <w:sz w:val="26"/>
                <w:szCs w:val="26"/>
              </w:rPr>
            </w:pPr>
            <w:r>
              <w:rPr>
                <w:snapToGrid w:val="0"/>
                <w:color w:val="000000"/>
                <w:sz w:val="26"/>
                <w:szCs w:val="26"/>
              </w:rPr>
              <w:t>1,813</w:t>
            </w:r>
          </w:p>
        </w:tc>
        <w:tc>
          <w:tcPr>
            <w:tcW w:w="1469" w:type="dxa"/>
            <w:tcBorders>
              <w:top w:val="single" w:sz="6" w:space="0" w:color="auto"/>
              <w:left w:val="single" w:sz="12" w:space="0" w:color="auto"/>
              <w:bottom w:val="single" w:sz="12" w:space="0" w:color="auto"/>
              <w:right w:val="single" w:sz="12" w:space="0" w:color="auto"/>
            </w:tcBorders>
          </w:tcPr>
          <w:p w:rsidR="0022308D" w:rsidRDefault="0022308D">
            <w:pPr>
              <w:jc w:val="center"/>
              <w:rPr>
                <w:snapToGrid w:val="0"/>
                <w:color w:val="000000"/>
                <w:sz w:val="26"/>
                <w:szCs w:val="26"/>
              </w:rPr>
            </w:pPr>
            <w:r>
              <w:rPr>
                <w:snapToGrid w:val="0"/>
                <w:color w:val="000000"/>
                <w:sz w:val="26"/>
                <w:szCs w:val="26"/>
              </w:rPr>
              <w:t>0,002</w:t>
            </w:r>
          </w:p>
        </w:tc>
      </w:tr>
    </w:tbl>
    <w:p w:rsidR="0022308D" w:rsidRDefault="0022308D">
      <w:pPr>
        <w:spacing w:line="360" w:lineRule="auto"/>
        <w:ind w:firstLine="720"/>
        <w:jc w:val="both"/>
        <w:rPr>
          <w:sz w:val="26"/>
          <w:szCs w:val="26"/>
        </w:rPr>
      </w:pPr>
      <w:r>
        <w:rPr>
          <w:sz w:val="26"/>
          <w:szCs w:val="26"/>
        </w:rPr>
        <w:t xml:space="preserve">Динамика коэффициентов </w:t>
      </w:r>
      <w:r>
        <w:rPr>
          <w:sz w:val="26"/>
          <w:szCs w:val="26"/>
          <w:lang w:val="en-US"/>
        </w:rPr>
        <w:t xml:space="preserve">L1, L2, L3 </w:t>
      </w:r>
      <w:r>
        <w:rPr>
          <w:sz w:val="26"/>
          <w:szCs w:val="26"/>
        </w:rPr>
        <w:t>анализируемой организации отрицательная. Следует отметить, что общий показатель ликвидности (</w:t>
      </w:r>
      <w:r>
        <w:rPr>
          <w:sz w:val="26"/>
          <w:szCs w:val="26"/>
          <w:lang w:val="en-US"/>
        </w:rPr>
        <w:t>L1</w:t>
      </w:r>
      <w:r>
        <w:rPr>
          <w:sz w:val="26"/>
          <w:szCs w:val="26"/>
        </w:rPr>
        <w:t>) к концу периода снизился ниже нормативного. В конце отчетного года организация могла оплатить лишь 7,4% своих краткосрочных обязательств. Значение коэффициента критической оценки (</w:t>
      </w:r>
      <w:r>
        <w:rPr>
          <w:sz w:val="26"/>
          <w:szCs w:val="26"/>
          <w:lang w:val="en-US"/>
        </w:rPr>
        <w:t>L3</w:t>
      </w:r>
      <w:r>
        <w:rPr>
          <w:sz w:val="26"/>
          <w:szCs w:val="26"/>
        </w:rPr>
        <w:t>) близко к критериальному, но в конце отчетного периода оно  снизилось. Это отрицательная тенденция.</w:t>
      </w:r>
    </w:p>
    <w:p w:rsidR="0022308D" w:rsidRDefault="0022308D">
      <w:pPr>
        <w:spacing w:line="360" w:lineRule="auto"/>
        <w:ind w:firstLine="720"/>
        <w:jc w:val="both"/>
        <w:rPr>
          <w:sz w:val="26"/>
          <w:szCs w:val="26"/>
        </w:rPr>
      </w:pPr>
      <w:r>
        <w:rPr>
          <w:sz w:val="26"/>
          <w:szCs w:val="26"/>
        </w:rPr>
        <w:t>Коэффициент текущей ликвидности (</w:t>
      </w:r>
      <w:r>
        <w:rPr>
          <w:sz w:val="26"/>
          <w:szCs w:val="26"/>
          <w:lang w:val="en-US"/>
        </w:rPr>
        <w:t>L4</w:t>
      </w:r>
      <w:r>
        <w:rPr>
          <w:sz w:val="26"/>
          <w:szCs w:val="26"/>
        </w:rPr>
        <w:t>) обобщает предыдущие показатели и является одним из показателей, характеризующих удовлетворительность (неудовлетворительность) бухгалтерского баланса. Это главный показатель платежеспособности. Следовательно, можно сделать вывод об удовлетворительности бухгалтерского баланса.</w:t>
      </w:r>
    </w:p>
    <w:p w:rsidR="0022308D" w:rsidRDefault="0022308D">
      <w:pPr>
        <w:pStyle w:val="2"/>
        <w:spacing w:before="120"/>
        <w:jc w:val="center"/>
        <w:rPr>
          <w:sz w:val="26"/>
          <w:szCs w:val="26"/>
        </w:rPr>
      </w:pPr>
      <w:bookmarkStart w:id="6" w:name="_Toc500177595"/>
      <w:r>
        <w:rPr>
          <w:sz w:val="26"/>
          <w:szCs w:val="26"/>
        </w:rPr>
        <w:t>2.2 Анализ финансовой устойчивости.</w:t>
      </w:r>
      <w:bookmarkEnd w:id="6"/>
    </w:p>
    <w:p w:rsidR="0022308D" w:rsidRDefault="0022308D">
      <w:pPr>
        <w:spacing w:line="360" w:lineRule="auto"/>
        <w:ind w:firstLine="720"/>
        <w:jc w:val="both"/>
        <w:rPr>
          <w:sz w:val="26"/>
          <w:szCs w:val="26"/>
        </w:rPr>
      </w:pPr>
      <w:r>
        <w:rPr>
          <w:sz w:val="26"/>
          <w:szCs w:val="26"/>
        </w:rPr>
        <w:t xml:space="preserve">Оценка  финансового состояния организации будет неполной без анализа финансовой устойчивости. </w:t>
      </w:r>
      <w:r>
        <w:rPr>
          <w:b/>
          <w:bCs/>
          <w:sz w:val="26"/>
          <w:szCs w:val="26"/>
        </w:rPr>
        <w:t xml:space="preserve">Финансовая устойчивость предприятия – </w:t>
      </w:r>
      <w:r>
        <w:rPr>
          <w:sz w:val="26"/>
          <w:szCs w:val="26"/>
        </w:rPr>
        <w:t xml:space="preserve">это такое состояние его финансовых ресурсов, их распределение и использование, которое обеспечивает развитие предприятия на основе роста прибыли и капитала при сохранении платежеспособности и кредитоспособности в условиях допустимого уровня риска.  </w:t>
      </w:r>
      <w:r>
        <w:rPr>
          <w:sz w:val="26"/>
          <w:szCs w:val="26"/>
          <w:lang w:val="en-US"/>
        </w:rPr>
        <w:t>[14, с.78]</w:t>
      </w:r>
    </w:p>
    <w:p w:rsidR="0022308D" w:rsidRDefault="0022308D">
      <w:pPr>
        <w:spacing w:line="360" w:lineRule="auto"/>
        <w:ind w:firstLine="720"/>
        <w:jc w:val="both"/>
        <w:rPr>
          <w:sz w:val="26"/>
          <w:szCs w:val="26"/>
        </w:rPr>
      </w:pPr>
      <w:r>
        <w:rPr>
          <w:sz w:val="26"/>
          <w:szCs w:val="26"/>
        </w:rPr>
        <w:t>Задачей анализа финансовой устойчивости  является оценка величины и структуры активов и пассивов.  Это  необходимо, чтобы ответить на вопросы: насколько организация независима с финансовой точки зрения, растет или снижается уровень этой независимости и отвечает ли состояние его активов и пассивов задачам ее финансово-хозяйственной деятельности. Показатели, которые характеризуют независимость по каждому элементу активов и по имуществу в целом, дают возможность измерить, достаточно ли устойчива анализируемая организация в финансовом отношении.</w:t>
      </w:r>
    </w:p>
    <w:p w:rsidR="0022308D" w:rsidRDefault="0022308D">
      <w:pPr>
        <w:spacing w:line="360" w:lineRule="auto"/>
        <w:ind w:firstLine="720"/>
        <w:jc w:val="both"/>
        <w:rPr>
          <w:sz w:val="26"/>
          <w:szCs w:val="26"/>
          <w:lang w:val="en-US"/>
        </w:rPr>
      </w:pPr>
      <w:r>
        <w:rPr>
          <w:sz w:val="26"/>
          <w:szCs w:val="26"/>
        </w:rPr>
        <w:t>Необходимо определить, какие абсолютные показатели отражают сущность устойчивости финансового состояния.</w:t>
      </w:r>
    </w:p>
    <w:p w:rsidR="0022308D" w:rsidRDefault="0022308D">
      <w:pPr>
        <w:spacing w:line="360" w:lineRule="auto"/>
        <w:ind w:firstLine="720"/>
        <w:jc w:val="both"/>
        <w:rPr>
          <w:sz w:val="26"/>
          <w:szCs w:val="26"/>
          <w:lang w:val="en-US"/>
        </w:rPr>
      </w:pPr>
      <w:r>
        <w:rPr>
          <w:sz w:val="26"/>
          <w:szCs w:val="26"/>
        </w:rPr>
        <w:t xml:space="preserve">Абсолютными показателями финансовой устойчивости являются показатели,  характеризующие степень обеспеченности запасов и затрат источниками их формирования. Обобщающим показателем финансовой независимости является излишек или недостаток источников средств для формирования запасов и затрат, который определяется в виде разницы величины источников средств и величины запасов и затрат. </w:t>
      </w:r>
      <w:r>
        <w:rPr>
          <w:sz w:val="26"/>
          <w:szCs w:val="26"/>
          <w:lang w:val="en-US"/>
        </w:rPr>
        <w:t>[14, стр.80]</w:t>
      </w:r>
    </w:p>
    <w:p w:rsidR="0022308D" w:rsidRDefault="0022308D">
      <w:pPr>
        <w:spacing w:line="360" w:lineRule="auto"/>
        <w:ind w:firstLine="720"/>
        <w:jc w:val="both"/>
        <w:rPr>
          <w:sz w:val="26"/>
          <w:szCs w:val="26"/>
        </w:rPr>
      </w:pPr>
      <w:r>
        <w:rPr>
          <w:sz w:val="26"/>
          <w:szCs w:val="26"/>
        </w:rPr>
        <w:t>Общая величина запасов и затрат равна сумме строк 210 и 229 актива баланса.</w:t>
      </w:r>
    </w:p>
    <w:p w:rsidR="0022308D" w:rsidRDefault="0022308D">
      <w:pPr>
        <w:pStyle w:val="3"/>
      </w:pPr>
      <w:r>
        <w:t>ЗЗ = стр.210 + стр.220</w:t>
      </w:r>
    </w:p>
    <w:p w:rsidR="0022308D" w:rsidRDefault="0022308D">
      <w:pPr>
        <w:pStyle w:val="21"/>
      </w:pPr>
      <w:r>
        <w:t>Для характеристики источников формирования запасов и затрат используется несколько показателей, которые отражают различные виды источников.</w:t>
      </w:r>
    </w:p>
    <w:p w:rsidR="0022308D" w:rsidRDefault="0022308D">
      <w:pPr>
        <w:spacing w:line="360" w:lineRule="auto"/>
        <w:ind w:firstLine="720"/>
        <w:jc w:val="both"/>
        <w:rPr>
          <w:sz w:val="26"/>
          <w:szCs w:val="26"/>
        </w:rPr>
      </w:pPr>
      <w:r>
        <w:rPr>
          <w:sz w:val="26"/>
          <w:szCs w:val="26"/>
        </w:rPr>
        <w:t xml:space="preserve">1 Наличие собственных оборотных средств: </w:t>
      </w:r>
    </w:p>
    <w:p w:rsidR="0022308D" w:rsidRDefault="0022308D">
      <w:pPr>
        <w:pStyle w:val="7"/>
      </w:pPr>
      <w:r>
        <w:t>СОС = капитал и резервы – внеоборотные активы; СОС = стр.490 – стр.190</w:t>
      </w:r>
    </w:p>
    <w:p w:rsidR="0022308D" w:rsidRDefault="0022308D">
      <w:pPr>
        <w:pStyle w:val="23"/>
      </w:pPr>
      <w:r>
        <w:t>2.Наличие собственных и долгосрочных заемных источников формирования запасов и затрат или функционирующий капитал.</w:t>
      </w:r>
    </w:p>
    <w:p w:rsidR="0022308D" w:rsidRDefault="0022308D">
      <w:pPr>
        <w:spacing w:line="360" w:lineRule="auto"/>
        <w:jc w:val="both"/>
        <w:rPr>
          <w:sz w:val="26"/>
          <w:szCs w:val="26"/>
        </w:rPr>
      </w:pPr>
      <w:r>
        <w:rPr>
          <w:sz w:val="26"/>
          <w:szCs w:val="26"/>
        </w:rPr>
        <w:t>СД = СОС + долгосрочные пассивы; СД = стр. 490 – стр.190 + стр.590</w:t>
      </w:r>
    </w:p>
    <w:p w:rsidR="0022308D" w:rsidRDefault="0022308D">
      <w:pPr>
        <w:spacing w:line="360" w:lineRule="auto"/>
        <w:ind w:firstLine="709"/>
        <w:jc w:val="both"/>
        <w:rPr>
          <w:sz w:val="26"/>
          <w:szCs w:val="26"/>
        </w:rPr>
      </w:pPr>
      <w:r>
        <w:rPr>
          <w:sz w:val="26"/>
          <w:szCs w:val="26"/>
        </w:rPr>
        <w:t>3.Общая величина основных источников формирования запасов и затрат</w:t>
      </w:r>
    </w:p>
    <w:p w:rsidR="0022308D" w:rsidRDefault="0022308D">
      <w:pPr>
        <w:pStyle w:val="7"/>
      </w:pPr>
      <w:r>
        <w:t>ОИ = СД + Краткосрочные кредиты и займы; ОИ = стр.490 –стр.190 + стр.590 + стр.610</w:t>
      </w:r>
    </w:p>
    <w:p w:rsidR="0022308D" w:rsidRDefault="0022308D">
      <w:pPr>
        <w:spacing w:line="360" w:lineRule="auto"/>
        <w:ind w:firstLine="709"/>
        <w:jc w:val="both"/>
        <w:rPr>
          <w:sz w:val="26"/>
          <w:szCs w:val="26"/>
        </w:rPr>
      </w:pPr>
      <w:r>
        <w:rPr>
          <w:sz w:val="26"/>
          <w:szCs w:val="26"/>
        </w:rPr>
        <w:t>Трем показателям наличия источников формирования запасов и затрат соответствуют три показателя обеспеченности запасов и затрат источниками формирования:</w:t>
      </w:r>
    </w:p>
    <w:p w:rsidR="0022308D" w:rsidRDefault="0022308D">
      <w:pPr>
        <w:numPr>
          <w:ilvl w:val="0"/>
          <w:numId w:val="19"/>
        </w:numPr>
        <w:spacing w:line="360" w:lineRule="auto"/>
        <w:jc w:val="both"/>
        <w:rPr>
          <w:sz w:val="26"/>
          <w:szCs w:val="26"/>
        </w:rPr>
      </w:pPr>
      <w:r>
        <w:rPr>
          <w:sz w:val="26"/>
          <w:szCs w:val="26"/>
        </w:rPr>
        <w:t>Излишек (+) или недостаток (-) собственных оборотных средств:</w:t>
      </w:r>
    </w:p>
    <w:p w:rsidR="0022308D" w:rsidRDefault="0022308D">
      <w:pPr>
        <w:spacing w:line="360" w:lineRule="auto"/>
        <w:jc w:val="both"/>
        <w:rPr>
          <w:sz w:val="26"/>
          <w:szCs w:val="26"/>
        </w:rPr>
      </w:pPr>
      <w:r>
        <w:rPr>
          <w:sz w:val="26"/>
          <w:szCs w:val="26"/>
        </w:rPr>
        <w:t>+(-) Ф</w:t>
      </w:r>
      <w:r>
        <w:rPr>
          <w:sz w:val="26"/>
          <w:szCs w:val="26"/>
          <w:vertAlign w:val="superscript"/>
        </w:rPr>
        <w:t xml:space="preserve">С </w:t>
      </w:r>
      <w:r>
        <w:rPr>
          <w:sz w:val="26"/>
          <w:szCs w:val="26"/>
        </w:rPr>
        <w:t>= СОС –ЗЗ; или +(-)Ф</w:t>
      </w:r>
      <w:r>
        <w:rPr>
          <w:sz w:val="26"/>
          <w:szCs w:val="26"/>
          <w:vertAlign w:val="superscript"/>
        </w:rPr>
        <w:t>С</w:t>
      </w:r>
      <w:r>
        <w:rPr>
          <w:sz w:val="26"/>
          <w:szCs w:val="26"/>
        </w:rPr>
        <w:t xml:space="preserve"> = стр.490 – стр.190 – (стр.210 + стр.220)</w:t>
      </w:r>
    </w:p>
    <w:p w:rsidR="0022308D" w:rsidRDefault="0022308D">
      <w:pPr>
        <w:pStyle w:val="23"/>
      </w:pPr>
      <w:r>
        <w:t>2.Излишек (+) или недостаток (-) собственных и долгосрочных заемных источников формирования запасов и затрат:</w:t>
      </w:r>
    </w:p>
    <w:p w:rsidR="0022308D" w:rsidRDefault="0022308D">
      <w:pPr>
        <w:spacing w:line="360" w:lineRule="auto"/>
        <w:jc w:val="both"/>
        <w:rPr>
          <w:sz w:val="26"/>
          <w:szCs w:val="26"/>
        </w:rPr>
      </w:pPr>
      <w:r>
        <w:rPr>
          <w:sz w:val="26"/>
          <w:szCs w:val="26"/>
        </w:rPr>
        <w:t>+(-) Ф</w:t>
      </w:r>
      <w:r>
        <w:rPr>
          <w:sz w:val="26"/>
          <w:szCs w:val="26"/>
          <w:vertAlign w:val="superscript"/>
        </w:rPr>
        <w:t>Т</w:t>
      </w:r>
      <w:r>
        <w:rPr>
          <w:sz w:val="26"/>
          <w:szCs w:val="26"/>
        </w:rPr>
        <w:t xml:space="preserve"> = СД – ЗЗ; или +(-) Ф</w:t>
      </w:r>
      <w:r>
        <w:rPr>
          <w:sz w:val="26"/>
          <w:szCs w:val="26"/>
          <w:vertAlign w:val="superscript"/>
        </w:rPr>
        <w:t>Т</w:t>
      </w:r>
      <w:r>
        <w:rPr>
          <w:sz w:val="26"/>
          <w:szCs w:val="26"/>
        </w:rPr>
        <w:t xml:space="preserve"> = стр.490- стр.190  + стр.590 - (стр.210 + стр.220)</w:t>
      </w:r>
    </w:p>
    <w:p w:rsidR="0022308D" w:rsidRDefault="0022308D">
      <w:pPr>
        <w:spacing w:line="360" w:lineRule="auto"/>
        <w:ind w:firstLine="709"/>
        <w:jc w:val="both"/>
        <w:rPr>
          <w:sz w:val="26"/>
          <w:szCs w:val="26"/>
        </w:rPr>
      </w:pPr>
      <w:r>
        <w:rPr>
          <w:sz w:val="26"/>
          <w:szCs w:val="26"/>
        </w:rPr>
        <w:t>3.Излишек (+) или недостаток (-) общей величины основных источников для формирования запасов и затрат: +(-) Ф</w:t>
      </w:r>
      <w:r>
        <w:rPr>
          <w:sz w:val="26"/>
          <w:szCs w:val="26"/>
          <w:vertAlign w:val="superscript"/>
        </w:rPr>
        <w:t>О</w:t>
      </w:r>
      <w:r>
        <w:rPr>
          <w:sz w:val="26"/>
          <w:szCs w:val="26"/>
        </w:rPr>
        <w:t xml:space="preserve"> = ОИ – ЗЗ; или</w:t>
      </w:r>
    </w:p>
    <w:p w:rsidR="0022308D" w:rsidRDefault="0022308D">
      <w:pPr>
        <w:spacing w:line="360" w:lineRule="auto"/>
        <w:jc w:val="both"/>
        <w:rPr>
          <w:sz w:val="26"/>
          <w:szCs w:val="26"/>
        </w:rPr>
      </w:pPr>
      <w:r>
        <w:rPr>
          <w:sz w:val="26"/>
          <w:szCs w:val="26"/>
        </w:rPr>
        <w:t>+(-) Ф</w:t>
      </w:r>
      <w:r>
        <w:rPr>
          <w:sz w:val="26"/>
          <w:szCs w:val="26"/>
          <w:vertAlign w:val="superscript"/>
        </w:rPr>
        <w:t>О</w:t>
      </w:r>
      <w:r>
        <w:rPr>
          <w:sz w:val="26"/>
          <w:szCs w:val="26"/>
        </w:rPr>
        <w:t xml:space="preserve"> = стр.490 – стр.190 + стр.590 + стр.610 – (стр.210 + стр.220)</w:t>
      </w:r>
    </w:p>
    <w:p w:rsidR="0022308D" w:rsidRDefault="0022308D">
      <w:pPr>
        <w:pStyle w:val="23"/>
      </w:pPr>
      <w:r>
        <w:t>С помощью этих показателей мы можем определить трехкомпонентный показатель типа  финансовой ситуации:</w:t>
      </w:r>
    </w:p>
    <w:p w:rsidR="0022308D" w:rsidRDefault="007A0BB6">
      <w:pPr>
        <w:pStyle w:val="23"/>
      </w:pPr>
      <w:r>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6" type="#_x0000_t87" style="position:absolute;left:0;text-align:left;margin-left:245.9pt;margin-top:3.55pt;width:7.2pt;height:36pt;z-index:251655168" o:allowincell="f"/>
        </w:pict>
      </w:r>
      <w:r w:rsidR="0022308D">
        <w:t xml:space="preserve">                                                                    1, если Ф</w:t>
      </w:r>
      <w:r w:rsidR="0022308D">
        <w:rPr>
          <w:lang w:val="en-US"/>
        </w:rPr>
        <w:t>&gt;</w:t>
      </w:r>
      <w:r w:rsidR="0022308D">
        <w:t>0</w:t>
      </w:r>
    </w:p>
    <w:p w:rsidR="0022308D" w:rsidRDefault="0022308D">
      <w:pPr>
        <w:pStyle w:val="23"/>
        <w:jc w:val="center"/>
      </w:pPr>
      <w:r>
        <w:rPr>
          <w:lang w:val="en-US"/>
        </w:rPr>
        <w:t>S</w:t>
      </w:r>
      <w:r>
        <w:t>(Ф) =     О, если Ф</w:t>
      </w:r>
      <w:r>
        <w:rPr>
          <w:lang w:val="en-US"/>
        </w:rPr>
        <w:t>&lt;</w:t>
      </w:r>
      <w:r>
        <w:t>0</w:t>
      </w:r>
    </w:p>
    <w:p w:rsidR="0022308D" w:rsidRDefault="0022308D">
      <w:pPr>
        <w:spacing w:line="360" w:lineRule="auto"/>
        <w:jc w:val="both"/>
        <w:rPr>
          <w:sz w:val="26"/>
          <w:szCs w:val="26"/>
        </w:rPr>
      </w:pPr>
      <w:r>
        <w:rPr>
          <w:sz w:val="26"/>
          <w:szCs w:val="26"/>
        </w:rPr>
        <w:t>Возможно выделение 4-х типов финансовых ситуаций:</w:t>
      </w:r>
    </w:p>
    <w:p w:rsidR="0022308D" w:rsidRDefault="007A0BB6">
      <w:pPr>
        <w:spacing w:line="360" w:lineRule="auto"/>
        <w:ind w:firstLine="709"/>
        <w:jc w:val="both"/>
        <w:rPr>
          <w:sz w:val="26"/>
          <w:szCs w:val="26"/>
        </w:rPr>
      </w:pPr>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7" type="#_x0000_t88" style="position:absolute;left:0;text-align:left;margin-left:310.7pt;margin-top:65.9pt;width:7.2pt;height:21.6pt;z-index:251657216" o:allowincell="f"/>
        </w:pict>
      </w:r>
      <w:r>
        <w:rPr>
          <w:noProof/>
        </w:rPr>
        <w:pict>
          <v:shape id="_x0000_s1028" type="#_x0000_t87" style="position:absolute;left:0;text-align:left;margin-left:274.7pt;margin-top:65.9pt;width:7.2pt;height:21.6pt;z-index:251656192" o:allowincell="f"/>
        </w:pict>
      </w:r>
      <w:r w:rsidR="0022308D">
        <w:rPr>
          <w:b/>
          <w:bCs/>
          <w:sz w:val="26"/>
          <w:szCs w:val="26"/>
        </w:rPr>
        <w:t>1.Абсолютная независимость</w:t>
      </w:r>
      <w:r w:rsidR="0022308D">
        <w:rPr>
          <w:sz w:val="26"/>
          <w:szCs w:val="26"/>
        </w:rPr>
        <w:t xml:space="preserve"> финансового состояния. </w:t>
      </w:r>
      <w:r w:rsidR="0022308D">
        <w:rPr>
          <w:b/>
          <w:bCs/>
          <w:sz w:val="26"/>
          <w:szCs w:val="26"/>
        </w:rPr>
        <w:t xml:space="preserve"> </w:t>
      </w:r>
      <w:r w:rsidR="0022308D">
        <w:rPr>
          <w:sz w:val="26"/>
          <w:szCs w:val="26"/>
        </w:rPr>
        <w:t>Этот тип ситуации встречается крайне редко, представляет собой крайний тип финансовой устойчивости и отвечает следующим условиям: +(-)Ф</w:t>
      </w:r>
      <w:r w:rsidR="0022308D">
        <w:rPr>
          <w:sz w:val="26"/>
          <w:szCs w:val="26"/>
          <w:vertAlign w:val="superscript"/>
        </w:rPr>
        <w:t>С</w:t>
      </w:r>
      <w:r w:rsidR="0022308D">
        <w:rPr>
          <w:sz w:val="26"/>
          <w:szCs w:val="26"/>
        </w:rPr>
        <w:t>&gt;=0; +(-)Ф</w:t>
      </w:r>
      <w:r w:rsidR="0022308D">
        <w:rPr>
          <w:sz w:val="26"/>
          <w:szCs w:val="26"/>
          <w:vertAlign w:val="superscript"/>
        </w:rPr>
        <w:t>Т</w:t>
      </w:r>
      <w:r w:rsidR="0022308D">
        <w:rPr>
          <w:sz w:val="26"/>
          <w:szCs w:val="26"/>
        </w:rPr>
        <w:t>&gt;=0; +(-)Ф</w:t>
      </w:r>
      <w:r w:rsidR="0022308D">
        <w:rPr>
          <w:sz w:val="26"/>
          <w:szCs w:val="26"/>
          <w:vertAlign w:val="superscript"/>
        </w:rPr>
        <w:t>О</w:t>
      </w:r>
      <w:r w:rsidR="0022308D">
        <w:rPr>
          <w:sz w:val="26"/>
          <w:szCs w:val="26"/>
        </w:rPr>
        <w:t xml:space="preserve">&gt;=0; то есть трехкомпонентный показатель типа ситуации </w:t>
      </w:r>
      <w:r w:rsidR="0022308D">
        <w:rPr>
          <w:sz w:val="26"/>
          <w:szCs w:val="26"/>
          <w:lang w:val="en-US"/>
        </w:rPr>
        <w:t xml:space="preserve">S </w:t>
      </w:r>
      <w:r w:rsidR="0022308D">
        <w:rPr>
          <w:sz w:val="26"/>
          <w:szCs w:val="26"/>
        </w:rPr>
        <w:t>=  1;1;1</w:t>
      </w:r>
    </w:p>
    <w:p w:rsidR="0022308D" w:rsidRDefault="007A0BB6">
      <w:pPr>
        <w:spacing w:line="360" w:lineRule="auto"/>
        <w:ind w:firstLine="709"/>
        <w:jc w:val="both"/>
        <w:rPr>
          <w:sz w:val="26"/>
          <w:szCs w:val="26"/>
        </w:rPr>
      </w:pPr>
      <w:r>
        <w:rPr>
          <w:noProof/>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29" type="#_x0000_t186" style="position:absolute;left:0;text-align:left;margin-left:368.3pt;margin-top:19.4pt;width:36pt;height:21.6pt;z-index:251658240" o:allowincell="f"/>
        </w:pict>
      </w:r>
      <w:r w:rsidR="0022308D">
        <w:rPr>
          <w:b/>
          <w:bCs/>
          <w:sz w:val="26"/>
          <w:szCs w:val="26"/>
        </w:rPr>
        <w:t>2. Нормальная независимость</w:t>
      </w:r>
      <w:r w:rsidR="0022308D">
        <w:rPr>
          <w:sz w:val="26"/>
          <w:szCs w:val="26"/>
        </w:rPr>
        <w:t xml:space="preserve"> финансового состояния, которая гарантирует платежеспособность: +(-)Ф</w:t>
      </w:r>
      <w:r w:rsidR="0022308D">
        <w:rPr>
          <w:sz w:val="26"/>
          <w:szCs w:val="26"/>
          <w:vertAlign w:val="superscript"/>
        </w:rPr>
        <w:t>С</w:t>
      </w:r>
      <w:r w:rsidR="0022308D">
        <w:rPr>
          <w:sz w:val="26"/>
          <w:szCs w:val="26"/>
          <w:lang w:val="en-US"/>
        </w:rPr>
        <w:t>&lt;0;</w:t>
      </w:r>
      <w:r w:rsidR="0022308D">
        <w:rPr>
          <w:sz w:val="26"/>
          <w:szCs w:val="26"/>
        </w:rPr>
        <w:t xml:space="preserve"> +(-)Ф</w:t>
      </w:r>
      <w:r w:rsidR="0022308D">
        <w:rPr>
          <w:sz w:val="26"/>
          <w:szCs w:val="26"/>
          <w:vertAlign w:val="superscript"/>
        </w:rPr>
        <w:t>Т</w:t>
      </w:r>
      <w:r w:rsidR="0022308D">
        <w:rPr>
          <w:sz w:val="26"/>
          <w:szCs w:val="26"/>
        </w:rPr>
        <w:t>&gt;=0; +(-)Ф</w:t>
      </w:r>
      <w:r w:rsidR="0022308D">
        <w:rPr>
          <w:sz w:val="26"/>
          <w:szCs w:val="26"/>
          <w:vertAlign w:val="superscript"/>
        </w:rPr>
        <w:t>О</w:t>
      </w:r>
      <w:r w:rsidR="0022308D">
        <w:rPr>
          <w:sz w:val="26"/>
          <w:szCs w:val="26"/>
        </w:rPr>
        <w:t>&gt;=</w:t>
      </w:r>
      <w:r w:rsidR="0022308D">
        <w:rPr>
          <w:sz w:val="26"/>
          <w:szCs w:val="26"/>
          <w:lang w:val="en-US"/>
        </w:rPr>
        <w:t>0;</w:t>
      </w:r>
      <w:r w:rsidR="0022308D">
        <w:rPr>
          <w:sz w:val="26"/>
          <w:szCs w:val="26"/>
        </w:rPr>
        <w:t xml:space="preserve"> то есть </w:t>
      </w:r>
      <w:r w:rsidR="0022308D">
        <w:rPr>
          <w:sz w:val="26"/>
          <w:szCs w:val="26"/>
          <w:lang w:val="en-US"/>
        </w:rPr>
        <w:t xml:space="preserve">S </w:t>
      </w:r>
      <w:r w:rsidR="0022308D">
        <w:rPr>
          <w:sz w:val="26"/>
          <w:szCs w:val="26"/>
        </w:rPr>
        <w:t>=  0;1;1</w:t>
      </w:r>
    </w:p>
    <w:p w:rsidR="0022308D" w:rsidRDefault="007A0BB6">
      <w:pPr>
        <w:spacing w:line="360" w:lineRule="auto"/>
        <w:ind w:firstLine="709"/>
        <w:jc w:val="both"/>
        <w:rPr>
          <w:sz w:val="26"/>
          <w:szCs w:val="26"/>
        </w:rPr>
      </w:pPr>
      <w:r>
        <w:rPr>
          <w:noProof/>
        </w:rPr>
        <w:pict>
          <v:shape id="_x0000_s1030" type="#_x0000_t186" style="position:absolute;left:0;text-align:left;margin-left:397.1pt;margin-top:65.7pt;width:36pt;height:21.6pt;z-index:251659264" o:allowincell="f"/>
        </w:pict>
      </w:r>
      <w:r w:rsidR="0022308D">
        <w:rPr>
          <w:b/>
          <w:bCs/>
          <w:sz w:val="26"/>
          <w:szCs w:val="26"/>
        </w:rPr>
        <w:t xml:space="preserve">3. Неустойчивое финансовое состояние, </w:t>
      </w:r>
      <w:r w:rsidR="0022308D">
        <w:rPr>
          <w:sz w:val="26"/>
          <w:szCs w:val="26"/>
        </w:rPr>
        <w:t>сопряженное с нарушением платежеспособности, но при котором все же сохраняется возможность восстановления равновесия за счет сокращения дебиторской задолженности,  ускорения оборачиваемости запасов: +(-)Ф</w:t>
      </w:r>
      <w:r w:rsidR="0022308D">
        <w:rPr>
          <w:sz w:val="26"/>
          <w:szCs w:val="26"/>
          <w:vertAlign w:val="superscript"/>
        </w:rPr>
        <w:t>С</w:t>
      </w:r>
      <w:r w:rsidR="0022308D">
        <w:rPr>
          <w:sz w:val="26"/>
          <w:szCs w:val="26"/>
          <w:lang w:val="en-US"/>
        </w:rPr>
        <w:t>&lt;</w:t>
      </w:r>
      <w:r w:rsidR="0022308D">
        <w:rPr>
          <w:sz w:val="26"/>
          <w:szCs w:val="26"/>
        </w:rPr>
        <w:t>0; +(-)Ф</w:t>
      </w:r>
      <w:r w:rsidR="0022308D">
        <w:rPr>
          <w:sz w:val="26"/>
          <w:szCs w:val="26"/>
          <w:vertAlign w:val="superscript"/>
        </w:rPr>
        <w:t>Т</w:t>
      </w:r>
      <w:r w:rsidR="0022308D">
        <w:rPr>
          <w:sz w:val="26"/>
          <w:szCs w:val="26"/>
          <w:lang w:val="en-US"/>
        </w:rPr>
        <w:t>&lt;</w:t>
      </w:r>
      <w:r w:rsidR="0022308D">
        <w:rPr>
          <w:sz w:val="26"/>
          <w:szCs w:val="26"/>
        </w:rPr>
        <w:t>0; +(-)Ф</w:t>
      </w:r>
      <w:r w:rsidR="0022308D">
        <w:rPr>
          <w:sz w:val="26"/>
          <w:szCs w:val="26"/>
          <w:vertAlign w:val="superscript"/>
        </w:rPr>
        <w:t>О</w:t>
      </w:r>
      <w:r w:rsidR="0022308D">
        <w:rPr>
          <w:sz w:val="26"/>
          <w:szCs w:val="26"/>
          <w:lang w:val="en-US"/>
        </w:rPr>
        <w:t>&gt;=</w:t>
      </w:r>
      <w:r w:rsidR="0022308D">
        <w:rPr>
          <w:sz w:val="26"/>
          <w:szCs w:val="26"/>
        </w:rPr>
        <w:t xml:space="preserve">0; то есть  </w:t>
      </w:r>
      <w:r w:rsidR="0022308D">
        <w:rPr>
          <w:sz w:val="26"/>
          <w:szCs w:val="26"/>
          <w:lang w:val="en-US"/>
        </w:rPr>
        <w:t>S =</w:t>
      </w:r>
      <w:r w:rsidR="0022308D">
        <w:rPr>
          <w:sz w:val="26"/>
          <w:szCs w:val="26"/>
        </w:rPr>
        <w:t xml:space="preserve">    0;0;1</w:t>
      </w:r>
    </w:p>
    <w:p w:rsidR="0022308D" w:rsidRDefault="007A0BB6">
      <w:pPr>
        <w:spacing w:line="360" w:lineRule="auto"/>
        <w:ind w:firstLine="709"/>
        <w:jc w:val="both"/>
        <w:rPr>
          <w:sz w:val="26"/>
          <w:szCs w:val="26"/>
        </w:rPr>
      </w:pPr>
      <w:r>
        <w:rPr>
          <w:noProof/>
        </w:rPr>
        <w:pict>
          <v:shape id="_x0000_s1031" type="#_x0000_t186" style="position:absolute;left:0;text-align:left;margin-left:116.3pt;margin-top:112.8pt;width:36pt;height:21.6pt;z-index:251660288" o:allowincell="f"/>
        </w:pict>
      </w:r>
      <w:r w:rsidR="0022308D">
        <w:rPr>
          <w:b/>
          <w:bCs/>
          <w:sz w:val="26"/>
          <w:szCs w:val="26"/>
          <w:lang w:val="en-US"/>
        </w:rPr>
        <w:t>4</w:t>
      </w:r>
      <w:r w:rsidR="0022308D">
        <w:rPr>
          <w:b/>
          <w:bCs/>
          <w:sz w:val="26"/>
          <w:szCs w:val="26"/>
        </w:rPr>
        <w:t xml:space="preserve">.Кризисное финансовое состояние, </w:t>
      </w:r>
      <w:r w:rsidR="0022308D">
        <w:rPr>
          <w:sz w:val="26"/>
          <w:szCs w:val="26"/>
        </w:rPr>
        <w:t>при котором предприятие полностью зависит от заемных источников финансирования. Собственного капитала и долго- и краткосрочных кредитов и займов не хватает для финансирования материальных оборотных средств, то есть пополнение запасов идет за счет средств, образующихся в результате замедления погашения кредиторской задолженности: +(-)Ф</w:t>
      </w:r>
      <w:r w:rsidR="0022308D">
        <w:rPr>
          <w:sz w:val="26"/>
          <w:szCs w:val="26"/>
          <w:vertAlign w:val="superscript"/>
        </w:rPr>
        <w:t>С</w:t>
      </w:r>
      <w:r w:rsidR="0022308D">
        <w:rPr>
          <w:sz w:val="26"/>
          <w:szCs w:val="26"/>
          <w:lang w:val="en-US"/>
        </w:rPr>
        <w:t>&lt;</w:t>
      </w:r>
      <w:r w:rsidR="0022308D">
        <w:rPr>
          <w:sz w:val="26"/>
          <w:szCs w:val="26"/>
        </w:rPr>
        <w:t>0; +(-)Ф</w:t>
      </w:r>
      <w:r w:rsidR="0022308D">
        <w:rPr>
          <w:sz w:val="26"/>
          <w:szCs w:val="26"/>
          <w:vertAlign w:val="superscript"/>
        </w:rPr>
        <w:t>Т</w:t>
      </w:r>
      <w:r w:rsidR="0022308D">
        <w:rPr>
          <w:sz w:val="26"/>
          <w:szCs w:val="26"/>
          <w:lang w:val="en-US"/>
        </w:rPr>
        <w:t>&lt;</w:t>
      </w:r>
      <w:r w:rsidR="0022308D">
        <w:rPr>
          <w:sz w:val="26"/>
          <w:szCs w:val="26"/>
        </w:rPr>
        <w:t xml:space="preserve">0; </w:t>
      </w:r>
      <w:r w:rsidR="0022308D">
        <w:rPr>
          <w:sz w:val="26"/>
          <w:szCs w:val="26"/>
          <w:lang w:val="en-US"/>
        </w:rPr>
        <w:t xml:space="preserve"> </w:t>
      </w:r>
      <w:r w:rsidR="0022308D">
        <w:rPr>
          <w:sz w:val="26"/>
          <w:szCs w:val="26"/>
        </w:rPr>
        <w:t>+(-)Ф</w:t>
      </w:r>
      <w:r w:rsidR="0022308D">
        <w:rPr>
          <w:sz w:val="26"/>
          <w:szCs w:val="26"/>
          <w:vertAlign w:val="superscript"/>
        </w:rPr>
        <w:t>О</w:t>
      </w:r>
      <w:r w:rsidR="0022308D">
        <w:rPr>
          <w:sz w:val="26"/>
          <w:szCs w:val="26"/>
          <w:lang w:val="en-US"/>
        </w:rPr>
        <w:t>&lt;</w:t>
      </w:r>
      <w:r w:rsidR="0022308D">
        <w:rPr>
          <w:sz w:val="26"/>
          <w:szCs w:val="26"/>
        </w:rPr>
        <w:t xml:space="preserve">0; то есть </w:t>
      </w:r>
      <w:r w:rsidR="0022308D">
        <w:rPr>
          <w:sz w:val="26"/>
          <w:szCs w:val="26"/>
          <w:lang w:val="en-US"/>
        </w:rPr>
        <w:t>S</w:t>
      </w:r>
      <w:r w:rsidR="0022308D">
        <w:rPr>
          <w:sz w:val="26"/>
          <w:szCs w:val="26"/>
        </w:rPr>
        <w:t xml:space="preserve"> = </w:t>
      </w:r>
      <w:r w:rsidR="0022308D">
        <w:rPr>
          <w:sz w:val="26"/>
          <w:szCs w:val="26"/>
          <w:lang w:val="en-US"/>
        </w:rPr>
        <w:t xml:space="preserve"> </w:t>
      </w:r>
      <w:r w:rsidR="0022308D">
        <w:rPr>
          <w:sz w:val="26"/>
          <w:szCs w:val="26"/>
        </w:rPr>
        <w:t>0;0;0  (таблица 4)</w:t>
      </w:r>
    </w:p>
    <w:p w:rsidR="0022308D" w:rsidRDefault="0022308D">
      <w:pPr>
        <w:pStyle w:val="8"/>
      </w:pPr>
      <w:r>
        <w:t>Таблица 4</w:t>
      </w:r>
    </w:p>
    <w:p w:rsidR="0022308D" w:rsidRDefault="0022308D">
      <w:pPr>
        <w:spacing w:line="360" w:lineRule="auto"/>
        <w:ind w:firstLine="709"/>
        <w:jc w:val="center"/>
        <w:rPr>
          <w:sz w:val="26"/>
          <w:szCs w:val="26"/>
        </w:rPr>
      </w:pPr>
      <w:r>
        <w:rPr>
          <w:sz w:val="26"/>
          <w:szCs w:val="26"/>
        </w:rPr>
        <w:t>Классификация типа финансового состояния организации.</w:t>
      </w:r>
    </w:p>
    <w:tbl>
      <w:tblPr>
        <w:tblW w:w="0" w:type="auto"/>
        <w:tblInd w:w="-45" w:type="dxa"/>
        <w:tblLayout w:type="fixed"/>
        <w:tblCellMar>
          <w:left w:w="30" w:type="dxa"/>
          <w:right w:w="30" w:type="dxa"/>
        </w:tblCellMar>
        <w:tblLook w:val="0000" w:firstRow="0" w:lastRow="0" w:firstColumn="0" w:lastColumn="0" w:noHBand="0" w:noVBand="0"/>
      </w:tblPr>
      <w:tblGrid>
        <w:gridCol w:w="6893"/>
        <w:gridCol w:w="1531"/>
        <w:gridCol w:w="1483"/>
      </w:tblGrid>
      <w:tr w:rsidR="0022308D">
        <w:trPr>
          <w:trHeight w:val="541"/>
        </w:trPr>
        <w:tc>
          <w:tcPr>
            <w:tcW w:w="6893" w:type="dxa"/>
            <w:tcBorders>
              <w:top w:val="single" w:sz="12" w:space="0" w:color="auto"/>
              <w:left w:val="single" w:sz="12" w:space="0" w:color="auto"/>
              <w:bottom w:val="single" w:sz="12" w:space="0" w:color="auto"/>
              <w:right w:val="single" w:sz="12" w:space="0" w:color="auto"/>
            </w:tcBorders>
            <w:vAlign w:val="center"/>
          </w:tcPr>
          <w:p w:rsidR="0022308D" w:rsidRDefault="0022308D">
            <w:pPr>
              <w:pStyle w:val="6"/>
            </w:pPr>
            <w:r>
              <w:t>Показатели</w:t>
            </w:r>
          </w:p>
        </w:tc>
        <w:tc>
          <w:tcPr>
            <w:tcW w:w="1531" w:type="dxa"/>
            <w:tcBorders>
              <w:top w:val="single" w:sz="12" w:space="0" w:color="auto"/>
              <w:left w:val="single" w:sz="12" w:space="0" w:color="auto"/>
              <w:bottom w:val="single" w:sz="12" w:space="0" w:color="auto"/>
              <w:right w:val="single" w:sz="12" w:space="0" w:color="auto"/>
            </w:tcBorders>
            <w:vAlign w:val="center"/>
          </w:tcPr>
          <w:p w:rsidR="0022308D" w:rsidRDefault="0022308D">
            <w:pPr>
              <w:jc w:val="center"/>
              <w:rPr>
                <w:snapToGrid w:val="0"/>
                <w:color w:val="000000"/>
                <w:sz w:val="26"/>
                <w:szCs w:val="26"/>
              </w:rPr>
            </w:pPr>
            <w:r>
              <w:rPr>
                <w:snapToGrid w:val="0"/>
                <w:color w:val="000000"/>
                <w:sz w:val="26"/>
                <w:szCs w:val="26"/>
              </w:rPr>
              <w:t>На начало периода</w:t>
            </w:r>
          </w:p>
        </w:tc>
        <w:tc>
          <w:tcPr>
            <w:tcW w:w="1483" w:type="dxa"/>
            <w:tcBorders>
              <w:top w:val="single" w:sz="12" w:space="0" w:color="auto"/>
              <w:left w:val="single" w:sz="12" w:space="0" w:color="auto"/>
              <w:bottom w:val="single" w:sz="12" w:space="0" w:color="auto"/>
              <w:right w:val="single" w:sz="12" w:space="0" w:color="auto"/>
            </w:tcBorders>
            <w:vAlign w:val="center"/>
          </w:tcPr>
          <w:p w:rsidR="0022308D" w:rsidRDefault="0022308D">
            <w:pPr>
              <w:jc w:val="center"/>
              <w:rPr>
                <w:snapToGrid w:val="0"/>
                <w:color w:val="000000"/>
                <w:sz w:val="26"/>
                <w:szCs w:val="26"/>
              </w:rPr>
            </w:pPr>
            <w:r>
              <w:rPr>
                <w:snapToGrid w:val="0"/>
                <w:color w:val="000000"/>
                <w:sz w:val="26"/>
                <w:szCs w:val="26"/>
              </w:rPr>
              <w:t>На конец периода</w:t>
            </w:r>
          </w:p>
        </w:tc>
      </w:tr>
      <w:tr w:rsidR="0022308D">
        <w:trPr>
          <w:trHeight w:val="322"/>
        </w:trPr>
        <w:tc>
          <w:tcPr>
            <w:tcW w:w="6893" w:type="dxa"/>
            <w:tcBorders>
              <w:left w:val="single" w:sz="12" w:space="0" w:color="auto"/>
              <w:bottom w:val="single" w:sz="6" w:space="0" w:color="auto"/>
              <w:right w:val="single" w:sz="12" w:space="0" w:color="auto"/>
            </w:tcBorders>
          </w:tcPr>
          <w:p w:rsidR="0022308D" w:rsidRDefault="0022308D">
            <w:pPr>
              <w:rPr>
                <w:snapToGrid w:val="0"/>
                <w:color w:val="000000"/>
                <w:sz w:val="26"/>
                <w:szCs w:val="26"/>
              </w:rPr>
            </w:pPr>
            <w:r>
              <w:rPr>
                <w:snapToGrid w:val="0"/>
                <w:color w:val="000000"/>
                <w:sz w:val="26"/>
                <w:szCs w:val="26"/>
              </w:rPr>
              <w:t>1 Общая величина запасов и затрат (ЗЗ)</w:t>
            </w:r>
          </w:p>
        </w:tc>
        <w:tc>
          <w:tcPr>
            <w:tcW w:w="1531" w:type="dxa"/>
            <w:tcBorders>
              <w:left w:val="single" w:sz="12" w:space="0" w:color="auto"/>
              <w:bottom w:val="single" w:sz="6" w:space="0" w:color="auto"/>
              <w:right w:val="single" w:sz="12" w:space="0" w:color="auto"/>
            </w:tcBorders>
            <w:vAlign w:val="center"/>
          </w:tcPr>
          <w:p w:rsidR="0022308D" w:rsidRDefault="0022308D">
            <w:pPr>
              <w:jc w:val="center"/>
              <w:rPr>
                <w:snapToGrid w:val="0"/>
                <w:color w:val="000000"/>
                <w:sz w:val="26"/>
                <w:szCs w:val="26"/>
              </w:rPr>
            </w:pPr>
            <w:r>
              <w:rPr>
                <w:snapToGrid w:val="0"/>
                <w:color w:val="000000"/>
                <w:sz w:val="26"/>
                <w:szCs w:val="26"/>
              </w:rPr>
              <w:t>119 176</w:t>
            </w:r>
          </w:p>
        </w:tc>
        <w:tc>
          <w:tcPr>
            <w:tcW w:w="1483" w:type="dxa"/>
            <w:tcBorders>
              <w:left w:val="single" w:sz="12" w:space="0" w:color="auto"/>
              <w:bottom w:val="single" w:sz="6" w:space="0" w:color="auto"/>
              <w:right w:val="single" w:sz="12" w:space="0" w:color="auto"/>
            </w:tcBorders>
            <w:vAlign w:val="center"/>
          </w:tcPr>
          <w:p w:rsidR="0022308D" w:rsidRDefault="0022308D">
            <w:pPr>
              <w:jc w:val="center"/>
              <w:rPr>
                <w:snapToGrid w:val="0"/>
                <w:color w:val="000000"/>
                <w:sz w:val="26"/>
                <w:szCs w:val="26"/>
              </w:rPr>
            </w:pPr>
            <w:r>
              <w:rPr>
                <w:snapToGrid w:val="0"/>
                <w:color w:val="000000"/>
                <w:sz w:val="26"/>
                <w:szCs w:val="26"/>
              </w:rPr>
              <w:t>122 066</w:t>
            </w:r>
          </w:p>
        </w:tc>
      </w:tr>
      <w:tr w:rsidR="0022308D">
        <w:trPr>
          <w:trHeight w:val="322"/>
        </w:trPr>
        <w:tc>
          <w:tcPr>
            <w:tcW w:w="6893" w:type="dxa"/>
            <w:tcBorders>
              <w:top w:val="single" w:sz="6" w:space="0" w:color="auto"/>
              <w:left w:val="single" w:sz="12" w:space="0" w:color="auto"/>
              <w:bottom w:val="single" w:sz="6" w:space="0" w:color="auto"/>
              <w:right w:val="single" w:sz="12" w:space="0" w:color="auto"/>
            </w:tcBorders>
          </w:tcPr>
          <w:p w:rsidR="0022308D" w:rsidRDefault="0022308D">
            <w:pPr>
              <w:rPr>
                <w:snapToGrid w:val="0"/>
                <w:color w:val="000000"/>
                <w:sz w:val="26"/>
                <w:szCs w:val="26"/>
              </w:rPr>
            </w:pPr>
            <w:r>
              <w:rPr>
                <w:snapToGrid w:val="0"/>
                <w:color w:val="000000"/>
                <w:sz w:val="26"/>
                <w:szCs w:val="26"/>
              </w:rPr>
              <w:t>2. Наличие собственных оборотных средств (СОС)</w:t>
            </w:r>
          </w:p>
        </w:tc>
        <w:tc>
          <w:tcPr>
            <w:tcW w:w="1531" w:type="dxa"/>
            <w:tcBorders>
              <w:top w:val="single" w:sz="6" w:space="0" w:color="auto"/>
              <w:left w:val="single" w:sz="12" w:space="0" w:color="auto"/>
              <w:bottom w:val="single" w:sz="6" w:space="0" w:color="auto"/>
              <w:right w:val="single" w:sz="12" w:space="0" w:color="auto"/>
            </w:tcBorders>
            <w:vAlign w:val="center"/>
          </w:tcPr>
          <w:p w:rsidR="0022308D" w:rsidRDefault="0022308D">
            <w:pPr>
              <w:jc w:val="center"/>
              <w:rPr>
                <w:snapToGrid w:val="0"/>
                <w:color w:val="000000"/>
                <w:sz w:val="26"/>
                <w:szCs w:val="26"/>
              </w:rPr>
            </w:pPr>
            <w:r>
              <w:rPr>
                <w:snapToGrid w:val="0"/>
                <w:color w:val="000000"/>
                <w:sz w:val="26"/>
                <w:szCs w:val="26"/>
              </w:rPr>
              <w:t>70 906</w:t>
            </w:r>
          </w:p>
        </w:tc>
        <w:tc>
          <w:tcPr>
            <w:tcW w:w="1483" w:type="dxa"/>
            <w:tcBorders>
              <w:top w:val="single" w:sz="6" w:space="0" w:color="auto"/>
              <w:left w:val="single" w:sz="12" w:space="0" w:color="auto"/>
              <w:bottom w:val="single" w:sz="6" w:space="0" w:color="auto"/>
              <w:right w:val="single" w:sz="12" w:space="0" w:color="auto"/>
            </w:tcBorders>
            <w:vAlign w:val="center"/>
          </w:tcPr>
          <w:p w:rsidR="0022308D" w:rsidRDefault="0022308D">
            <w:pPr>
              <w:jc w:val="center"/>
              <w:rPr>
                <w:snapToGrid w:val="0"/>
                <w:color w:val="000000"/>
                <w:sz w:val="26"/>
                <w:szCs w:val="26"/>
              </w:rPr>
            </w:pPr>
            <w:r>
              <w:rPr>
                <w:snapToGrid w:val="0"/>
                <w:color w:val="000000"/>
                <w:sz w:val="26"/>
                <w:szCs w:val="26"/>
              </w:rPr>
              <w:t>72 554</w:t>
            </w:r>
          </w:p>
        </w:tc>
      </w:tr>
      <w:tr w:rsidR="0022308D">
        <w:trPr>
          <w:trHeight w:val="322"/>
        </w:trPr>
        <w:tc>
          <w:tcPr>
            <w:tcW w:w="6893" w:type="dxa"/>
            <w:tcBorders>
              <w:top w:val="single" w:sz="6" w:space="0" w:color="auto"/>
              <w:left w:val="single" w:sz="12" w:space="0" w:color="auto"/>
              <w:bottom w:val="single" w:sz="6" w:space="0" w:color="auto"/>
              <w:right w:val="single" w:sz="12" w:space="0" w:color="auto"/>
            </w:tcBorders>
          </w:tcPr>
          <w:p w:rsidR="0022308D" w:rsidRDefault="0022308D">
            <w:pPr>
              <w:rPr>
                <w:snapToGrid w:val="0"/>
                <w:color w:val="000000"/>
                <w:sz w:val="26"/>
                <w:szCs w:val="26"/>
              </w:rPr>
            </w:pPr>
            <w:r>
              <w:rPr>
                <w:snapToGrid w:val="0"/>
                <w:color w:val="000000"/>
                <w:sz w:val="26"/>
                <w:szCs w:val="26"/>
              </w:rPr>
              <w:t>3. Собственные и долгосроч заемные источники (СД)</w:t>
            </w:r>
          </w:p>
        </w:tc>
        <w:tc>
          <w:tcPr>
            <w:tcW w:w="1531" w:type="dxa"/>
            <w:tcBorders>
              <w:top w:val="single" w:sz="6" w:space="0" w:color="auto"/>
              <w:left w:val="single" w:sz="12" w:space="0" w:color="auto"/>
              <w:bottom w:val="single" w:sz="6" w:space="0" w:color="auto"/>
              <w:right w:val="single" w:sz="12" w:space="0" w:color="auto"/>
            </w:tcBorders>
            <w:vAlign w:val="center"/>
          </w:tcPr>
          <w:p w:rsidR="0022308D" w:rsidRDefault="0022308D">
            <w:pPr>
              <w:jc w:val="center"/>
              <w:rPr>
                <w:snapToGrid w:val="0"/>
                <w:color w:val="000000"/>
                <w:sz w:val="26"/>
                <w:szCs w:val="26"/>
              </w:rPr>
            </w:pPr>
            <w:r>
              <w:rPr>
                <w:snapToGrid w:val="0"/>
                <w:color w:val="000000"/>
                <w:sz w:val="26"/>
                <w:szCs w:val="26"/>
              </w:rPr>
              <w:t>78 728</w:t>
            </w:r>
          </w:p>
        </w:tc>
        <w:tc>
          <w:tcPr>
            <w:tcW w:w="1483" w:type="dxa"/>
            <w:tcBorders>
              <w:top w:val="single" w:sz="6" w:space="0" w:color="auto"/>
              <w:left w:val="single" w:sz="12" w:space="0" w:color="auto"/>
              <w:bottom w:val="single" w:sz="6" w:space="0" w:color="auto"/>
              <w:right w:val="single" w:sz="12" w:space="0" w:color="auto"/>
            </w:tcBorders>
            <w:vAlign w:val="center"/>
          </w:tcPr>
          <w:p w:rsidR="0022308D" w:rsidRDefault="0022308D">
            <w:pPr>
              <w:jc w:val="center"/>
              <w:rPr>
                <w:snapToGrid w:val="0"/>
                <w:color w:val="000000"/>
                <w:sz w:val="26"/>
                <w:szCs w:val="26"/>
              </w:rPr>
            </w:pPr>
            <w:r>
              <w:rPr>
                <w:snapToGrid w:val="0"/>
                <w:color w:val="000000"/>
                <w:sz w:val="26"/>
                <w:szCs w:val="26"/>
              </w:rPr>
              <w:t>79 629</w:t>
            </w:r>
          </w:p>
        </w:tc>
      </w:tr>
      <w:tr w:rsidR="0022308D">
        <w:trPr>
          <w:trHeight w:val="322"/>
        </w:trPr>
        <w:tc>
          <w:tcPr>
            <w:tcW w:w="6893" w:type="dxa"/>
            <w:tcBorders>
              <w:top w:val="single" w:sz="6" w:space="0" w:color="auto"/>
              <w:left w:val="single" w:sz="12" w:space="0" w:color="auto"/>
              <w:bottom w:val="single" w:sz="6" w:space="0" w:color="auto"/>
              <w:right w:val="single" w:sz="12" w:space="0" w:color="auto"/>
            </w:tcBorders>
          </w:tcPr>
          <w:p w:rsidR="0022308D" w:rsidRDefault="0022308D">
            <w:pPr>
              <w:rPr>
                <w:snapToGrid w:val="0"/>
                <w:color w:val="000000"/>
                <w:sz w:val="26"/>
                <w:szCs w:val="26"/>
              </w:rPr>
            </w:pPr>
            <w:r>
              <w:rPr>
                <w:snapToGrid w:val="0"/>
                <w:color w:val="000000"/>
                <w:sz w:val="26"/>
                <w:szCs w:val="26"/>
              </w:rPr>
              <w:t>4. Общая величина источников (ОИ)</w:t>
            </w:r>
          </w:p>
        </w:tc>
        <w:tc>
          <w:tcPr>
            <w:tcW w:w="1531" w:type="dxa"/>
            <w:tcBorders>
              <w:top w:val="single" w:sz="6" w:space="0" w:color="auto"/>
              <w:left w:val="single" w:sz="12" w:space="0" w:color="auto"/>
              <w:bottom w:val="single" w:sz="6" w:space="0" w:color="auto"/>
              <w:right w:val="single" w:sz="12" w:space="0" w:color="auto"/>
            </w:tcBorders>
            <w:vAlign w:val="center"/>
          </w:tcPr>
          <w:p w:rsidR="0022308D" w:rsidRDefault="0022308D">
            <w:pPr>
              <w:jc w:val="center"/>
              <w:rPr>
                <w:snapToGrid w:val="0"/>
                <w:color w:val="000000"/>
                <w:sz w:val="26"/>
                <w:szCs w:val="26"/>
              </w:rPr>
            </w:pPr>
            <w:r>
              <w:rPr>
                <w:snapToGrid w:val="0"/>
                <w:color w:val="000000"/>
                <w:sz w:val="26"/>
                <w:szCs w:val="26"/>
              </w:rPr>
              <w:t>158 190</w:t>
            </w:r>
          </w:p>
        </w:tc>
        <w:tc>
          <w:tcPr>
            <w:tcW w:w="1483" w:type="dxa"/>
            <w:tcBorders>
              <w:top w:val="single" w:sz="6" w:space="0" w:color="auto"/>
              <w:left w:val="single" w:sz="12" w:space="0" w:color="auto"/>
              <w:bottom w:val="single" w:sz="6" w:space="0" w:color="auto"/>
              <w:right w:val="single" w:sz="12" w:space="0" w:color="auto"/>
            </w:tcBorders>
            <w:vAlign w:val="center"/>
          </w:tcPr>
          <w:p w:rsidR="0022308D" w:rsidRDefault="0022308D">
            <w:pPr>
              <w:jc w:val="center"/>
              <w:rPr>
                <w:snapToGrid w:val="0"/>
                <w:color w:val="000000"/>
                <w:sz w:val="26"/>
                <w:szCs w:val="26"/>
              </w:rPr>
            </w:pPr>
            <w:r>
              <w:rPr>
                <w:snapToGrid w:val="0"/>
                <w:color w:val="000000"/>
                <w:sz w:val="26"/>
                <w:szCs w:val="26"/>
              </w:rPr>
              <w:t>138 906</w:t>
            </w:r>
          </w:p>
        </w:tc>
      </w:tr>
      <w:tr w:rsidR="0022308D">
        <w:trPr>
          <w:trHeight w:val="379"/>
        </w:trPr>
        <w:tc>
          <w:tcPr>
            <w:tcW w:w="6893" w:type="dxa"/>
            <w:tcBorders>
              <w:top w:val="single" w:sz="6" w:space="0" w:color="auto"/>
              <w:left w:val="single" w:sz="12" w:space="0" w:color="auto"/>
              <w:bottom w:val="single" w:sz="6" w:space="0" w:color="auto"/>
              <w:right w:val="single" w:sz="12" w:space="0" w:color="auto"/>
            </w:tcBorders>
          </w:tcPr>
          <w:p w:rsidR="0022308D" w:rsidRDefault="0022308D">
            <w:pPr>
              <w:rPr>
                <w:snapToGrid w:val="0"/>
                <w:color w:val="000000"/>
                <w:sz w:val="26"/>
                <w:szCs w:val="26"/>
              </w:rPr>
            </w:pPr>
            <w:r>
              <w:rPr>
                <w:snapToGrid w:val="0"/>
                <w:color w:val="000000"/>
                <w:sz w:val="26"/>
                <w:szCs w:val="26"/>
              </w:rPr>
              <w:t>5. Ф</w:t>
            </w:r>
            <w:r>
              <w:rPr>
                <w:snapToGrid w:val="0"/>
                <w:color w:val="000000"/>
                <w:sz w:val="26"/>
                <w:szCs w:val="26"/>
                <w:vertAlign w:val="superscript"/>
              </w:rPr>
              <w:t>С</w:t>
            </w:r>
            <w:r>
              <w:rPr>
                <w:snapToGrid w:val="0"/>
                <w:color w:val="000000"/>
                <w:sz w:val="26"/>
                <w:szCs w:val="26"/>
              </w:rPr>
              <w:t xml:space="preserve"> = СОС – ЗЗ</w:t>
            </w:r>
          </w:p>
        </w:tc>
        <w:tc>
          <w:tcPr>
            <w:tcW w:w="1531" w:type="dxa"/>
            <w:tcBorders>
              <w:top w:val="single" w:sz="6" w:space="0" w:color="auto"/>
              <w:left w:val="single" w:sz="12" w:space="0" w:color="auto"/>
              <w:bottom w:val="single" w:sz="6" w:space="0" w:color="auto"/>
              <w:right w:val="single" w:sz="12" w:space="0" w:color="auto"/>
            </w:tcBorders>
            <w:vAlign w:val="center"/>
          </w:tcPr>
          <w:p w:rsidR="0022308D" w:rsidRDefault="0022308D">
            <w:pPr>
              <w:jc w:val="center"/>
              <w:rPr>
                <w:snapToGrid w:val="0"/>
                <w:color w:val="000000"/>
                <w:sz w:val="26"/>
                <w:szCs w:val="26"/>
              </w:rPr>
            </w:pPr>
            <w:r>
              <w:rPr>
                <w:snapToGrid w:val="0"/>
                <w:color w:val="000000"/>
                <w:sz w:val="26"/>
                <w:szCs w:val="26"/>
              </w:rPr>
              <w:t>-48 270</w:t>
            </w:r>
          </w:p>
        </w:tc>
        <w:tc>
          <w:tcPr>
            <w:tcW w:w="1483" w:type="dxa"/>
            <w:tcBorders>
              <w:top w:val="single" w:sz="6" w:space="0" w:color="auto"/>
              <w:left w:val="single" w:sz="12" w:space="0" w:color="auto"/>
              <w:bottom w:val="single" w:sz="6" w:space="0" w:color="auto"/>
              <w:right w:val="single" w:sz="12" w:space="0" w:color="auto"/>
            </w:tcBorders>
            <w:vAlign w:val="center"/>
          </w:tcPr>
          <w:p w:rsidR="0022308D" w:rsidRDefault="0022308D">
            <w:pPr>
              <w:jc w:val="center"/>
              <w:rPr>
                <w:snapToGrid w:val="0"/>
                <w:color w:val="000000"/>
                <w:sz w:val="26"/>
                <w:szCs w:val="26"/>
              </w:rPr>
            </w:pPr>
            <w:r>
              <w:rPr>
                <w:snapToGrid w:val="0"/>
                <w:color w:val="000000"/>
                <w:sz w:val="26"/>
                <w:szCs w:val="26"/>
              </w:rPr>
              <w:t>-49 512</w:t>
            </w:r>
          </w:p>
        </w:tc>
      </w:tr>
      <w:tr w:rsidR="0022308D">
        <w:trPr>
          <w:trHeight w:val="379"/>
        </w:trPr>
        <w:tc>
          <w:tcPr>
            <w:tcW w:w="6893" w:type="dxa"/>
            <w:tcBorders>
              <w:top w:val="single" w:sz="6" w:space="0" w:color="auto"/>
              <w:left w:val="single" w:sz="12" w:space="0" w:color="auto"/>
              <w:bottom w:val="single" w:sz="6" w:space="0" w:color="auto"/>
              <w:right w:val="single" w:sz="12" w:space="0" w:color="auto"/>
            </w:tcBorders>
          </w:tcPr>
          <w:p w:rsidR="0022308D" w:rsidRDefault="0022308D">
            <w:pPr>
              <w:rPr>
                <w:snapToGrid w:val="0"/>
                <w:color w:val="000000"/>
                <w:sz w:val="26"/>
                <w:szCs w:val="26"/>
              </w:rPr>
            </w:pPr>
            <w:r>
              <w:rPr>
                <w:snapToGrid w:val="0"/>
                <w:color w:val="000000"/>
                <w:sz w:val="26"/>
                <w:szCs w:val="26"/>
              </w:rPr>
              <w:t>6. Ф</w:t>
            </w:r>
            <w:r>
              <w:rPr>
                <w:snapToGrid w:val="0"/>
                <w:color w:val="000000"/>
                <w:sz w:val="26"/>
                <w:szCs w:val="26"/>
                <w:vertAlign w:val="superscript"/>
              </w:rPr>
              <w:t>Т</w:t>
            </w:r>
            <w:r>
              <w:rPr>
                <w:snapToGrid w:val="0"/>
                <w:color w:val="000000"/>
                <w:sz w:val="26"/>
                <w:szCs w:val="26"/>
              </w:rPr>
              <w:t xml:space="preserve"> = СД – ЗЗ</w:t>
            </w:r>
          </w:p>
        </w:tc>
        <w:tc>
          <w:tcPr>
            <w:tcW w:w="1531" w:type="dxa"/>
            <w:tcBorders>
              <w:top w:val="single" w:sz="6" w:space="0" w:color="auto"/>
              <w:left w:val="single" w:sz="12" w:space="0" w:color="auto"/>
              <w:bottom w:val="single" w:sz="6" w:space="0" w:color="auto"/>
              <w:right w:val="single" w:sz="12" w:space="0" w:color="auto"/>
            </w:tcBorders>
            <w:vAlign w:val="center"/>
          </w:tcPr>
          <w:p w:rsidR="0022308D" w:rsidRDefault="0022308D">
            <w:pPr>
              <w:jc w:val="center"/>
              <w:rPr>
                <w:snapToGrid w:val="0"/>
                <w:color w:val="000000"/>
                <w:sz w:val="26"/>
                <w:szCs w:val="26"/>
              </w:rPr>
            </w:pPr>
            <w:r>
              <w:rPr>
                <w:snapToGrid w:val="0"/>
                <w:color w:val="000000"/>
                <w:sz w:val="26"/>
                <w:szCs w:val="26"/>
              </w:rPr>
              <w:t>-40 448</w:t>
            </w:r>
          </w:p>
        </w:tc>
        <w:tc>
          <w:tcPr>
            <w:tcW w:w="1483" w:type="dxa"/>
            <w:tcBorders>
              <w:top w:val="single" w:sz="6" w:space="0" w:color="auto"/>
              <w:left w:val="single" w:sz="12" w:space="0" w:color="auto"/>
              <w:bottom w:val="single" w:sz="6" w:space="0" w:color="auto"/>
              <w:right w:val="single" w:sz="12" w:space="0" w:color="auto"/>
            </w:tcBorders>
            <w:vAlign w:val="center"/>
          </w:tcPr>
          <w:p w:rsidR="0022308D" w:rsidRDefault="0022308D">
            <w:pPr>
              <w:jc w:val="center"/>
              <w:rPr>
                <w:snapToGrid w:val="0"/>
                <w:color w:val="000000"/>
                <w:sz w:val="26"/>
                <w:szCs w:val="26"/>
              </w:rPr>
            </w:pPr>
            <w:r>
              <w:rPr>
                <w:snapToGrid w:val="0"/>
                <w:color w:val="000000"/>
                <w:sz w:val="26"/>
                <w:szCs w:val="26"/>
              </w:rPr>
              <w:t>-42 437</w:t>
            </w:r>
          </w:p>
        </w:tc>
      </w:tr>
      <w:tr w:rsidR="0022308D">
        <w:trPr>
          <w:trHeight w:val="327"/>
        </w:trPr>
        <w:tc>
          <w:tcPr>
            <w:tcW w:w="6893" w:type="dxa"/>
            <w:tcBorders>
              <w:top w:val="single" w:sz="6" w:space="0" w:color="auto"/>
              <w:left w:val="single" w:sz="12" w:space="0" w:color="auto"/>
              <w:bottom w:val="single" w:sz="6" w:space="0" w:color="auto"/>
              <w:right w:val="single" w:sz="12" w:space="0" w:color="auto"/>
            </w:tcBorders>
          </w:tcPr>
          <w:p w:rsidR="0022308D" w:rsidRDefault="0022308D">
            <w:pPr>
              <w:rPr>
                <w:snapToGrid w:val="0"/>
                <w:color w:val="000000"/>
                <w:sz w:val="26"/>
                <w:szCs w:val="26"/>
              </w:rPr>
            </w:pPr>
            <w:r>
              <w:rPr>
                <w:snapToGrid w:val="0"/>
                <w:color w:val="000000"/>
                <w:sz w:val="26"/>
                <w:szCs w:val="26"/>
              </w:rPr>
              <w:t>7. Ф</w:t>
            </w:r>
            <w:r>
              <w:rPr>
                <w:snapToGrid w:val="0"/>
                <w:color w:val="000000"/>
                <w:sz w:val="26"/>
                <w:szCs w:val="26"/>
                <w:vertAlign w:val="superscript"/>
              </w:rPr>
              <w:t xml:space="preserve">О </w:t>
            </w:r>
            <w:r>
              <w:rPr>
                <w:snapToGrid w:val="0"/>
                <w:color w:val="000000"/>
                <w:sz w:val="26"/>
                <w:szCs w:val="26"/>
              </w:rPr>
              <w:t>= ОИ – ЗЗ</w:t>
            </w:r>
          </w:p>
        </w:tc>
        <w:tc>
          <w:tcPr>
            <w:tcW w:w="1531" w:type="dxa"/>
            <w:tcBorders>
              <w:top w:val="single" w:sz="6" w:space="0" w:color="auto"/>
              <w:left w:val="single" w:sz="12" w:space="0" w:color="auto"/>
              <w:bottom w:val="single" w:sz="6" w:space="0" w:color="auto"/>
              <w:right w:val="single" w:sz="12" w:space="0" w:color="auto"/>
            </w:tcBorders>
            <w:vAlign w:val="center"/>
          </w:tcPr>
          <w:p w:rsidR="0022308D" w:rsidRDefault="0022308D">
            <w:pPr>
              <w:jc w:val="center"/>
              <w:rPr>
                <w:snapToGrid w:val="0"/>
                <w:color w:val="000000"/>
                <w:sz w:val="26"/>
                <w:szCs w:val="26"/>
              </w:rPr>
            </w:pPr>
            <w:r>
              <w:rPr>
                <w:snapToGrid w:val="0"/>
                <w:color w:val="000000"/>
                <w:sz w:val="26"/>
                <w:szCs w:val="26"/>
              </w:rPr>
              <w:t>39 014</w:t>
            </w:r>
          </w:p>
        </w:tc>
        <w:tc>
          <w:tcPr>
            <w:tcW w:w="1483" w:type="dxa"/>
            <w:tcBorders>
              <w:top w:val="single" w:sz="6" w:space="0" w:color="auto"/>
              <w:left w:val="single" w:sz="12" w:space="0" w:color="auto"/>
              <w:bottom w:val="single" w:sz="6" w:space="0" w:color="auto"/>
              <w:right w:val="single" w:sz="12" w:space="0" w:color="auto"/>
            </w:tcBorders>
            <w:vAlign w:val="center"/>
          </w:tcPr>
          <w:p w:rsidR="0022308D" w:rsidRDefault="0022308D">
            <w:pPr>
              <w:jc w:val="center"/>
              <w:rPr>
                <w:snapToGrid w:val="0"/>
                <w:color w:val="000000"/>
                <w:sz w:val="26"/>
                <w:szCs w:val="26"/>
              </w:rPr>
            </w:pPr>
            <w:r>
              <w:rPr>
                <w:snapToGrid w:val="0"/>
                <w:color w:val="000000"/>
                <w:sz w:val="26"/>
                <w:szCs w:val="26"/>
              </w:rPr>
              <w:t>16 840</w:t>
            </w:r>
          </w:p>
        </w:tc>
      </w:tr>
      <w:tr w:rsidR="0022308D">
        <w:trPr>
          <w:trHeight w:val="557"/>
        </w:trPr>
        <w:tc>
          <w:tcPr>
            <w:tcW w:w="6893" w:type="dxa"/>
            <w:tcBorders>
              <w:top w:val="single" w:sz="6" w:space="0" w:color="auto"/>
              <w:left w:val="single" w:sz="12" w:space="0" w:color="auto"/>
              <w:bottom w:val="single" w:sz="12" w:space="0" w:color="auto"/>
              <w:right w:val="single" w:sz="12" w:space="0" w:color="auto"/>
            </w:tcBorders>
          </w:tcPr>
          <w:p w:rsidR="0022308D" w:rsidRDefault="0022308D">
            <w:pPr>
              <w:jc w:val="center"/>
              <w:rPr>
                <w:snapToGrid w:val="0"/>
                <w:color w:val="000000"/>
                <w:sz w:val="26"/>
                <w:szCs w:val="26"/>
              </w:rPr>
            </w:pPr>
            <w:r>
              <w:rPr>
                <w:snapToGrid w:val="0"/>
                <w:color w:val="000000"/>
                <w:sz w:val="26"/>
                <w:szCs w:val="26"/>
              </w:rPr>
              <w:t>8. Трехкомпонентный показатель типа финансовой ситуации S = [S(Ф</w:t>
            </w:r>
            <w:r>
              <w:rPr>
                <w:snapToGrid w:val="0"/>
                <w:color w:val="000000"/>
                <w:sz w:val="26"/>
                <w:szCs w:val="26"/>
                <w:vertAlign w:val="superscript"/>
              </w:rPr>
              <w:t>С</w:t>
            </w:r>
            <w:r>
              <w:rPr>
                <w:snapToGrid w:val="0"/>
                <w:color w:val="000000"/>
                <w:sz w:val="26"/>
                <w:szCs w:val="26"/>
              </w:rPr>
              <w:t>),S(Ф</w:t>
            </w:r>
            <w:r>
              <w:rPr>
                <w:snapToGrid w:val="0"/>
                <w:color w:val="000000"/>
                <w:sz w:val="26"/>
                <w:szCs w:val="26"/>
                <w:vertAlign w:val="superscript"/>
              </w:rPr>
              <w:t>Т</w:t>
            </w:r>
            <w:r>
              <w:rPr>
                <w:snapToGrid w:val="0"/>
                <w:color w:val="000000"/>
                <w:sz w:val="26"/>
                <w:szCs w:val="26"/>
              </w:rPr>
              <w:t>),S(Ф</w:t>
            </w:r>
            <w:r>
              <w:rPr>
                <w:snapToGrid w:val="0"/>
                <w:color w:val="000000"/>
                <w:sz w:val="26"/>
                <w:szCs w:val="26"/>
                <w:vertAlign w:val="superscript"/>
              </w:rPr>
              <w:t>О</w:t>
            </w:r>
            <w:r>
              <w:rPr>
                <w:snapToGrid w:val="0"/>
                <w:color w:val="000000"/>
                <w:sz w:val="26"/>
                <w:szCs w:val="26"/>
              </w:rPr>
              <w:t>)]</w:t>
            </w:r>
          </w:p>
        </w:tc>
        <w:tc>
          <w:tcPr>
            <w:tcW w:w="1531" w:type="dxa"/>
            <w:tcBorders>
              <w:top w:val="single" w:sz="6" w:space="0" w:color="auto"/>
              <w:left w:val="single" w:sz="12" w:space="0" w:color="auto"/>
              <w:bottom w:val="single" w:sz="12" w:space="0" w:color="auto"/>
              <w:right w:val="single" w:sz="12" w:space="0" w:color="auto"/>
            </w:tcBorders>
            <w:vAlign w:val="center"/>
          </w:tcPr>
          <w:p w:rsidR="0022308D" w:rsidRDefault="0022308D">
            <w:pPr>
              <w:jc w:val="center"/>
              <w:rPr>
                <w:snapToGrid w:val="0"/>
                <w:color w:val="000000"/>
                <w:sz w:val="26"/>
                <w:szCs w:val="26"/>
              </w:rPr>
            </w:pPr>
            <w:r>
              <w:rPr>
                <w:snapToGrid w:val="0"/>
                <w:color w:val="000000"/>
                <w:sz w:val="26"/>
                <w:szCs w:val="26"/>
              </w:rPr>
              <w:t>(0;0;1)</w:t>
            </w:r>
          </w:p>
        </w:tc>
        <w:tc>
          <w:tcPr>
            <w:tcW w:w="1483" w:type="dxa"/>
            <w:tcBorders>
              <w:top w:val="single" w:sz="6" w:space="0" w:color="auto"/>
              <w:left w:val="single" w:sz="12" w:space="0" w:color="auto"/>
              <w:bottom w:val="single" w:sz="12" w:space="0" w:color="auto"/>
              <w:right w:val="single" w:sz="12" w:space="0" w:color="auto"/>
            </w:tcBorders>
            <w:vAlign w:val="center"/>
          </w:tcPr>
          <w:p w:rsidR="0022308D" w:rsidRDefault="0022308D">
            <w:pPr>
              <w:jc w:val="center"/>
              <w:rPr>
                <w:snapToGrid w:val="0"/>
                <w:color w:val="000000"/>
                <w:sz w:val="26"/>
                <w:szCs w:val="26"/>
              </w:rPr>
            </w:pPr>
            <w:r>
              <w:rPr>
                <w:snapToGrid w:val="0"/>
                <w:color w:val="000000"/>
                <w:sz w:val="26"/>
                <w:szCs w:val="26"/>
              </w:rPr>
              <w:t>(0;0;1)</w:t>
            </w:r>
          </w:p>
        </w:tc>
      </w:tr>
    </w:tbl>
    <w:p w:rsidR="0022308D" w:rsidRDefault="0022308D">
      <w:pPr>
        <w:spacing w:line="360" w:lineRule="auto"/>
        <w:ind w:firstLine="709"/>
        <w:jc w:val="both"/>
        <w:rPr>
          <w:sz w:val="26"/>
          <w:szCs w:val="26"/>
        </w:rPr>
      </w:pPr>
      <w:r>
        <w:rPr>
          <w:sz w:val="26"/>
          <w:szCs w:val="26"/>
        </w:rPr>
        <w:t xml:space="preserve"> </w:t>
      </w:r>
    </w:p>
    <w:p w:rsidR="0022308D" w:rsidRDefault="0022308D">
      <w:pPr>
        <w:spacing w:line="360" w:lineRule="auto"/>
        <w:ind w:firstLine="709"/>
        <w:jc w:val="both"/>
        <w:rPr>
          <w:sz w:val="26"/>
          <w:szCs w:val="26"/>
        </w:rPr>
      </w:pPr>
      <w:r>
        <w:rPr>
          <w:sz w:val="26"/>
          <w:szCs w:val="26"/>
        </w:rPr>
        <w:t>Как показывают данные таблицы 4, в организации неустойчивое состояние и в начале и в конце анализируемого периода. Финансовая устойчивость может быть восстановлена путем обоснованного снижения запасов и затрат.</w:t>
      </w:r>
    </w:p>
    <w:p w:rsidR="0022308D" w:rsidRDefault="0022308D">
      <w:pPr>
        <w:spacing w:line="360" w:lineRule="auto"/>
        <w:ind w:firstLine="709"/>
        <w:jc w:val="both"/>
        <w:rPr>
          <w:sz w:val="26"/>
          <w:szCs w:val="26"/>
          <w:lang w:val="en-US"/>
        </w:rPr>
      </w:pPr>
      <w:r>
        <w:rPr>
          <w:sz w:val="26"/>
          <w:szCs w:val="26"/>
        </w:rPr>
        <w:t xml:space="preserve">Кроме абсолютных показателей финансовой устойчивости при анализе финансового состояния вычисляют еще и относительные. На практике применяют различные методики анализа финансовой устойчивости. В каждой методике присутствует свой набор относительных показателей финансовой устойчивости. Я приведу самые основные относительные показатели финансовой устойчивости. Их можно разделить на две группы: определяющие состояние оборотных средств и определяющие состояние основных средств. </w:t>
      </w:r>
      <w:r>
        <w:rPr>
          <w:sz w:val="26"/>
          <w:szCs w:val="26"/>
          <w:lang w:val="en-US"/>
        </w:rPr>
        <w:t>[16, с.45]</w:t>
      </w:r>
    </w:p>
    <w:p w:rsidR="0022308D" w:rsidRDefault="0022308D">
      <w:pPr>
        <w:pStyle w:val="8"/>
      </w:pPr>
      <w:r>
        <w:t>Таблица 5</w:t>
      </w:r>
    </w:p>
    <w:p w:rsidR="0022308D" w:rsidRDefault="0022308D">
      <w:pPr>
        <w:spacing w:line="360" w:lineRule="auto"/>
        <w:ind w:firstLine="709"/>
        <w:jc w:val="center"/>
        <w:rPr>
          <w:sz w:val="26"/>
          <w:szCs w:val="26"/>
        </w:rPr>
      </w:pPr>
      <w:r>
        <w:rPr>
          <w:sz w:val="26"/>
          <w:szCs w:val="26"/>
        </w:rPr>
        <w:t xml:space="preserve">Показатели финансовой устойчивости. </w:t>
      </w:r>
    </w:p>
    <w:tbl>
      <w:tblPr>
        <w:tblW w:w="0" w:type="auto"/>
        <w:tblInd w:w="-45" w:type="dxa"/>
        <w:tblLayout w:type="fixed"/>
        <w:tblCellMar>
          <w:left w:w="30" w:type="dxa"/>
          <w:right w:w="30" w:type="dxa"/>
        </w:tblCellMar>
        <w:tblLook w:val="0000" w:firstRow="0" w:lastRow="0" w:firstColumn="0" w:lastColumn="0" w:noHBand="0" w:noVBand="0"/>
      </w:tblPr>
      <w:tblGrid>
        <w:gridCol w:w="4118"/>
        <w:gridCol w:w="3264"/>
        <w:gridCol w:w="2492"/>
      </w:tblGrid>
      <w:tr w:rsidR="0022308D">
        <w:trPr>
          <w:trHeight w:val="537"/>
        </w:trPr>
        <w:tc>
          <w:tcPr>
            <w:tcW w:w="4118" w:type="dxa"/>
            <w:tcBorders>
              <w:top w:val="single" w:sz="12" w:space="0" w:color="auto"/>
              <w:left w:val="single" w:sz="12" w:space="0" w:color="auto"/>
              <w:bottom w:val="single" w:sz="12" w:space="0" w:color="auto"/>
              <w:right w:val="single" w:sz="12" w:space="0" w:color="auto"/>
            </w:tcBorders>
            <w:vAlign w:val="center"/>
          </w:tcPr>
          <w:p w:rsidR="0022308D" w:rsidRDefault="0022308D">
            <w:pPr>
              <w:pStyle w:val="4"/>
            </w:pPr>
            <w:r>
              <w:t>Наименование показателя</w:t>
            </w:r>
          </w:p>
        </w:tc>
        <w:tc>
          <w:tcPr>
            <w:tcW w:w="3264" w:type="dxa"/>
            <w:tcBorders>
              <w:top w:val="single" w:sz="12" w:space="0" w:color="auto"/>
              <w:left w:val="single" w:sz="12" w:space="0" w:color="auto"/>
              <w:bottom w:val="single" w:sz="12" w:space="0" w:color="auto"/>
              <w:right w:val="single" w:sz="12" w:space="0" w:color="auto"/>
            </w:tcBorders>
            <w:vAlign w:val="center"/>
          </w:tcPr>
          <w:p w:rsidR="0022308D" w:rsidRDefault="0022308D">
            <w:pPr>
              <w:jc w:val="center"/>
              <w:rPr>
                <w:snapToGrid w:val="0"/>
                <w:color w:val="000000"/>
                <w:sz w:val="24"/>
                <w:szCs w:val="24"/>
              </w:rPr>
            </w:pPr>
            <w:r>
              <w:rPr>
                <w:snapToGrid w:val="0"/>
                <w:color w:val="000000"/>
                <w:sz w:val="24"/>
                <w:szCs w:val="24"/>
              </w:rPr>
              <w:t>Способ расчета</w:t>
            </w:r>
          </w:p>
        </w:tc>
        <w:tc>
          <w:tcPr>
            <w:tcW w:w="2492" w:type="dxa"/>
            <w:tcBorders>
              <w:top w:val="single" w:sz="12" w:space="0" w:color="auto"/>
              <w:left w:val="single" w:sz="12" w:space="0" w:color="auto"/>
              <w:bottom w:val="single" w:sz="12" w:space="0" w:color="auto"/>
              <w:right w:val="single" w:sz="12" w:space="0" w:color="auto"/>
            </w:tcBorders>
            <w:vAlign w:val="center"/>
          </w:tcPr>
          <w:p w:rsidR="0022308D" w:rsidRDefault="0022308D">
            <w:pPr>
              <w:jc w:val="center"/>
              <w:rPr>
                <w:snapToGrid w:val="0"/>
                <w:color w:val="000000"/>
                <w:sz w:val="24"/>
                <w:szCs w:val="24"/>
              </w:rPr>
            </w:pPr>
            <w:r>
              <w:rPr>
                <w:snapToGrid w:val="0"/>
                <w:color w:val="000000"/>
                <w:sz w:val="24"/>
                <w:szCs w:val="24"/>
              </w:rPr>
              <w:t>Нормальное ограничение</w:t>
            </w:r>
          </w:p>
        </w:tc>
      </w:tr>
      <w:tr w:rsidR="0022308D">
        <w:trPr>
          <w:trHeight w:val="531"/>
        </w:trPr>
        <w:tc>
          <w:tcPr>
            <w:tcW w:w="4118" w:type="dxa"/>
            <w:tcBorders>
              <w:left w:val="single" w:sz="12" w:space="0" w:color="auto"/>
              <w:bottom w:val="single" w:sz="6" w:space="0" w:color="auto"/>
              <w:right w:val="single" w:sz="12" w:space="0" w:color="auto"/>
            </w:tcBorders>
          </w:tcPr>
          <w:p w:rsidR="0022308D" w:rsidRDefault="0022308D">
            <w:pPr>
              <w:rPr>
                <w:snapToGrid w:val="0"/>
                <w:color w:val="000000"/>
                <w:sz w:val="24"/>
                <w:szCs w:val="24"/>
              </w:rPr>
            </w:pPr>
            <w:r>
              <w:rPr>
                <w:snapToGrid w:val="0"/>
                <w:color w:val="000000"/>
                <w:sz w:val="24"/>
                <w:szCs w:val="24"/>
              </w:rPr>
              <w:t>1. Коэффициент обеспеченности собственными средствами</w:t>
            </w:r>
          </w:p>
        </w:tc>
        <w:tc>
          <w:tcPr>
            <w:tcW w:w="3264" w:type="dxa"/>
            <w:tcBorders>
              <w:left w:val="single" w:sz="12" w:space="0" w:color="auto"/>
              <w:bottom w:val="single" w:sz="6" w:space="0" w:color="auto"/>
              <w:right w:val="single" w:sz="12" w:space="0" w:color="auto"/>
            </w:tcBorders>
            <w:vAlign w:val="center"/>
          </w:tcPr>
          <w:p w:rsidR="0022308D" w:rsidRDefault="0022308D">
            <w:pPr>
              <w:jc w:val="center"/>
              <w:rPr>
                <w:snapToGrid w:val="0"/>
                <w:color w:val="000000"/>
                <w:sz w:val="24"/>
                <w:szCs w:val="24"/>
              </w:rPr>
            </w:pPr>
            <w:r>
              <w:rPr>
                <w:snapToGrid w:val="0"/>
                <w:color w:val="000000"/>
                <w:sz w:val="24"/>
                <w:szCs w:val="24"/>
              </w:rPr>
              <w:t>U1 = (стр.490 – стр.190)/ стр.290</w:t>
            </w:r>
          </w:p>
        </w:tc>
        <w:tc>
          <w:tcPr>
            <w:tcW w:w="2492" w:type="dxa"/>
            <w:tcBorders>
              <w:left w:val="single" w:sz="12" w:space="0" w:color="auto"/>
              <w:bottom w:val="single" w:sz="6" w:space="0" w:color="auto"/>
              <w:right w:val="single" w:sz="12" w:space="0" w:color="auto"/>
            </w:tcBorders>
            <w:vAlign w:val="center"/>
          </w:tcPr>
          <w:p w:rsidR="0022308D" w:rsidRDefault="0022308D">
            <w:pPr>
              <w:jc w:val="center"/>
              <w:rPr>
                <w:snapToGrid w:val="0"/>
                <w:color w:val="000000"/>
                <w:sz w:val="24"/>
                <w:szCs w:val="24"/>
              </w:rPr>
            </w:pPr>
            <w:r>
              <w:rPr>
                <w:snapToGrid w:val="0"/>
                <w:color w:val="000000"/>
                <w:sz w:val="24"/>
                <w:szCs w:val="24"/>
              </w:rPr>
              <w:t>нижняя граница 0,1 опт. U1&gt;=0,5</w:t>
            </w:r>
          </w:p>
        </w:tc>
      </w:tr>
      <w:tr w:rsidR="0022308D">
        <w:trPr>
          <w:trHeight w:val="808"/>
        </w:trPr>
        <w:tc>
          <w:tcPr>
            <w:tcW w:w="4118" w:type="dxa"/>
            <w:tcBorders>
              <w:top w:val="single" w:sz="6" w:space="0" w:color="auto"/>
              <w:left w:val="single" w:sz="12" w:space="0" w:color="auto"/>
              <w:bottom w:val="single" w:sz="6" w:space="0" w:color="auto"/>
              <w:right w:val="single" w:sz="12" w:space="0" w:color="auto"/>
            </w:tcBorders>
          </w:tcPr>
          <w:p w:rsidR="0022308D" w:rsidRDefault="0022308D">
            <w:pPr>
              <w:rPr>
                <w:snapToGrid w:val="0"/>
                <w:color w:val="000000"/>
                <w:sz w:val="24"/>
                <w:szCs w:val="24"/>
              </w:rPr>
            </w:pPr>
            <w:r>
              <w:rPr>
                <w:snapToGrid w:val="0"/>
                <w:color w:val="000000"/>
                <w:sz w:val="24"/>
                <w:szCs w:val="24"/>
              </w:rPr>
              <w:t>2. Коэффициент обеспеченности материальных запасов собственными средствами</w:t>
            </w:r>
          </w:p>
        </w:tc>
        <w:tc>
          <w:tcPr>
            <w:tcW w:w="3264" w:type="dxa"/>
            <w:tcBorders>
              <w:top w:val="single" w:sz="6" w:space="0" w:color="auto"/>
              <w:left w:val="single" w:sz="12" w:space="0" w:color="auto"/>
              <w:bottom w:val="single" w:sz="6" w:space="0" w:color="auto"/>
              <w:right w:val="single" w:sz="12" w:space="0" w:color="auto"/>
            </w:tcBorders>
            <w:vAlign w:val="center"/>
          </w:tcPr>
          <w:p w:rsidR="0022308D" w:rsidRDefault="0022308D">
            <w:pPr>
              <w:jc w:val="center"/>
              <w:rPr>
                <w:snapToGrid w:val="0"/>
                <w:color w:val="000000"/>
                <w:sz w:val="24"/>
                <w:szCs w:val="24"/>
              </w:rPr>
            </w:pPr>
            <w:r>
              <w:rPr>
                <w:snapToGrid w:val="0"/>
                <w:color w:val="000000"/>
                <w:sz w:val="24"/>
                <w:szCs w:val="24"/>
              </w:rPr>
              <w:t>U2 = (стр.490 – стр.190)/ стр.210</w:t>
            </w:r>
          </w:p>
        </w:tc>
        <w:tc>
          <w:tcPr>
            <w:tcW w:w="2492" w:type="dxa"/>
            <w:tcBorders>
              <w:top w:val="single" w:sz="6" w:space="0" w:color="auto"/>
              <w:left w:val="single" w:sz="12" w:space="0" w:color="auto"/>
              <w:bottom w:val="single" w:sz="6" w:space="0" w:color="auto"/>
              <w:right w:val="single" w:sz="12" w:space="0" w:color="auto"/>
            </w:tcBorders>
            <w:vAlign w:val="center"/>
          </w:tcPr>
          <w:p w:rsidR="0022308D" w:rsidRDefault="0022308D">
            <w:pPr>
              <w:jc w:val="center"/>
              <w:rPr>
                <w:snapToGrid w:val="0"/>
                <w:color w:val="000000"/>
                <w:sz w:val="24"/>
                <w:szCs w:val="24"/>
              </w:rPr>
            </w:pPr>
            <w:r>
              <w:rPr>
                <w:snapToGrid w:val="0"/>
                <w:color w:val="000000"/>
                <w:sz w:val="24"/>
                <w:szCs w:val="24"/>
              </w:rPr>
              <w:t>U2 = 0,6-0,8</w:t>
            </w:r>
          </w:p>
        </w:tc>
      </w:tr>
      <w:tr w:rsidR="0022308D">
        <w:trPr>
          <w:trHeight w:val="536"/>
        </w:trPr>
        <w:tc>
          <w:tcPr>
            <w:tcW w:w="4118" w:type="dxa"/>
            <w:tcBorders>
              <w:top w:val="single" w:sz="6" w:space="0" w:color="auto"/>
              <w:left w:val="single" w:sz="12" w:space="0" w:color="auto"/>
              <w:bottom w:val="single" w:sz="6" w:space="0" w:color="auto"/>
              <w:right w:val="single" w:sz="12" w:space="0" w:color="auto"/>
            </w:tcBorders>
          </w:tcPr>
          <w:p w:rsidR="0022308D" w:rsidRDefault="0022308D">
            <w:pPr>
              <w:rPr>
                <w:snapToGrid w:val="0"/>
                <w:color w:val="000000"/>
                <w:sz w:val="24"/>
                <w:szCs w:val="24"/>
              </w:rPr>
            </w:pPr>
            <w:r>
              <w:rPr>
                <w:snapToGrid w:val="0"/>
                <w:color w:val="000000"/>
                <w:sz w:val="24"/>
                <w:szCs w:val="24"/>
              </w:rPr>
              <w:t xml:space="preserve">3. Коэффициент соотношения заемных и собственных средств </w:t>
            </w:r>
          </w:p>
        </w:tc>
        <w:tc>
          <w:tcPr>
            <w:tcW w:w="3264" w:type="dxa"/>
            <w:tcBorders>
              <w:top w:val="single" w:sz="6" w:space="0" w:color="auto"/>
              <w:left w:val="single" w:sz="12" w:space="0" w:color="auto"/>
              <w:bottom w:val="single" w:sz="6" w:space="0" w:color="auto"/>
              <w:right w:val="single" w:sz="12" w:space="0" w:color="auto"/>
            </w:tcBorders>
            <w:vAlign w:val="center"/>
          </w:tcPr>
          <w:p w:rsidR="0022308D" w:rsidRDefault="0022308D">
            <w:pPr>
              <w:jc w:val="center"/>
              <w:rPr>
                <w:snapToGrid w:val="0"/>
                <w:color w:val="000000"/>
                <w:sz w:val="24"/>
                <w:szCs w:val="24"/>
              </w:rPr>
            </w:pPr>
            <w:r>
              <w:rPr>
                <w:snapToGrid w:val="0"/>
                <w:color w:val="000000"/>
                <w:sz w:val="24"/>
                <w:szCs w:val="24"/>
              </w:rPr>
              <w:t>U3 = (стр.590 + стр.690)/ стр.490</w:t>
            </w:r>
          </w:p>
        </w:tc>
        <w:tc>
          <w:tcPr>
            <w:tcW w:w="2492" w:type="dxa"/>
            <w:tcBorders>
              <w:top w:val="single" w:sz="6" w:space="0" w:color="auto"/>
              <w:left w:val="single" w:sz="12" w:space="0" w:color="auto"/>
              <w:bottom w:val="single" w:sz="6" w:space="0" w:color="auto"/>
              <w:right w:val="single" w:sz="12" w:space="0" w:color="auto"/>
            </w:tcBorders>
            <w:vAlign w:val="center"/>
          </w:tcPr>
          <w:p w:rsidR="0022308D" w:rsidRDefault="0022308D">
            <w:pPr>
              <w:jc w:val="center"/>
              <w:rPr>
                <w:snapToGrid w:val="0"/>
                <w:color w:val="000000"/>
                <w:sz w:val="24"/>
                <w:szCs w:val="24"/>
              </w:rPr>
            </w:pPr>
            <w:r>
              <w:rPr>
                <w:snapToGrid w:val="0"/>
                <w:color w:val="000000"/>
                <w:sz w:val="24"/>
                <w:szCs w:val="24"/>
              </w:rPr>
              <w:t>не выше 1,5</w:t>
            </w:r>
          </w:p>
        </w:tc>
      </w:tr>
      <w:tr w:rsidR="0022308D">
        <w:trPr>
          <w:trHeight w:val="307"/>
        </w:trPr>
        <w:tc>
          <w:tcPr>
            <w:tcW w:w="4118" w:type="dxa"/>
            <w:tcBorders>
              <w:top w:val="single" w:sz="6" w:space="0" w:color="auto"/>
              <w:left w:val="single" w:sz="12" w:space="0" w:color="auto"/>
              <w:bottom w:val="single" w:sz="6" w:space="0" w:color="auto"/>
              <w:right w:val="single" w:sz="12" w:space="0" w:color="auto"/>
            </w:tcBorders>
          </w:tcPr>
          <w:p w:rsidR="0022308D" w:rsidRDefault="0022308D">
            <w:pPr>
              <w:rPr>
                <w:snapToGrid w:val="0"/>
                <w:color w:val="000000"/>
                <w:sz w:val="24"/>
                <w:szCs w:val="24"/>
              </w:rPr>
            </w:pPr>
            <w:r>
              <w:rPr>
                <w:snapToGrid w:val="0"/>
                <w:color w:val="000000"/>
                <w:sz w:val="24"/>
                <w:szCs w:val="24"/>
              </w:rPr>
              <w:t>4. Коэффициент автономии</w:t>
            </w:r>
          </w:p>
        </w:tc>
        <w:tc>
          <w:tcPr>
            <w:tcW w:w="3264" w:type="dxa"/>
            <w:tcBorders>
              <w:top w:val="single" w:sz="6" w:space="0" w:color="auto"/>
              <w:left w:val="single" w:sz="12" w:space="0" w:color="auto"/>
              <w:bottom w:val="single" w:sz="6" w:space="0" w:color="auto"/>
              <w:right w:val="single" w:sz="12" w:space="0" w:color="auto"/>
            </w:tcBorders>
            <w:vAlign w:val="center"/>
          </w:tcPr>
          <w:p w:rsidR="0022308D" w:rsidRDefault="0022308D">
            <w:pPr>
              <w:jc w:val="center"/>
              <w:rPr>
                <w:snapToGrid w:val="0"/>
                <w:color w:val="000000"/>
                <w:sz w:val="24"/>
                <w:szCs w:val="24"/>
              </w:rPr>
            </w:pPr>
            <w:r>
              <w:rPr>
                <w:snapToGrid w:val="0"/>
                <w:color w:val="000000"/>
                <w:sz w:val="24"/>
                <w:szCs w:val="24"/>
              </w:rPr>
              <w:t>U4 = стр.490/стр.700</w:t>
            </w:r>
          </w:p>
        </w:tc>
        <w:tc>
          <w:tcPr>
            <w:tcW w:w="2492" w:type="dxa"/>
            <w:tcBorders>
              <w:top w:val="single" w:sz="6" w:space="0" w:color="auto"/>
              <w:left w:val="single" w:sz="12" w:space="0" w:color="auto"/>
              <w:bottom w:val="single" w:sz="6" w:space="0" w:color="auto"/>
              <w:right w:val="single" w:sz="12" w:space="0" w:color="auto"/>
            </w:tcBorders>
            <w:vAlign w:val="center"/>
          </w:tcPr>
          <w:p w:rsidR="0022308D" w:rsidRDefault="0022308D">
            <w:pPr>
              <w:jc w:val="center"/>
              <w:rPr>
                <w:snapToGrid w:val="0"/>
                <w:color w:val="000000"/>
                <w:sz w:val="24"/>
                <w:szCs w:val="24"/>
              </w:rPr>
            </w:pPr>
            <w:r>
              <w:rPr>
                <w:snapToGrid w:val="0"/>
                <w:color w:val="000000"/>
                <w:sz w:val="24"/>
                <w:szCs w:val="24"/>
              </w:rPr>
              <w:t>U4&gt;= 0,4-0,6</w:t>
            </w:r>
          </w:p>
        </w:tc>
      </w:tr>
      <w:tr w:rsidR="0022308D">
        <w:trPr>
          <w:trHeight w:val="776"/>
        </w:trPr>
        <w:tc>
          <w:tcPr>
            <w:tcW w:w="4118" w:type="dxa"/>
            <w:tcBorders>
              <w:top w:val="single" w:sz="6" w:space="0" w:color="auto"/>
              <w:left w:val="single" w:sz="12" w:space="0" w:color="auto"/>
              <w:bottom w:val="single" w:sz="12" w:space="0" w:color="auto"/>
              <w:right w:val="single" w:sz="12" w:space="0" w:color="auto"/>
            </w:tcBorders>
          </w:tcPr>
          <w:p w:rsidR="0022308D" w:rsidRDefault="0022308D">
            <w:pPr>
              <w:rPr>
                <w:snapToGrid w:val="0"/>
                <w:color w:val="000000"/>
                <w:sz w:val="24"/>
                <w:szCs w:val="24"/>
              </w:rPr>
            </w:pPr>
            <w:r>
              <w:rPr>
                <w:snapToGrid w:val="0"/>
                <w:color w:val="000000"/>
                <w:sz w:val="24"/>
                <w:szCs w:val="24"/>
              </w:rPr>
              <w:t>5. Коэффициент финансирования (долгосрочного привлечения заемных средств)</w:t>
            </w:r>
          </w:p>
        </w:tc>
        <w:tc>
          <w:tcPr>
            <w:tcW w:w="3264" w:type="dxa"/>
            <w:tcBorders>
              <w:top w:val="single" w:sz="6" w:space="0" w:color="auto"/>
              <w:left w:val="single" w:sz="12" w:space="0" w:color="auto"/>
              <w:bottom w:val="single" w:sz="12" w:space="0" w:color="auto"/>
              <w:right w:val="single" w:sz="12" w:space="0" w:color="auto"/>
            </w:tcBorders>
            <w:vAlign w:val="center"/>
          </w:tcPr>
          <w:p w:rsidR="0022308D" w:rsidRDefault="0022308D">
            <w:pPr>
              <w:jc w:val="center"/>
              <w:rPr>
                <w:snapToGrid w:val="0"/>
                <w:color w:val="000000"/>
                <w:sz w:val="24"/>
                <w:szCs w:val="24"/>
              </w:rPr>
            </w:pPr>
            <w:r>
              <w:rPr>
                <w:snapToGrid w:val="0"/>
                <w:color w:val="000000"/>
                <w:sz w:val="24"/>
                <w:szCs w:val="24"/>
              </w:rPr>
              <w:t>U5 = стр.490/                      (стр.590 + стр.690)</w:t>
            </w:r>
          </w:p>
        </w:tc>
        <w:tc>
          <w:tcPr>
            <w:tcW w:w="2492" w:type="dxa"/>
            <w:tcBorders>
              <w:top w:val="single" w:sz="6" w:space="0" w:color="auto"/>
              <w:left w:val="single" w:sz="12" w:space="0" w:color="auto"/>
              <w:bottom w:val="single" w:sz="12" w:space="0" w:color="auto"/>
              <w:right w:val="single" w:sz="12" w:space="0" w:color="auto"/>
            </w:tcBorders>
            <w:vAlign w:val="center"/>
          </w:tcPr>
          <w:p w:rsidR="0022308D" w:rsidRDefault="0022308D">
            <w:pPr>
              <w:jc w:val="center"/>
              <w:rPr>
                <w:snapToGrid w:val="0"/>
                <w:color w:val="000000"/>
                <w:sz w:val="24"/>
                <w:szCs w:val="24"/>
              </w:rPr>
            </w:pPr>
            <w:r>
              <w:rPr>
                <w:snapToGrid w:val="0"/>
                <w:color w:val="000000"/>
                <w:sz w:val="24"/>
                <w:szCs w:val="24"/>
              </w:rPr>
              <w:t xml:space="preserve">U5&gt;=0,7    </w:t>
            </w:r>
          </w:p>
          <w:p w:rsidR="0022308D" w:rsidRDefault="0022308D">
            <w:pPr>
              <w:jc w:val="center"/>
              <w:rPr>
                <w:snapToGrid w:val="0"/>
                <w:color w:val="000000"/>
                <w:sz w:val="24"/>
                <w:szCs w:val="24"/>
              </w:rPr>
            </w:pPr>
            <w:r>
              <w:rPr>
                <w:snapToGrid w:val="0"/>
                <w:color w:val="000000"/>
                <w:sz w:val="24"/>
                <w:szCs w:val="24"/>
              </w:rPr>
              <w:t>Оптимально U5 ~ 1,5</w:t>
            </w:r>
          </w:p>
        </w:tc>
      </w:tr>
    </w:tbl>
    <w:p w:rsidR="0022308D" w:rsidRDefault="0022308D">
      <w:pPr>
        <w:spacing w:line="360" w:lineRule="auto"/>
        <w:ind w:firstLine="709"/>
        <w:jc w:val="both"/>
        <w:rPr>
          <w:sz w:val="26"/>
          <w:szCs w:val="26"/>
        </w:rPr>
      </w:pPr>
      <w:r>
        <w:rPr>
          <w:sz w:val="26"/>
          <w:szCs w:val="26"/>
        </w:rPr>
        <w:t>Приведу пояснения к показателям. Коэффициент обеспеченности собственными источниками (</w:t>
      </w:r>
      <w:r>
        <w:rPr>
          <w:sz w:val="26"/>
          <w:szCs w:val="26"/>
          <w:lang w:val="en-US"/>
        </w:rPr>
        <w:t>U1</w:t>
      </w:r>
      <w:r>
        <w:rPr>
          <w:sz w:val="26"/>
          <w:szCs w:val="26"/>
        </w:rPr>
        <w:t>) показывает, какая часть оборотных активов финансируется за счет собственных источников. Коэффициент обеспеченности материальных запасов собственными средствами (</w:t>
      </w:r>
      <w:r>
        <w:rPr>
          <w:sz w:val="26"/>
          <w:szCs w:val="26"/>
          <w:lang w:val="en-US"/>
        </w:rPr>
        <w:t>U2</w:t>
      </w:r>
      <w:r>
        <w:rPr>
          <w:sz w:val="26"/>
          <w:szCs w:val="26"/>
        </w:rPr>
        <w:t>) показывает, в какой степени материальные запасы покрыты собственными средствами и не нуждаются в привлечении заемных. Коэффициенты</w:t>
      </w:r>
      <w:r>
        <w:rPr>
          <w:sz w:val="26"/>
          <w:szCs w:val="26"/>
          <w:lang w:val="en-US"/>
        </w:rPr>
        <w:t xml:space="preserve"> U1, U2</w:t>
      </w:r>
      <w:r>
        <w:rPr>
          <w:sz w:val="26"/>
          <w:szCs w:val="26"/>
        </w:rPr>
        <w:t xml:space="preserve"> характеризуют состояние оборотных средств.</w:t>
      </w:r>
    </w:p>
    <w:p w:rsidR="0022308D" w:rsidRDefault="0022308D">
      <w:pPr>
        <w:spacing w:line="360" w:lineRule="auto"/>
        <w:ind w:firstLine="709"/>
        <w:jc w:val="both"/>
        <w:rPr>
          <w:sz w:val="26"/>
          <w:szCs w:val="26"/>
        </w:rPr>
      </w:pPr>
      <w:r>
        <w:rPr>
          <w:sz w:val="26"/>
          <w:szCs w:val="26"/>
        </w:rPr>
        <w:t>Коэффициент соотношения заемных и собственных средств (</w:t>
      </w:r>
      <w:r>
        <w:rPr>
          <w:sz w:val="26"/>
          <w:szCs w:val="26"/>
          <w:lang w:val="en-US"/>
        </w:rPr>
        <w:t>U3</w:t>
      </w:r>
      <w:r>
        <w:rPr>
          <w:sz w:val="26"/>
          <w:szCs w:val="26"/>
        </w:rPr>
        <w:t>) указывает, сколько заемных средств организация привлекла на 1 руб. вложенных в активы собственных средств. Коэффициент автономии (</w:t>
      </w:r>
      <w:r>
        <w:rPr>
          <w:sz w:val="26"/>
          <w:szCs w:val="26"/>
          <w:lang w:val="en-US"/>
        </w:rPr>
        <w:t>U4</w:t>
      </w:r>
      <w:r>
        <w:rPr>
          <w:sz w:val="26"/>
          <w:szCs w:val="26"/>
        </w:rPr>
        <w:t>) показывает удельный вес собственных средств в общей сумме источников финансирования. Коэффициент финансирования (</w:t>
      </w:r>
      <w:r>
        <w:rPr>
          <w:sz w:val="26"/>
          <w:szCs w:val="26"/>
          <w:lang w:val="en-US"/>
        </w:rPr>
        <w:t>U5</w:t>
      </w:r>
      <w:r>
        <w:rPr>
          <w:sz w:val="26"/>
          <w:szCs w:val="26"/>
        </w:rPr>
        <w:t>) показывает, какая часть деятельности финансируется за счет собственных</w:t>
      </w:r>
      <w:r>
        <w:rPr>
          <w:sz w:val="26"/>
          <w:szCs w:val="26"/>
          <w:lang w:val="en-US"/>
        </w:rPr>
        <w:t>,</w:t>
      </w:r>
      <w:r>
        <w:rPr>
          <w:sz w:val="26"/>
          <w:szCs w:val="26"/>
        </w:rPr>
        <w:t xml:space="preserve"> а какая – за счет заемных средств. Коэффициенты </w:t>
      </w:r>
      <w:r>
        <w:rPr>
          <w:sz w:val="26"/>
          <w:szCs w:val="26"/>
          <w:lang w:val="en-US"/>
        </w:rPr>
        <w:t xml:space="preserve">U3, U4, U5 </w:t>
      </w:r>
      <w:r>
        <w:rPr>
          <w:sz w:val="26"/>
          <w:szCs w:val="26"/>
        </w:rPr>
        <w:t>определяют состояние основных средств.</w:t>
      </w:r>
    </w:p>
    <w:p w:rsidR="0022308D" w:rsidRDefault="0022308D">
      <w:pPr>
        <w:spacing w:line="360" w:lineRule="auto"/>
        <w:ind w:firstLine="709"/>
        <w:jc w:val="both"/>
        <w:rPr>
          <w:sz w:val="26"/>
          <w:szCs w:val="26"/>
        </w:rPr>
      </w:pPr>
      <w:r>
        <w:rPr>
          <w:sz w:val="26"/>
          <w:szCs w:val="26"/>
        </w:rPr>
        <w:t xml:space="preserve"> Исходя из данных баланса (см. Приложение 1) в анализируемой организации коэффициенты, характеризующие финансовую устойчивость, имеют значения.</w:t>
      </w:r>
    </w:p>
    <w:p w:rsidR="0022308D" w:rsidRDefault="0022308D">
      <w:pPr>
        <w:pStyle w:val="8"/>
      </w:pPr>
      <w:r>
        <w:t>Таблица 6</w:t>
      </w:r>
    </w:p>
    <w:p w:rsidR="0022308D" w:rsidRDefault="0022308D">
      <w:pPr>
        <w:spacing w:line="360" w:lineRule="auto"/>
        <w:ind w:firstLine="709"/>
        <w:jc w:val="center"/>
        <w:rPr>
          <w:sz w:val="26"/>
          <w:szCs w:val="26"/>
        </w:rPr>
      </w:pPr>
      <w:r>
        <w:rPr>
          <w:sz w:val="26"/>
          <w:szCs w:val="26"/>
        </w:rPr>
        <w:t>Коэффициенты финансовой устойчивости. (В долях единицы)</w:t>
      </w:r>
    </w:p>
    <w:tbl>
      <w:tblPr>
        <w:tblW w:w="0" w:type="auto"/>
        <w:tblInd w:w="-45" w:type="dxa"/>
        <w:tblLayout w:type="fixed"/>
        <w:tblCellMar>
          <w:left w:w="30" w:type="dxa"/>
          <w:right w:w="30" w:type="dxa"/>
        </w:tblCellMar>
        <w:tblLook w:val="0000" w:firstRow="0" w:lastRow="0" w:firstColumn="0" w:lastColumn="0" w:noHBand="0" w:noVBand="0"/>
      </w:tblPr>
      <w:tblGrid>
        <w:gridCol w:w="6120"/>
        <w:gridCol w:w="1200"/>
        <w:gridCol w:w="1090"/>
        <w:gridCol w:w="1420"/>
      </w:tblGrid>
      <w:tr w:rsidR="0022308D">
        <w:trPr>
          <w:trHeight w:val="629"/>
          <w:tblHeader/>
        </w:trPr>
        <w:tc>
          <w:tcPr>
            <w:tcW w:w="6120" w:type="dxa"/>
            <w:tcBorders>
              <w:top w:val="single" w:sz="12" w:space="0" w:color="auto"/>
              <w:left w:val="single" w:sz="12" w:space="0" w:color="auto"/>
              <w:bottom w:val="single" w:sz="12" w:space="0" w:color="auto"/>
              <w:right w:val="single" w:sz="12" w:space="0" w:color="auto"/>
            </w:tcBorders>
            <w:vAlign w:val="center"/>
          </w:tcPr>
          <w:p w:rsidR="0022308D" w:rsidRDefault="0022308D">
            <w:pPr>
              <w:pStyle w:val="4"/>
            </w:pPr>
            <w:r>
              <w:t>Показатели</w:t>
            </w:r>
          </w:p>
        </w:tc>
        <w:tc>
          <w:tcPr>
            <w:tcW w:w="1200" w:type="dxa"/>
            <w:tcBorders>
              <w:top w:val="single" w:sz="12" w:space="0" w:color="auto"/>
              <w:left w:val="single" w:sz="12" w:space="0" w:color="auto"/>
              <w:bottom w:val="single" w:sz="12" w:space="0" w:color="auto"/>
              <w:right w:val="single" w:sz="12" w:space="0" w:color="auto"/>
            </w:tcBorders>
            <w:vAlign w:val="center"/>
          </w:tcPr>
          <w:p w:rsidR="0022308D" w:rsidRDefault="0022308D">
            <w:pPr>
              <w:jc w:val="center"/>
              <w:rPr>
                <w:snapToGrid w:val="0"/>
                <w:color w:val="000000"/>
                <w:sz w:val="24"/>
                <w:szCs w:val="24"/>
              </w:rPr>
            </w:pPr>
            <w:r>
              <w:rPr>
                <w:snapToGrid w:val="0"/>
                <w:color w:val="000000"/>
                <w:sz w:val="24"/>
                <w:szCs w:val="24"/>
              </w:rPr>
              <w:t>На начало периода</w:t>
            </w:r>
          </w:p>
        </w:tc>
        <w:tc>
          <w:tcPr>
            <w:tcW w:w="1090" w:type="dxa"/>
            <w:tcBorders>
              <w:top w:val="single" w:sz="12" w:space="0" w:color="auto"/>
              <w:left w:val="single" w:sz="12" w:space="0" w:color="auto"/>
              <w:bottom w:val="single" w:sz="12" w:space="0" w:color="auto"/>
              <w:right w:val="single" w:sz="12" w:space="0" w:color="auto"/>
            </w:tcBorders>
            <w:vAlign w:val="center"/>
          </w:tcPr>
          <w:p w:rsidR="0022308D" w:rsidRDefault="0022308D">
            <w:pPr>
              <w:jc w:val="center"/>
              <w:rPr>
                <w:snapToGrid w:val="0"/>
                <w:color w:val="000000"/>
                <w:sz w:val="24"/>
                <w:szCs w:val="24"/>
              </w:rPr>
            </w:pPr>
            <w:r>
              <w:rPr>
                <w:snapToGrid w:val="0"/>
                <w:color w:val="000000"/>
                <w:sz w:val="24"/>
                <w:szCs w:val="24"/>
              </w:rPr>
              <w:t>На конец периода</w:t>
            </w:r>
          </w:p>
        </w:tc>
        <w:tc>
          <w:tcPr>
            <w:tcW w:w="1420" w:type="dxa"/>
            <w:tcBorders>
              <w:top w:val="single" w:sz="12" w:space="0" w:color="auto"/>
              <w:left w:val="single" w:sz="12" w:space="0" w:color="auto"/>
              <w:bottom w:val="single" w:sz="12" w:space="0" w:color="auto"/>
              <w:right w:val="single" w:sz="12" w:space="0" w:color="auto"/>
            </w:tcBorders>
            <w:vAlign w:val="center"/>
          </w:tcPr>
          <w:p w:rsidR="0022308D" w:rsidRDefault="0022308D">
            <w:pPr>
              <w:jc w:val="center"/>
              <w:rPr>
                <w:snapToGrid w:val="0"/>
                <w:color w:val="000000"/>
                <w:sz w:val="24"/>
                <w:szCs w:val="24"/>
              </w:rPr>
            </w:pPr>
            <w:r>
              <w:rPr>
                <w:snapToGrid w:val="0"/>
                <w:color w:val="000000"/>
                <w:sz w:val="24"/>
                <w:szCs w:val="24"/>
              </w:rPr>
              <w:t>Отклонение</w:t>
            </w:r>
          </w:p>
        </w:tc>
      </w:tr>
      <w:tr w:rsidR="0022308D">
        <w:trPr>
          <w:trHeight w:val="614"/>
        </w:trPr>
        <w:tc>
          <w:tcPr>
            <w:tcW w:w="6120" w:type="dxa"/>
            <w:tcBorders>
              <w:left w:val="single" w:sz="12" w:space="0" w:color="auto"/>
              <w:bottom w:val="single" w:sz="6" w:space="0" w:color="auto"/>
              <w:right w:val="single" w:sz="12" w:space="0" w:color="auto"/>
            </w:tcBorders>
          </w:tcPr>
          <w:p w:rsidR="0022308D" w:rsidRDefault="0022308D">
            <w:pPr>
              <w:rPr>
                <w:snapToGrid w:val="0"/>
                <w:color w:val="000000"/>
                <w:sz w:val="24"/>
                <w:szCs w:val="24"/>
              </w:rPr>
            </w:pPr>
            <w:r>
              <w:rPr>
                <w:snapToGrid w:val="0"/>
                <w:color w:val="000000"/>
                <w:sz w:val="24"/>
                <w:szCs w:val="24"/>
              </w:rPr>
              <w:t>1. Коэффициент обеспеченности собственными средствами (U1)</w:t>
            </w:r>
          </w:p>
        </w:tc>
        <w:tc>
          <w:tcPr>
            <w:tcW w:w="1200" w:type="dxa"/>
            <w:tcBorders>
              <w:left w:val="single" w:sz="12" w:space="0" w:color="auto"/>
              <w:bottom w:val="single" w:sz="6" w:space="0" w:color="auto"/>
              <w:right w:val="single" w:sz="12" w:space="0" w:color="auto"/>
            </w:tcBorders>
            <w:vAlign w:val="center"/>
          </w:tcPr>
          <w:p w:rsidR="0022308D" w:rsidRDefault="0022308D">
            <w:pPr>
              <w:jc w:val="center"/>
              <w:rPr>
                <w:snapToGrid w:val="0"/>
                <w:color w:val="000000"/>
                <w:sz w:val="24"/>
                <w:szCs w:val="24"/>
              </w:rPr>
            </w:pPr>
            <w:r>
              <w:rPr>
                <w:snapToGrid w:val="0"/>
                <w:color w:val="000000"/>
                <w:sz w:val="24"/>
                <w:szCs w:val="24"/>
              </w:rPr>
              <w:t>0,372</w:t>
            </w:r>
          </w:p>
        </w:tc>
        <w:tc>
          <w:tcPr>
            <w:tcW w:w="1090" w:type="dxa"/>
            <w:tcBorders>
              <w:left w:val="single" w:sz="12" w:space="0" w:color="auto"/>
              <w:bottom w:val="single" w:sz="6" w:space="0" w:color="auto"/>
              <w:right w:val="single" w:sz="12" w:space="0" w:color="auto"/>
            </w:tcBorders>
            <w:vAlign w:val="center"/>
          </w:tcPr>
          <w:p w:rsidR="0022308D" w:rsidRDefault="0022308D">
            <w:pPr>
              <w:jc w:val="center"/>
              <w:rPr>
                <w:snapToGrid w:val="0"/>
                <w:color w:val="000000"/>
                <w:sz w:val="24"/>
                <w:szCs w:val="24"/>
              </w:rPr>
            </w:pPr>
            <w:r>
              <w:rPr>
                <w:snapToGrid w:val="0"/>
                <w:color w:val="000000"/>
                <w:sz w:val="24"/>
                <w:szCs w:val="24"/>
              </w:rPr>
              <w:t>0,376</w:t>
            </w:r>
          </w:p>
        </w:tc>
        <w:tc>
          <w:tcPr>
            <w:tcW w:w="1420" w:type="dxa"/>
            <w:tcBorders>
              <w:left w:val="single" w:sz="12" w:space="0" w:color="auto"/>
              <w:bottom w:val="single" w:sz="6" w:space="0" w:color="auto"/>
              <w:right w:val="single" w:sz="12" w:space="0" w:color="auto"/>
            </w:tcBorders>
            <w:vAlign w:val="center"/>
          </w:tcPr>
          <w:p w:rsidR="0022308D" w:rsidRDefault="0022308D">
            <w:pPr>
              <w:jc w:val="center"/>
              <w:rPr>
                <w:snapToGrid w:val="0"/>
                <w:color w:val="000000"/>
                <w:sz w:val="24"/>
                <w:szCs w:val="24"/>
              </w:rPr>
            </w:pPr>
            <w:r>
              <w:rPr>
                <w:snapToGrid w:val="0"/>
                <w:color w:val="000000"/>
                <w:sz w:val="24"/>
                <w:szCs w:val="24"/>
              </w:rPr>
              <w:t>0,004</w:t>
            </w:r>
          </w:p>
        </w:tc>
      </w:tr>
      <w:tr w:rsidR="0022308D">
        <w:trPr>
          <w:trHeight w:val="614"/>
        </w:trPr>
        <w:tc>
          <w:tcPr>
            <w:tcW w:w="6120" w:type="dxa"/>
            <w:tcBorders>
              <w:top w:val="single" w:sz="6" w:space="0" w:color="auto"/>
              <w:left w:val="single" w:sz="12" w:space="0" w:color="auto"/>
              <w:bottom w:val="single" w:sz="6" w:space="0" w:color="auto"/>
              <w:right w:val="single" w:sz="12" w:space="0" w:color="auto"/>
            </w:tcBorders>
          </w:tcPr>
          <w:p w:rsidR="0022308D" w:rsidRDefault="0022308D">
            <w:pPr>
              <w:rPr>
                <w:snapToGrid w:val="0"/>
                <w:color w:val="000000"/>
                <w:sz w:val="24"/>
                <w:szCs w:val="24"/>
              </w:rPr>
            </w:pPr>
            <w:r>
              <w:rPr>
                <w:snapToGrid w:val="0"/>
                <w:color w:val="000000"/>
                <w:sz w:val="24"/>
                <w:szCs w:val="24"/>
              </w:rPr>
              <w:t>2. Коэффициент обеспеченности материальных запасов собственными средства (U2)</w:t>
            </w:r>
          </w:p>
        </w:tc>
        <w:tc>
          <w:tcPr>
            <w:tcW w:w="1200" w:type="dxa"/>
            <w:tcBorders>
              <w:top w:val="single" w:sz="6" w:space="0" w:color="auto"/>
              <w:left w:val="single" w:sz="12" w:space="0" w:color="auto"/>
              <w:bottom w:val="single" w:sz="6" w:space="0" w:color="auto"/>
              <w:right w:val="single" w:sz="12" w:space="0" w:color="auto"/>
            </w:tcBorders>
            <w:vAlign w:val="center"/>
          </w:tcPr>
          <w:p w:rsidR="0022308D" w:rsidRDefault="0022308D">
            <w:pPr>
              <w:jc w:val="center"/>
              <w:rPr>
                <w:snapToGrid w:val="0"/>
                <w:color w:val="000000"/>
                <w:sz w:val="24"/>
                <w:szCs w:val="24"/>
              </w:rPr>
            </w:pPr>
            <w:r>
              <w:rPr>
                <w:snapToGrid w:val="0"/>
                <w:color w:val="000000"/>
                <w:sz w:val="24"/>
                <w:szCs w:val="24"/>
              </w:rPr>
              <w:t>0,616</w:t>
            </w:r>
          </w:p>
        </w:tc>
        <w:tc>
          <w:tcPr>
            <w:tcW w:w="1090" w:type="dxa"/>
            <w:tcBorders>
              <w:top w:val="single" w:sz="6" w:space="0" w:color="auto"/>
              <w:left w:val="single" w:sz="12" w:space="0" w:color="auto"/>
              <w:bottom w:val="single" w:sz="6" w:space="0" w:color="auto"/>
              <w:right w:val="single" w:sz="12" w:space="0" w:color="auto"/>
            </w:tcBorders>
            <w:vAlign w:val="center"/>
          </w:tcPr>
          <w:p w:rsidR="0022308D" w:rsidRDefault="0022308D">
            <w:pPr>
              <w:jc w:val="center"/>
              <w:rPr>
                <w:snapToGrid w:val="0"/>
                <w:color w:val="000000"/>
                <w:sz w:val="24"/>
                <w:szCs w:val="24"/>
              </w:rPr>
            </w:pPr>
            <w:r>
              <w:rPr>
                <w:snapToGrid w:val="0"/>
                <w:color w:val="000000"/>
                <w:sz w:val="24"/>
                <w:szCs w:val="24"/>
              </w:rPr>
              <w:t>0,598</w:t>
            </w:r>
          </w:p>
        </w:tc>
        <w:tc>
          <w:tcPr>
            <w:tcW w:w="1420" w:type="dxa"/>
            <w:tcBorders>
              <w:top w:val="single" w:sz="6" w:space="0" w:color="auto"/>
              <w:left w:val="single" w:sz="12" w:space="0" w:color="auto"/>
              <w:bottom w:val="single" w:sz="6" w:space="0" w:color="auto"/>
              <w:right w:val="single" w:sz="12" w:space="0" w:color="auto"/>
            </w:tcBorders>
            <w:vAlign w:val="center"/>
          </w:tcPr>
          <w:p w:rsidR="0022308D" w:rsidRDefault="0022308D">
            <w:pPr>
              <w:jc w:val="center"/>
              <w:rPr>
                <w:snapToGrid w:val="0"/>
                <w:color w:val="000000"/>
                <w:sz w:val="24"/>
                <w:szCs w:val="24"/>
              </w:rPr>
            </w:pPr>
            <w:r>
              <w:rPr>
                <w:snapToGrid w:val="0"/>
                <w:color w:val="000000"/>
                <w:sz w:val="24"/>
                <w:szCs w:val="24"/>
              </w:rPr>
              <w:t>-0,018</w:t>
            </w:r>
          </w:p>
        </w:tc>
      </w:tr>
      <w:tr w:rsidR="0022308D">
        <w:trPr>
          <w:trHeight w:val="614"/>
        </w:trPr>
        <w:tc>
          <w:tcPr>
            <w:tcW w:w="6120" w:type="dxa"/>
            <w:tcBorders>
              <w:top w:val="single" w:sz="6" w:space="0" w:color="auto"/>
              <w:left w:val="single" w:sz="12" w:space="0" w:color="auto"/>
              <w:bottom w:val="single" w:sz="6" w:space="0" w:color="auto"/>
              <w:right w:val="single" w:sz="12" w:space="0" w:color="auto"/>
            </w:tcBorders>
          </w:tcPr>
          <w:p w:rsidR="0022308D" w:rsidRDefault="0022308D">
            <w:pPr>
              <w:rPr>
                <w:snapToGrid w:val="0"/>
                <w:color w:val="000000"/>
                <w:sz w:val="24"/>
                <w:szCs w:val="24"/>
              </w:rPr>
            </w:pPr>
            <w:r>
              <w:rPr>
                <w:snapToGrid w:val="0"/>
                <w:color w:val="000000"/>
                <w:sz w:val="24"/>
                <w:szCs w:val="24"/>
              </w:rPr>
              <w:t>3. Коэффициент соотношения заемных и собственных средств (U3)</w:t>
            </w:r>
          </w:p>
        </w:tc>
        <w:tc>
          <w:tcPr>
            <w:tcW w:w="1200" w:type="dxa"/>
            <w:tcBorders>
              <w:top w:val="single" w:sz="6" w:space="0" w:color="auto"/>
              <w:left w:val="single" w:sz="12" w:space="0" w:color="auto"/>
              <w:bottom w:val="single" w:sz="6" w:space="0" w:color="auto"/>
              <w:right w:val="single" w:sz="12" w:space="0" w:color="auto"/>
            </w:tcBorders>
            <w:vAlign w:val="center"/>
          </w:tcPr>
          <w:p w:rsidR="0022308D" w:rsidRDefault="0022308D">
            <w:pPr>
              <w:jc w:val="center"/>
              <w:rPr>
                <w:snapToGrid w:val="0"/>
                <w:color w:val="000000"/>
                <w:sz w:val="24"/>
                <w:szCs w:val="24"/>
              </w:rPr>
            </w:pPr>
            <w:r>
              <w:rPr>
                <w:snapToGrid w:val="0"/>
                <w:color w:val="000000"/>
                <w:sz w:val="24"/>
                <w:szCs w:val="24"/>
              </w:rPr>
              <w:t>0,6</w:t>
            </w:r>
          </w:p>
        </w:tc>
        <w:tc>
          <w:tcPr>
            <w:tcW w:w="1090" w:type="dxa"/>
            <w:tcBorders>
              <w:top w:val="single" w:sz="6" w:space="0" w:color="auto"/>
              <w:left w:val="single" w:sz="12" w:space="0" w:color="auto"/>
              <w:bottom w:val="single" w:sz="6" w:space="0" w:color="auto"/>
              <w:right w:val="single" w:sz="12" w:space="0" w:color="auto"/>
            </w:tcBorders>
            <w:vAlign w:val="center"/>
          </w:tcPr>
          <w:p w:rsidR="0022308D" w:rsidRDefault="0022308D">
            <w:pPr>
              <w:jc w:val="center"/>
              <w:rPr>
                <w:snapToGrid w:val="0"/>
                <w:color w:val="000000"/>
                <w:sz w:val="24"/>
                <w:szCs w:val="24"/>
              </w:rPr>
            </w:pPr>
            <w:r>
              <w:rPr>
                <w:snapToGrid w:val="0"/>
                <w:color w:val="000000"/>
                <w:sz w:val="24"/>
                <w:szCs w:val="24"/>
              </w:rPr>
              <w:t>0,597</w:t>
            </w:r>
          </w:p>
        </w:tc>
        <w:tc>
          <w:tcPr>
            <w:tcW w:w="1420" w:type="dxa"/>
            <w:tcBorders>
              <w:top w:val="single" w:sz="6" w:space="0" w:color="auto"/>
              <w:left w:val="single" w:sz="12" w:space="0" w:color="auto"/>
              <w:bottom w:val="single" w:sz="6" w:space="0" w:color="auto"/>
              <w:right w:val="single" w:sz="12" w:space="0" w:color="auto"/>
            </w:tcBorders>
            <w:vAlign w:val="center"/>
          </w:tcPr>
          <w:p w:rsidR="0022308D" w:rsidRDefault="0022308D">
            <w:pPr>
              <w:jc w:val="center"/>
              <w:rPr>
                <w:snapToGrid w:val="0"/>
                <w:color w:val="000000"/>
                <w:sz w:val="24"/>
                <w:szCs w:val="24"/>
              </w:rPr>
            </w:pPr>
            <w:r>
              <w:rPr>
                <w:snapToGrid w:val="0"/>
                <w:color w:val="000000"/>
                <w:sz w:val="24"/>
                <w:szCs w:val="24"/>
              </w:rPr>
              <w:t>-0,003</w:t>
            </w:r>
          </w:p>
        </w:tc>
      </w:tr>
      <w:tr w:rsidR="0022308D">
        <w:trPr>
          <w:trHeight w:val="307"/>
        </w:trPr>
        <w:tc>
          <w:tcPr>
            <w:tcW w:w="6120" w:type="dxa"/>
            <w:tcBorders>
              <w:top w:val="single" w:sz="6" w:space="0" w:color="auto"/>
              <w:left w:val="single" w:sz="12" w:space="0" w:color="auto"/>
              <w:bottom w:val="single" w:sz="6" w:space="0" w:color="auto"/>
              <w:right w:val="single" w:sz="12" w:space="0" w:color="auto"/>
            </w:tcBorders>
          </w:tcPr>
          <w:p w:rsidR="0022308D" w:rsidRDefault="0022308D">
            <w:pPr>
              <w:rPr>
                <w:snapToGrid w:val="0"/>
                <w:color w:val="000000"/>
                <w:sz w:val="24"/>
                <w:szCs w:val="24"/>
              </w:rPr>
            </w:pPr>
            <w:r>
              <w:rPr>
                <w:snapToGrid w:val="0"/>
                <w:color w:val="000000"/>
                <w:sz w:val="24"/>
                <w:szCs w:val="24"/>
              </w:rPr>
              <w:t>4. Коэффициент автономии (U4)</w:t>
            </w:r>
          </w:p>
        </w:tc>
        <w:tc>
          <w:tcPr>
            <w:tcW w:w="1200" w:type="dxa"/>
            <w:tcBorders>
              <w:top w:val="single" w:sz="6" w:space="0" w:color="auto"/>
              <w:left w:val="single" w:sz="12" w:space="0" w:color="auto"/>
              <w:bottom w:val="single" w:sz="6" w:space="0" w:color="auto"/>
              <w:right w:val="single" w:sz="12" w:space="0" w:color="auto"/>
            </w:tcBorders>
            <w:vAlign w:val="center"/>
          </w:tcPr>
          <w:p w:rsidR="0022308D" w:rsidRDefault="0022308D">
            <w:pPr>
              <w:jc w:val="center"/>
              <w:rPr>
                <w:snapToGrid w:val="0"/>
                <w:color w:val="000000"/>
                <w:sz w:val="24"/>
                <w:szCs w:val="24"/>
              </w:rPr>
            </w:pPr>
            <w:r>
              <w:rPr>
                <w:snapToGrid w:val="0"/>
                <w:color w:val="000000"/>
                <w:sz w:val="24"/>
                <w:szCs w:val="24"/>
              </w:rPr>
              <w:t>0,625</w:t>
            </w:r>
          </w:p>
        </w:tc>
        <w:tc>
          <w:tcPr>
            <w:tcW w:w="1090" w:type="dxa"/>
            <w:tcBorders>
              <w:top w:val="single" w:sz="6" w:space="0" w:color="auto"/>
              <w:left w:val="single" w:sz="12" w:space="0" w:color="auto"/>
              <w:bottom w:val="single" w:sz="6" w:space="0" w:color="auto"/>
              <w:right w:val="single" w:sz="12" w:space="0" w:color="auto"/>
            </w:tcBorders>
            <w:vAlign w:val="center"/>
          </w:tcPr>
          <w:p w:rsidR="0022308D" w:rsidRDefault="0022308D">
            <w:pPr>
              <w:jc w:val="center"/>
              <w:rPr>
                <w:snapToGrid w:val="0"/>
                <w:color w:val="000000"/>
                <w:sz w:val="24"/>
                <w:szCs w:val="24"/>
              </w:rPr>
            </w:pPr>
            <w:r>
              <w:rPr>
                <w:snapToGrid w:val="0"/>
                <w:color w:val="000000"/>
                <w:sz w:val="24"/>
                <w:szCs w:val="24"/>
              </w:rPr>
              <w:t>0,626</w:t>
            </w:r>
          </w:p>
        </w:tc>
        <w:tc>
          <w:tcPr>
            <w:tcW w:w="1420" w:type="dxa"/>
            <w:tcBorders>
              <w:top w:val="single" w:sz="6" w:space="0" w:color="auto"/>
              <w:left w:val="single" w:sz="12" w:space="0" w:color="auto"/>
              <w:bottom w:val="single" w:sz="6" w:space="0" w:color="auto"/>
              <w:right w:val="single" w:sz="12" w:space="0" w:color="auto"/>
            </w:tcBorders>
            <w:vAlign w:val="center"/>
          </w:tcPr>
          <w:p w:rsidR="0022308D" w:rsidRDefault="0022308D">
            <w:pPr>
              <w:jc w:val="center"/>
              <w:rPr>
                <w:snapToGrid w:val="0"/>
                <w:color w:val="000000"/>
                <w:sz w:val="24"/>
                <w:szCs w:val="24"/>
              </w:rPr>
            </w:pPr>
            <w:r>
              <w:rPr>
                <w:snapToGrid w:val="0"/>
                <w:color w:val="000000"/>
                <w:sz w:val="24"/>
                <w:szCs w:val="24"/>
              </w:rPr>
              <w:t>0,001</w:t>
            </w:r>
          </w:p>
        </w:tc>
      </w:tr>
      <w:tr w:rsidR="0022308D">
        <w:trPr>
          <w:trHeight w:val="322"/>
        </w:trPr>
        <w:tc>
          <w:tcPr>
            <w:tcW w:w="6120" w:type="dxa"/>
            <w:tcBorders>
              <w:top w:val="single" w:sz="6" w:space="0" w:color="auto"/>
              <w:left w:val="single" w:sz="12" w:space="0" w:color="auto"/>
              <w:bottom w:val="single" w:sz="12" w:space="0" w:color="auto"/>
              <w:right w:val="single" w:sz="12" w:space="0" w:color="auto"/>
            </w:tcBorders>
          </w:tcPr>
          <w:p w:rsidR="0022308D" w:rsidRDefault="0022308D">
            <w:pPr>
              <w:rPr>
                <w:snapToGrid w:val="0"/>
                <w:color w:val="000000"/>
                <w:sz w:val="24"/>
                <w:szCs w:val="24"/>
              </w:rPr>
            </w:pPr>
            <w:r>
              <w:rPr>
                <w:snapToGrid w:val="0"/>
                <w:color w:val="000000"/>
                <w:sz w:val="24"/>
                <w:szCs w:val="24"/>
              </w:rPr>
              <w:t>5. Коэффициент финансирования (U5)</w:t>
            </w:r>
          </w:p>
        </w:tc>
        <w:tc>
          <w:tcPr>
            <w:tcW w:w="1200" w:type="dxa"/>
            <w:tcBorders>
              <w:top w:val="single" w:sz="6" w:space="0" w:color="auto"/>
              <w:left w:val="single" w:sz="12" w:space="0" w:color="auto"/>
              <w:bottom w:val="single" w:sz="12" w:space="0" w:color="auto"/>
              <w:right w:val="single" w:sz="12" w:space="0" w:color="auto"/>
            </w:tcBorders>
            <w:vAlign w:val="center"/>
          </w:tcPr>
          <w:p w:rsidR="0022308D" w:rsidRDefault="0022308D">
            <w:pPr>
              <w:jc w:val="center"/>
              <w:rPr>
                <w:snapToGrid w:val="0"/>
                <w:color w:val="000000"/>
                <w:sz w:val="24"/>
                <w:szCs w:val="24"/>
              </w:rPr>
            </w:pPr>
            <w:r>
              <w:rPr>
                <w:snapToGrid w:val="0"/>
                <w:color w:val="000000"/>
                <w:sz w:val="24"/>
                <w:szCs w:val="24"/>
              </w:rPr>
              <w:t>1,667</w:t>
            </w:r>
          </w:p>
        </w:tc>
        <w:tc>
          <w:tcPr>
            <w:tcW w:w="1090" w:type="dxa"/>
            <w:tcBorders>
              <w:top w:val="single" w:sz="6" w:space="0" w:color="auto"/>
              <w:left w:val="single" w:sz="12" w:space="0" w:color="auto"/>
              <w:bottom w:val="single" w:sz="12" w:space="0" w:color="auto"/>
              <w:right w:val="single" w:sz="12" w:space="0" w:color="auto"/>
            </w:tcBorders>
            <w:vAlign w:val="center"/>
          </w:tcPr>
          <w:p w:rsidR="0022308D" w:rsidRDefault="0022308D">
            <w:pPr>
              <w:jc w:val="center"/>
              <w:rPr>
                <w:snapToGrid w:val="0"/>
                <w:color w:val="000000"/>
                <w:sz w:val="24"/>
                <w:szCs w:val="24"/>
              </w:rPr>
            </w:pPr>
            <w:r>
              <w:rPr>
                <w:snapToGrid w:val="0"/>
                <w:color w:val="000000"/>
                <w:sz w:val="24"/>
                <w:szCs w:val="24"/>
              </w:rPr>
              <w:t>1,676</w:t>
            </w:r>
          </w:p>
        </w:tc>
        <w:tc>
          <w:tcPr>
            <w:tcW w:w="1420" w:type="dxa"/>
            <w:tcBorders>
              <w:top w:val="single" w:sz="6" w:space="0" w:color="auto"/>
              <w:left w:val="single" w:sz="12" w:space="0" w:color="auto"/>
              <w:bottom w:val="single" w:sz="12" w:space="0" w:color="auto"/>
              <w:right w:val="single" w:sz="12" w:space="0" w:color="auto"/>
            </w:tcBorders>
            <w:vAlign w:val="center"/>
          </w:tcPr>
          <w:p w:rsidR="0022308D" w:rsidRDefault="0022308D">
            <w:pPr>
              <w:jc w:val="center"/>
              <w:rPr>
                <w:snapToGrid w:val="0"/>
                <w:color w:val="000000"/>
                <w:sz w:val="24"/>
                <w:szCs w:val="24"/>
              </w:rPr>
            </w:pPr>
            <w:r>
              <w:rPr>
                <w:snapToGrid w:val="0"/>
                <w:color w:val="000000"/>
                <w:sz w:val="24"/>
                <w:szCs w:val="24"/>
              </w:rPr>
              <w:t>0,009</w:t>
            </w:r>
          </w:p>
        </w:tc>
      </w:tr>
    </w:tbl>
    <w:p w:rsidR="0022308D" w:rsidRDefault="0022308D">
      <w:pPr>
        <w:spacing w:line="360" w:lineRule="auto"/>
        <w:ind w:firstLine="709"/>
        <w:jc w:val="both"/>
        <w:rPr>
          <w:sz w:val="26"/>
          <w:szCs w:val="26"/>
        </w:rPr>
      </w:pPr>
      <w:r>
        <w:rPr>
          <w:sz w:val="26"/>
          <w:szCs w:val="26"/>
        </w:rPr>
        <w:t>Как показывают данные таблицы 6, динамика коэффициента соотношения заемных и собственных средств</w:t>
      </w:r>
      <w:r>
        <w:rPr>
          <w:sz w:val="26"/>
          <w:szCs w:val="26"/>
          <w:lang w:val="en-US"/>
        </w:rPr>
        <w:t xml:space="preserve"> (U3)</w:t>
      </w:r>
      <w:r>
        <w:rPr>
          <w:sz w:val="26"/>
          <w:szCs w:val="26"/>
        </w:rPr>
        <w:t xml:space="preserve"> свидетельствует о достаточной финансовой устойчивости организации, т.к. для этого необходимо, чтобы этот показатель был не выше 1,5. Однако коэффициент  </w:t>
      </w:r>
      <w:r>
        <w:rPr>
          <w:sz w:val="26"/>
          <w:szCs w:val="26"/>
          <w:lang w:val="en-US"/>
        </w:rPr>
        <w:t>U3</w:t>
      </w:r>
      <w:r>
        <w:rPr>
          <w:sz w:val="26"/>
          <w:szCs w:val="26"/>
        </w:rPr>
        <w:t xml:space="preserve"> дает лишь общую оценку финансовой устойчивости. Его необходимо рассматривать в увязке с коэффициентами обеспеченности собственными средствами </w:t>
      </w:r>
      <w:r>
        <w:rPr>
          <w:sz w:val="26"/>
          <w:szCs w:val="26"/>
          <w:lang w:val="en-US"/>
        </w:rPr>
        <w:t>(U1 и U2)</w:t>
      </w:r>
      <w:r>
        <w:rPr>
          <w:sz w:val="26"/>
          <w:szCs w:val="26"/>
        </w:rPr>
        <w:t xml:space="preserve">.  У анализируемой организации </w:t>
      </w:r>
      <w:r>
        <w:rPr>
          <w:sz w:val="26"/>
          <w:szCs w:val="26"/>
          <w:lang w:val="en-US"/>
        </w:rPr>
        <w:t>U1</w:t>
      </w:r>
      <w:r>
        <w:rPr>
          <w:sz w:val="26"/>
          <w:szCs w:val="26"/>
        </w:rPr>
        <w:t xml:space="preserve"> достаточно низок. Собственными оборотными средствами покрывались в конце отчетного периода лишь 37,6% оборотных активов (Таблица 6). Хотя это значительно выше допустимых 10%. Следует отметить уменьшения коэффициента </w:t>
      </w:r>
      <w:r>
        <w:rPr>
          <w:sz w:val="26"/>
          <w:szCs w:val="26"/>
          <w:lang w:val="en-US"/>
        </w:rPr>
        <w:t>U2</w:t>
      </w:r>
      <w:r>
        <w:rPr>
          <w:sz w:val="26"/>
          <w:szCs w:val="26"/>
        </w:rPr>
        <w:t xml:space="preserve"> и выход его за границы нормы.</w:t>
      </w:r>
    </w:p>
    <w:p w:rsidR="0022308D" w:rsidRDefault="0022308D">
      <w:pPr>
        <w:spacing w:line="360" w:lineRule="auto"/>
        <w:ind w:firstLine="709"/>
        <w:jc w:val="both"/>
        <w:rPr>
          <w:sz w:val="26"/>
          <w:szCs w:val="26"/>
        </w:rPr>
      </w:pPr>
      <w:r>
        <w:rPr>
          <w:sz w:val="26"/>
          <w:szCs w:val="26"/>
        </w:rPr>
        <w:t xml:space="preserve">Значение коэффициента автономии </w:t>
      </w:r>
      <w:r>
        <w:rPr>
          <w:sz w:val="26"/>
          <w:szCs w:val="26"/>
          <w:lang w:val="en-US"/>
        </w:rPr>
        <w:t>(U4)</w:t>
      </w:r>
      <w:r>
        <w:rPr>
          <w:sz w:val="26"/>
          <w:szCs w:val="26"/>
        </w:rPr>
        <w:t xml:space="preserve"> выше критической точки, что свидетельствует о благоприятной финансовой ситуации, то есть собственникам принадлежат 62,6% в стоимости имущества. Этот вывод подтверждает и значение коэффициента финансирования </w:t>
      </w:r>
      <w:r>
        <w:rPr>
          <w:sz w:val="26"/>
          <w:szCs w:val="26"/>
          <w:lang w:val="en-US"/>
        </w:rPr>
        <w:t>(U5)</w:t>
      </w:r>
      <w:r>
        <w:rPr>
          <w:sz w:val="26"/>
          <w:szCs w:val="26"/>
        </w:rPr>
        <w:t xml:space="preserve">.  </w:t>
      </w:r>
    </w:p>
    <w:p w:rsidR="0022308D" w:rsidRDefault="0022308D">
      <w:pPr>
        <w:pStyle w:val="2"/>
        <w:spacing w:before="120"/>
        <w:jc w:val="center"/>
        <w:rPr>
          <w:sz w:val="26"/>
          <w:szCs w:val="26"/>
        </w:rPr>
      </w:pPr>
      <w:bookmarkStart w:id="7" w:name="_Toc500177596"/>
      <w:r>
        <w:rPr>
          <w:sz w:val="26"/>
          <w:szCs w:val="26"/>
        </w:rPr>
        <w:t>2.3  Классификация финансового состояния по анализу            финансовой отчетности</w:t>
      </w:r>
      <w:bookmarkEnd w:id="7"/>
      <w:r>
        <w:rPr>
          <w:sz w:val="26"/>
          <w:szCs w:val="26"/>
        </w:rPr>
        <w:t xml:space="preserve"> </w:t>
      </w:r>
    </w:p>
    <w:p w:rsidR="0022308D" w:rsidRDefault="0022308D">
      <w:pPr>
        <w:pStyle w:val="21"/>
      </w:pPr>
      <w:r>
        <w:t>В «Методических рекомендациях по разработке финансовой политики предприятия» опубликованной Министерством экономики РФ (приказ №118 от 1.10.97), предлагается все показатели финансово-экономического состояния предприятия разделить на 2 уровня: первый и второй. Эти категории имею между собой существенные качественные различия.</w:t>
      </w:r>
    </w:p>
    <w:p w:rsidR="0022308D" w:rsidRDefault="0022308D">
      <w:pPr>
        <w:spacing w:line="360" w:lineRule="auto"/>
        <w:ind w:firstLine="720"/>
        <w:jc w:val="both"/>
        <w:rPr>
          <w:sz w:val="26"/>
          <w:szCs w:val="26"/>
        </w:rPr>
      </w:pPr>
      <w:r>
        <w:rPr>
          <w:sz w:val="26"/>
          <w:szCs w:val="26"/>
        </w:rPr>
        <w:t>В первый уровень входят показатели, для которых определены нормативные значения. К их числу относятся показатели платежеспособности и финансовой устойчивости. Во второй уровень входят показатели, значения которых не могут служить для оценки финансового состояния без сравнения со значениями этих показателей на предприятиях, выпускающих продукцию, аналогичную продукции нашей организации. В эту группу входят показатели рентабельности, характеристики структуры имущества, источников и состояния оборотных средств.</w:t>
      </w:r>
    </w:p>
    <w:p w:rsidR="0022308D" w:rsidRDefault="0022308D">
      <w:pPr>
        <w:spacing w:line="360" w:lineRule="auto"/>
        <w:ind w:firstLine="720"/>
        <w:jc w:val="both"/>
        <w:rPr>
          <w:sz w:val="26"/>
          <w:szCs w:val="26"/>
        </w:rPr>
      </w:pPr>
      <w:r>
        <w:rPr>
          <w:sz w:val="26"/>
          <w:szCs w:val="26"/>
        </w:rPr>
        <w:t xml:space="preserve"> Анализируя динамику показателей первого уровня, следует обратить внимание на тенденцию изменения этих показателей. Если их значения ниже нормативных или выше, то это следует рассматривать как ухудшение характеристик анализируемой организации. Выделяют несколько состояний показателей первого уровня:</w:t>
      </w:r>
    </w:p>
    <w:p w:rsidR="0022308D" w:rsidRDefault="0022308D">
      <w:pPr>
        <w:pStyle w:val="5"/>
      </w:pPr>
      <w:r>
        <w:t>Таблица 7</w:t>
      </w:r>
    </w:p>
    <w:p w:rsidR="0022308D" w:rsidRDefault="0022308D">
      <w:pPr>
        <w:spacing w:line="360" w:lineRule="auto"/>
        <w:ind w:firstLine="720"/>
        <w:jc w:val="center"/>
        <w:rPr>
          <w:sz w:val="26"/>
          <w:szCs w:val="26"/>
        </w:rPr>
      </w:pPr>
      <w:r>
        <w:rPr>
          <w:sz w:val="26"/>
          <w:szCs w:val="26"/>
        </w:rPr>
        <w:t>Состояние показателей первого уровня.</w:t>
      </w:r>
    </w:p>
    <w:tbl>
      <w:tblPr>
        <w:tblW w:w="0" w:type="auto"/>
        <w:tblInd w:w="-45" w:type="dxa"/>
        <w:tblLayout w:type="fixed"/>
        <w:tblCellMar>
          <w:left w:w="30" w:type="dxa"/>
          <w:right w:w="30" w:type="dxa"/>
        </w:tblCellMar>
        <w:tblLook w:val="0000" w:firstRow="0" w:lastRow="0" w:firstColumn="0" w:lastColumn="0" w:noHBand="0" w:noVBand="0"/>
      </w:tblPr>
      <w:tblGrid>
        <w:gridCol w:w="4843"/>
        <w:gridCol w:w="1767"/>
        <w:gridCol w:w="1670"/>
        <w:gridCol w:w="1579"/>
      </w:tblGrid>
      <w:tr w:rsidR="0022308D">
        <w:trPr>
          <w:trHeight w:val="658"/>
        </w:trPr>
        <w:tc>
          <w:tcPr>
            <w:tcW w:w="4843" w:type="dxa"/>
            <w:tcBorders>
              <w:top w:val="single" w:sz="12" w:space="0" w:color="auto"/>
              <w:left w:val="single" w:sz="12" w:space="0" w:color="auto"/>
              <w:bottom w:val="single" w:sz="12" w:space="0" w:color="auto"/>
              <w:right w:val="single" w:sz="12" w:space="0" w:color="auto"/>
            </w:tcBorders>
            <w:vAlign w:val="center"/>
          </w:tcPr>
          <w:p w:rsidR="0022308D" w:rsidRDefault="0022308D">
            <w:pPr>
              <w:jc w:val="center"/>
              <w:rPr>
                <w:snapToGrid w:val="0"/>
                <w:color w:val="000000"/>
                <w:sz w:val="26"/>
                <w:szCs w:val="26"/>
              </w:rPr>
            </w:pPr>
            <w:r>
              <w:rPr>
                <w:snapToGrid w:val="0"/>
                <w:color w:val="000000"/>
                <w:sz w:val="26"/>
                <w:szCs w:val="26"/>
              </w:rPr>
              <w:t>Тенденции</w:t>
            </w:r>
          </w:p>
        </w:tc>
        <w:tc>
          <w:tcPr>
            <w:tcW w:w="1767" w:type="dxa"/>
            <w:tcBorders>
              <w:top w:val="single" w:sz="12" w:space="0" w:color="auto"/>
              <w:left w:val="single" w:sz="12" w:space="0" w:color="auto"/>
              <w:bottom w:val="single" w:sz="12" w:space="0" w:color="auto"/>
              <w:right w:val="single" w:sz="12" w:space="0" w:color="auto"/>
            </w:tcBorders>
            <w:vAlign w:val="center"/>
          </w:tcPr>
          <w:p w:rsidR="0022308D" w:rsidRDefault="0022308D">
            <w:pPr>
              <w:jc w:val="center"/>
              <w:rPr>
                <w:snapToGrid w:val="0"/>
                <w:color w:val="000000"/>
                <w:sz w:val="26"/>
                <w:szCs w:val="26"/>
              </w:rPr>
            </w:pPr>
            <w:r>
              <w:rPr>
                <w:snapToGrid w:val="0"/>
                <w:color w:val="000000"/>
                <w:sz w:val="26"/>
                <w:szCs w:val="26"/>
              </w:rPr>
              <w:t>Улучшение значений</w:t>
            </w:r>
          </w:p>
        </w:tc>
        <w:tc>
          <w:tcPr>
            <w:tcW w:w="1670" w:type="dxa"/>
            <w:tcBorders>
              <w:top w:val="single" w:sz="12" w:space="0" w:color="auto"/>
              <w:left w:val="single" w:sz="12" w:space="0" w:color="auto"/>
              <w:bottom w:val="single" w:sz="12" w:space="0" w:color="auto"/>
              <w:right w:val="single" w:sz="12" w:space="0" w:color="auto"/>
            </w:tcBorders>
            <w:vAlign w:val="center"/>
          </w:tcPr>
          <w:p w:rsidR="0022308D" w:rsidRDefault="0022308D">
            <w:pPr>
              <w:jc w:val="center"/>
              <w:rPr>
                <w:snapToGrid w:val="0"/>
                <w:color w:val="000000"/>
                <w:sz w:val="26"/>
                <w:szCs w:val="26"/>
              </w:rPr>
            </w:pPr>
            <w:r>
              <w:rPr>
                <w:snapToGrid w:val="0"/>
                <w:color w:val="000000"/>
                <w:sz w:val="26"/>
                <w:szCs w:val="26"/>
              </w:rPr>
              <w:t>Значения устойчивы</w:t>
            </w:r>
          </w:p>
        </w:tc>
        <w:tc>
          <w:tcPr>
            <w:tcW w:w="1579" w:type="dxa"/>
            <w:tcBorders>
              <w:top w:val="single" w:sz="12" w:space="0" w:color="auto"/>
              <w:left w:val="single" w:sz="12" w:space="0" w:color="auto"/>
              <w:bottom w:val="single" w:sz="12" w:space="0" w:color="auto"/>
              <w:right w:val="single" w:sz="12" w:space="0" w:color="auto"/>
            </w:tcBorders>
            <w:vAlign w:val="center"/>
          </w:tcPr>
          <w:p w:rsidR="0022308D" w:rsidRDefault="0022308D">
            <w:pPr>
              <w:jc w:val="center"/>
              <w:rPr>
                <w:snapToGrid w:val="0"/>
                <w:color w:val="000000"/>
                <w:sz w:val="26"/>
                <w:szCs w:val="26"/>
              </w:rPr>
            </w:pPr>
            <w:r>
              <w:rPr>
                <w:snapToGrid w:val="0"/>
                <w:color w:val="000000"/>
                <w:sz w:val="26"/>
                <w:szCs w:val="26"/>
              </w:rPr>
              <w:t>Ухудшение показателей</w:t>
            </w:r>
          </w:p>
        </w:tc>
      </w:tr>
      <w:tr w:rsidR="0022308D">
        <w:trPr>
          <w:trHeight w:val="271"/>
        </w:trPr>
        <w:tc>
          <w:tcPr>
            <w:tcW w:w="4843" w:type="dxa"/>
            <w:tcBorders>
              <w:left w:val="single" w:sz="12" w:space="0" w:color="auto"/>
              <w:bottom w:val="single" w:sz="6" w:space="0" w:color="auto"/>
              <w:right w:val="single" w:sz="12" w:space="0" w:color="auto"/>
            </w:tcBorders>
          </w:tcPr>
          <w:p w:rsidR="0022308D" w:rsidRDefault="0022308D">
            <w:pPr>
              <w:rPr>
                <w:snapToGrid w:val="0"/>
                <w:color w:val="000000"/>
                <w:sz w:val="26"/>
                <w:szCs w:val="26"/>
              </w:rPr>
            </w:pPr>
            <w:r>
              <w:rPr>
                <w:snapToGrid w:val="0"/>
                <w:color w:val="000000"/>
                <w:sz w:val="26"/>
                <w:szCs w:val="26"/>
              </w:rPr>
              <w:t>Соответствие нормативам</w:t>
            </w:r>
          </w:p>
        </w:tc>
        <w:tc>
          <w:tcPr>
            <w:tcW w:w="1767" w:type="dxa"/>
            <w:tcBorders>
              <w:left w:val="single" w:sz="12" w:space="0" w:color="auto"/>
              <w:bottom w:val="single" w:sz="6" w:space="0" w:color="auto"/>
              <w:right w:val="single" w:sz="12" w:space="0" w:color="auto"/>
            </w:tcBorders>
          </w:tcPr>
          <w:p w:rsidR="0022308D" w:rsidRDefault="0022308D">
            <w:pPr>
              <w:jc w:val="center"/>
              <w:rPr>
                <w:snapToGrid w:val="0"/>
                <w:color w:val="000000"/>
                <w:sz w:val="26"/>
                <w:szCs w:val="26"/>
              </w:rPr>
            </w:pPr>
            <w:r>
              <w:rPr>
                <w:snapToGrid w:val="0"/>
                <w:color w:val="000000"/>
                <w:sz w:val="26"/>
                <w:szCs w:val="26"/>
              </w:rPr>
              <w:t>1</w:t>
            </w:r>
          </w:p>
        </w:tc>
        <w:tc>
          <w:tcPr>
            <w:tcW w:w="1670" w:type="dxa"/>
            <w:tcBorders>
              <w:left w:val="single" w:sz="12" w:space="0" w:color="auto"/>
              <w:bottom w:val="single" w:sz="6" w:space="0" w:color="auto"/>
              <w:right w:val="single" w:sz="12" w:space="0" w:color="auto"/>
            </w:tcBorders>
          </w:tcPr>
          <w:p w:rsidR="0022308D" w:rsidRDefault="0022308D">
            <w:pPr>
              <w:jc w:val="center"/>
              <w:rPr>
                <w:snapToGrid w:val="0"/>
                <w:color w:val="000000"/>
                <w:sz w:val="26"/>
                <w:szCs w:val="26"/>
              </w:rPr>
            </w:pPr>
            <w:r>
              <w:rPr>
                <w:snapToGrid w:val="0"/>
                <w:color w:val="000000"/>
                <w:sz w:val="26"/>
                <w:szCs w:val="26"/>
              </w:rPr>
              <w:t>2</w:t>
            </w:r>
          </w:p>
        </w:tc>
        <w:tc>
          <w:tcPr>
            <w:tcW w:w="1579" w:type="dxa"/>
            <w:tcBorders>
              <w:left w:val="single" w:sz="12" w:space="0" w:color="auto"/>
              <w:bottom w:val="single" w:sz="6" w:space="0" w:color="auto"/>
              <w:right w:val="single" w:sz="12" w:space="0" w:color="auto"/>
            </w:tcBorders>
          </w:tcPr>
          <w:p w:rsidR="0022308D" w:rsidRDefault="0022308D">
            <w:pPr>
              <w:jc w:val="center"/>
              <w:rPr>
                <w:snapToGrid w:val="0"/>
                <w:color w:val="000000"/>
                <w:sz w:val="26"/>
                <w:szCs w:val="26"/>
              </w:rPr>
            </w:pPr>
            <w:r>
              <w:rPr>
                <w:snapToGrid w:val="0"/>
                <w:color w:val="000000"/>
                <w:sz w:val="26"/>
                <w:szCs w:val="26"/>
              </w:rPr>
              <w:t>3</w:t>
            </w:r>
          </w:p>
        </w:tc>
      </w:tr>
      <w:tr w:rsidR="0022308D">
        <w:trPr>
          <w:trHeight w:val="322"/>
        </w:trPr>
        <w:tc>
          <w:tcPr>
            <w:tcW w:w="4843" w:type="dxa"/>
            <w:tcBorders>
              <w:top w:val="single" w:sz="6" w:space="0" w:color="auto"/>
              <w:left w:val="single" w:sz="12" w:space="0" w:color="auto"/>
              <w:bottom w:val="single" w:sz="6" w:space="0" w:color="auto"/>
              <w:right w:val="single" w:sz="12" w:space="0" w:color="auto"/>
            </w:tcBorders>
          </w:tcPr>
          <w:p w:rsidR="0022308D" w:rsidRDefault="0022308D">
            <w:pPr>
              <w:rPr>
                <w:snapToGrid w:val="0"/>
                <w:color w:val="000000"/>
                <w:sz w:val="26"/>
                <w:szCs w:val="26"/>
              </w:rPr>
            </w:pPr>
            <w:r>
              <w:rPr>
                <w:snapToGrid w:val="0"/>
                <w:color w:val="000000"/>
                <w:sz w:val="26"/>
                <w:szCs w:val="26"/>
              </w:rPr>
              <w:t>Нормальные значения 1</w:t>
            </w:r>
          </w:p>
        </w:tc>
        <w:tc>
          <w:tcPr>
            <w:tcW w:w="1767" w:type="dxa"/>
            <w:tcBorders>
              <w:top w:val="single" w:sz="6" w:space="0" w:color="auto"/>
              <w:left w:val="single" w:sz="12" w:space="0" w:color="auto"/>
              <w:bottom w:val="single" w:sz="6" w:space="0" w:color="auto"/>
              <w:right w:val="single" w:sz="12" w:space="0" w:color="auto"/>
            </w:tcBorders>
          </w:tcPr>
          <w:p w:rsidR="0022308D" w:rsidRDefault="0022308D">
            <w:pPr>
              <w:jc w:val="center"/>
              <w:rPr>
                <w:snapToGrid w:val="0"/>
                <w:color w:val="000000"/>
                <w:sz w:val="26"/>
                <w:szCs w:val="26"/>
              </w:rPr>
            </w:pPr>
            <w:r>
              <w:rPr>
                <w:snapToGrid w:val="0"/>
                <w:color w:val="000000"/>
                <w:sz w:val="26"/>
                <w:szCs w:val="26"/>
              </w:rPr>
              <w:t>1.1</w:t>
            </w:r>
          </w:p>
        </w:tc>
        <w:tc>
          <w:tcPr>
            <w:tcW w:w="1670" w:type="dxa"/>
            <w:tcBorders>
              <w:top w:val="single" w:sz="6" w:space="0" w:color="auto"/>
              <w:left w:val="single" w:sz="12" w:space="0" w:color="auto"/>
              <w:bottom w:val="single" w:sz="6" w:space="0" w:color="auto"/>
              <w:right w:val="single" w:sz="12" w:space="0" w:color="auto"/>
            </w:tcBorders>
          </w:tcPr>
          <w:p w:rsidR="0022308D" w:rsidRDefault="0022308D">
            <w:pPr>
              <w:jc w:val="center"/>
              <w:rPr>
                <w:snapToGrid w:val="0"/>
                <w:color w:val="000000"/>
                <w:sz w:val="26"/>
                <w:szCs w:val="26"/>
              </w:rPr>
            </w:pPr>
            <w:r>
              <w:rPr>
                <w:snapToGrid w:val="0"/>
                <w:color w:val="000000"/>
                <w:sz w:val="26"/>
                <w:szCs w:val="26"/>
              </w:rPr>
              <w:t>1.2</w:t>
            </w:r>
          </w:p>
        </w:tc>
        <w:tc>
          <w:tcPr>
            <w:tcW w:w="1579" w:type="dxa"/>
            <w:tcBorders>
              <w:top w:val="single" w:sz="6" w:space="0" w:color="auto"/>
              <w:left w:val="single" w:sz="12" w:space="0" w:color="auto"/>
              <w:bottom w:val="single" w:sz="6" w:space="0" w:color="auto"/>
              <w:right w:val="single" w:sz="12" w:space="0" w:color="auto"/>
            </w:tcBorders>
          </w:tcPr>
          <w:p w:rsidR="0022308D" w:rsidRDefault="0022308D">
            <w:pPr>
              <w:jc w:val="center"/>
              <w:rPr>
                <w:snapToGrid w:val="0"/>
                <w:color w:val="000000"/>
                <w:sz w:val="26"/>
                <w:szCs w:val="26"/>
              </w:rPr>
            </w:pPr>
            <w:r>
              <w:rPr>
                <w:snapToGrid w:val="0"/>
                <w:color w:val="000000"/>
                <w:sz w:val="26"/>
                <w:szCs w:val="26"/>
              </w:rPr>
              <w:t>1.3</w:t>
            </w:r>
          </w:p>
        </w:tc>
      </w:tr>
      <w:tr w:rsidR="0022308D">
        <w:trPr>
          <w:trHeight w:val="336"/>
        </w:trPr>
        <w:tc>
          <w:tcPr>
            <w:tcW w:w="4843" w:type="dxa"/>
            <w:tcBorders>
              <w:top w:val="single" w:sz="6" w:space="0" w:color="auto"/>
              <w:left w:val="single" w:sz="12" w:space="0" w:color="auto"/>
              <w:bottom w:val="single" w:sz="12" w:space="0" w:color="auto"/>
              <w:right w:val="single" w:sz="12" w:space="0" w:color="auto"/>
            </w:tcBorders>
          </w:tcPr>
          <w:p w:rsidR="0022308D" w:rsidRDefault="0022308D">
            <w:pPr>
              <w:rPr>
                <w:snapToGrid w:val="0"/>
                <w:color w:val="000000"/>
                <w:sz w:val="26"/>
                <w:szCs w:val="26"/>
              </w:rPr>
            </w:pPr>
            <w:r>
              <w:rPr>
                <w:snapToGrid w:val="0"/>
                <w:color w:val="000000"/>
                <w:sz w:val="26"/>
                <w:szCs w:val="26"/>
              </w:rPr>
              <w:t>Значения не соответствуют нормативам 2</w:t>
            </w:r>
          </w:p>
        </w:tc>
        <w:tc>
          <w:tcPr>
            <w:tcW w:w="1767" w:type="dxa"/>
            <w:tcBorders>
              <w:top w:val="single" w:sz="6" w:space="0" w:color="auto"/>
              <w:left w:val="single" w:sz="12" w:space="0" w:color="auto"/>
              <w:bottom w:val="single" w:sz="12" w:space="0" w:color="auto"/>
              <w:right w:val="single" w:sz="12" w:space="0" w:color="auto"/>
            </w:tcBorders>
          </w:tcPr>
          <w:p w:rsidR="0022308D" w:rsidRDefault="0022308D">
            <w:pPr>
              <w:jc w:val="center"/>
              <w:rPr>
                <w:snapToGrid w:val="0"/>
                <w:color w:val="000000"/>
                <w:sz w:val="26"/>
                <w:szCs w:val="26"/>
              </w:rPr>
            </w:pPr>
            <w:r>
              <w:rPr>
                <w:snapToGrid w:val="0"/>
                <w:color w:val="000000"/>
                <w:sz w:val="26"/>
                <w:szCs w:val="26"/>
              </w:rPr>
              <w:t>2.1</w:t>
            </w:r>
          </w:p>
        </w:tc>
        <w:tc>
          <w:tcPr>
            <w:tcW w:w="1670" w:type="dxa"/>
            <w:tcBorders>
              <w:top w:val="single" w:sz="6" w:space="0" w:color="auto"/>
              <w:left w:val="single" w:sz="12" w:space="0" w:color="auto"/>
              <w:bottom w:val="single" w:sz="12" w:space="0" w:color="auto"/>
              <w:right w:val="single" w:sz="12" w:space="0" w:color="auto"/>
            </w:tcBorders>
          </w:tcPr>
          <w:p w:rsidR="0022308D" w:rsidRDefault="0022308D">
            <w:pPr>
              <w:jc w:val="center"/>
              <w:rPr>
                <w:snapToGrid w:val="0"/>
                <w:color w:val="000000"/>
                <w:sz w:val="26"/>
                <w:szCs w:val="26"/>
              </w:rPr>
            </w:pPr>
            <w:r>
              <w:rPr>
                <w:snapToGrid w:val="0"/>
                <w:color w:val="000000"/>
                <w:sz w:val="26"/>
                <w:szCs w:val="26"/>
              </w:rPr>
              <w:t>2.2</w:t>
            </w:r>
          </w:p>
        </w:tc>
        <w:tc>
          <w:tcPr>
            <w:tcW w:w="1579" w:type="dxa"/>
            <w:tcBorders>
              <w:top w:val="single" w:sz="6" w:space="0" w:color="auto"/>
              <w:left w:val="single" w:sz="12" w:space="0" w:color="auto"/>
              <w:bottom w:val="single" w:sz="12" w:space="0" w:color="auto"/>
              <w:right w:val="single" w:sz="12" w:space="0" w:color="auto"/>
            </w:tcBorders>
          </w:tcPr>
          <w:p w:rsidR="0022308D" w:rsidRDefault="0022308D">
            <w:pPr>
              <w:jc w:val="center"/>
              <w:rPr>
                <w:snapToGrid w:val="0"/>
                <w:color w:val="000000"/>
                <w:sz w:val="26"/>
                <w:szCs w:val="26"/>
              </w:rPr>
            </w:pPr>
            <w:r>
              <w:rPr>
                <w:snapToGrid w:val="0"/>
                <w:color w:val="000000"/>
                <w:sz w:val="26"/>
                <w:szCs w:val="26"/>
              </w:rPr>
              <w:t>2.3</w:t>
            </w:r>
          </w:p>
        </w:tc>
      </w:tr>
    </w:tbl>
    <w:p w:rsidR="0022308D" w:rsidRDefault="0022308D">
      <w:pPr>
        <w:spacing w:line="360" w:lineRule="auto"/>
        <w:ind w:firstLine="720"/>
        <w:jc w:val="both"/>
        <w:rPr>
          <w:sz w:val="26"/>
          <w:szCs w:val="26"/>
        </w:rPr>
      </w:pPr>
      <w:r>
        <w:rPr>
          <w:b/>
          <w:bCs/>
          <w:sz w:val="26"/>
          <w:szCs w:val="26"/>
        </w:rPr>
        <w:t xml:space="preserve">Состояние 1.1 - </w:t>
      </w:r>
      <w:r>
        <w:rPr>
          <w:sz w:val="26"/>
          <w:szCs w:val="26"/>
        </w:rPr>
        <w:t xml:space="preserve"> значения показателей находятся в пределах рекомендуемого диапазона нормативных значений («коридора»), но у его границ. Анализ динамики показателей свидетельствует, что движение происходит в сторону наиболее приемлемых значений (движение от границ к центру «коридора»). Если группа показателей данного уровня находится в состоянии 1.1, то данному аспекту финансового состояния можно дать оценку «отлично»;</w:t>
      </w:r>
    </w:p>
    <w:p w:rsidR="0022308D" w:rsidRDefault="0022308D">
      <w:pPr>
        <w:spacing w:line="360" w:lineRule="auto"/>
        <w:ind w:firstLine="720"/>
        <w:jc w:val="both"/>
        <w:rPr>
          <w:sz w:val="26"/>
          <w:szCs w:val="26"/>
        </w:rPr>
      </w:pPr>
      <w:r>
        <w:rPr>
          <w:b/>
          <w:bCs/>
          <w:sz w:val="26"/>
          <w:szCs w:val="26"/>
        </w:rPr>
        <w:t xml:space="preserve">Состояние 1.2 – </w:t>
      </w:r>
      <w:r>
        <w:rPr>
          <w:sz w:val="26"/>
          <w:szCs w:val="26"/>
        </w:rPr>
        <w:t>значения показателей находятся в рекомендуемых границах, а анализ динамики показывает их устойчивость. В таком случае финансовое состояние организации можно определить как «отличное» (значения показателя находятся в середине «коридора») или «хорошее» (значение у одной из границ «коридора»);</w:t>
      </w:r>
    </w:p>
    <w:p w:rsidR="0022308D" w:rsidRDefault="0022308D">
      <w:pPr>
        <w:spacing w:line="360" w:lineRule="auto"/>
        <w:ind w:firstLine="720"/>
        <w:jc w:val="both"/>
        <w:rPr>
          <w:sz w:val="26"/>
          <w:szCs w:val="26"/>
        </w:rPr>
      </w:pPr>
      <w:r>
        <w:rPr>
          <w:b/>
          <w:bCs/>
          <w:sz w:val="26"/>
          <w:szCs w:val="26"/>
        </w:rPr>
        <w:t xml:space="preserve">Состояние 1.3 – </w:t>
      </w:r>
      <w:r>
        <w:rPr>
          <w:sz w:val="26"/>
          <w:szCs w:val="26"/>
        </w:rPr>
        <w:t>значения показателей находятся в рекомендуемых границах, но анализ динамики указывает на их ухудшение (движение от середины «коридора» к его границам). Оценка финансового состояния в этом случае – «хорошо»;</w:t>
      </w:r>
    </w:p>
    <w:p w:rsidR="0022308D" w:rsidRDefault="0022308D">
      <w:pPr>
        <w:spacing w:line="360" w:lineRule="auto"/>
        <w:ind w:firstLine="720"/>
        <w:jc w:val="both"/>
        <w:rPr>
          <w:sz w:val="26"/>
          <w:szCs w:val="26"/>
        </w:rPr>
      </w:pPr>
      <w:r>
        <w:rPr>
          <w:b/>
          <w:bCs/>
          <w:sz w:val="26"/>
          <w:szCs w:val="26"/>
        </w:rPr>
        <w:t xml:space="preserve">Состояние 2.1 – </w:t>
      </w:r>
      <w:r>
        <w:rPr>
          <w:sz w:val="26"/>
          <w:szCs w:val="26"/>
        </w:rPr>
        <w:t>Значения показателей находятся за пределами рекомендуемых, но наблюдается тенденция к улучшению. В этом случае, в зависимости от отклонения от нормы и темпов движения к ней, финансовое состояние организации может быть охарактеризовано как «хорошее» или «удовлетворительное»;</w:t>
      </w:r>
    </w:p>
    <w:p w:rsidR="0022308D" w:rsidRDefault="0022308D">
      <w:pPr>
        <w:spacing w:line="360" w:lineRule="auto"/>
        <w:ind w:firstLine="720"/>
        <w:jc w:val="both"/>
        <w:rPr>
          <w:sz w:val="26"/>
          <w:szCs w:val="26"/>
        </w:rPr>
      </w:pPr>
      <w:r>
        <w:rPr>
          <w:b/>
          <w:bCs/>
          <w:sz w:val="26"/>
          <w:szCs w:val="26"/>
        </w:rPr>
        <w:t xml:space="preserve">Состояние 2.2 – </w:t>
      </w:r>
      <w:r>
        <w:rPr>
          <w:sz w:val="26"/>
          <w:szCs w:val="26"/>
        </w:rPr>
        <w:t xml:space="preserve">значения показателей устойчиво находятся вне рекомендуемого «коридора». Оценка – «удовлетворительно»  или «неудовлетворительно». </w:t>
      </w:r>
    </w:p>
    <w:p w:rsidR="0022308D" w:rsidRDefault="0022308D">
      <w:pPr>
        <w:spacing w:line="360" w:lineRule="auto"/>
        <w:ind w:firstLine="720"/>
        <w:jc w:val="both"/>
        <w:rPr>
          <w:sz w:val="26"/>
          <w:szCs w:val="26"/>
        </w:rPr>
      </w:pPr>
      <w:r>
        <w:rPr>
          <w:b/>
          <w:bCs/>
          <w:sz w:val="26"/>
          <w:szCs w:val="26"/>
        </w:rPr>
        <w:t xml:space="preserve">Состояние 2.3 – </w:t>
      </w:r>
      <w:r>
        <w:rPr>
          <w:sz w:val="26"/>
          <w:szCs w:val="26"/>
        </w:rPr>
        <w:t>значения показателей находятся за пределами нормы и все время ухудшаются. Оценка – «неудовлетворительно».</w:t>
      </w:r>
    </w:p>
    <w:p w:rsidR="0022308D" w:rsidRDefault="0022308D">
      <w:pPr>
        <w:pStyle w:val="21"/>
      </w:pPr>
      <w:r>
        <w:t>Применяя данную методику к полученным нами результатам по коэффициентам платежеспособности и финансовой устойчивости, можно сделать следующие выводы:</w:t>
      </w:r>
    </w:p>
    <w:p w:rsidR="0022308D" w:rsidRDefault="0022308D">
      <w:pPr>
        <w:pStyle w:val="5"/>
      </w:pPr>
      <w:r>
        <w:t>Таблица 8</w:t>
      </w:r>
    </w:p>
    <w:p w:rsidR="0022308D" w:rsidRDefault="0022308D">
      <w:pPr>
        <w:spacing w:line="360" w:lineRule="auto"/>
        <w:ind w:firstLine="720"/>
        <w:jc w:val="center"/>
        <w:rPr>
          <w:sz w:val="26"/>
          <w:szCs w:val="26"/>
        </w:rPr>
      </w:pPr>
      <w:r>
        <w:rPr>
          <w:sz w:val="26"/>
          <w:szCs w:val="26"/>
        </w:rPr>
        <w:t>Оценка состояния показателей первого уровня.</w:t>
      </w:r>
    </w:p>
    <w:tbl>
      <w:tblPr>
        <w:tblW w:w="0" w:type="auto"/>
        <w:tblInd w:w="-45" w:type="dxa"/>
        <w:tblLayout w:type="fixed"/>
        <w:tblCellMar>
          <w:left w:w="30" w:type="dxa"/>
          <w:right w:w="30" w:type="dxa"/>
        </w:tblCellMar>
        <w:tblLook w:val="0000" w:firstRow="0" w:lastRow="0" w:firstColumn="0" w:lastColumn="0" w:noHBand="0" w:noVBand="0"/>
      </w:tblPr>
      <w:tblGrid>
        <w:gridCol w:w="1718"/>
        <w:gridCol w:w="2285"/>
        <w:gridCol w:w="1469"/>
        <w:gridCol w:w="1402"/>
        <w:gridCol w:w="2726"/>
      </w:tblGrid>
      <w:tr w:rsidR="0022308D">
        <w:trPr>
          <w:trHeight w:val="536"/>
        </w:trPr>
        <w:tc>
          <w:tcPr>
            <w:tcW w:w="1718" w:type="dxa"/>
            <w:tcBorders>
              <w:top w:val="single" w:sz="12" w:space="0" w:color="auto"/>
              <w:left w:val="single" w:sz="12" w:space="0" w:color="auto"/>
              <w:bottom w:val="single" w:sz="12" w:space="0" w:color="auto"/>
              <w:right w:val="single" w:sz="12" w:space="0" w:color="auto"/>
            </w:tcBorders>
            <w:vAlign w:val="center"/>
          </w:tcPr>
          <w:p w:rsidR="0022308D" w:rsidRDefault="0022308D">
            <w:pPr>
              <w:jc w:val="center"/>
              <w:rPr>
                <w:snapToGrid w:val="0"/>
                <w:color w:val="000000"/>
                <w:sz w:val="26"/>
                <w:szCs w:val="26"/>
              </w:rPr>
            </w:pPr>
            <w:r>
              <w:rPr>
                <w:snapToGrid w:val="0"/>
                <w:color w:val="000000"/>
                <w:sz w:val="26"/>
                <w:szCs w:val="26"/>
              </w:rPr>
              <w:t>Наименование показателя</w:t>
            </w:r>
          </w:p>
        </w:tc>
        <w:tc>
          <w:tcPr>
            <w:tcW w:w="2285" w:type="dxa"/>
            <w:tcBorders>
              <w:top w:val="single" w:sz="12" w:space="0" w:color="auto"/>
              <w:left w:val="single" w:sz="12" w:space="0" w:color="auto"/>
              <w:bottom w:val="single" w:sz="12" w:space="0" w:color="auto"/>
              <w:right w:val="single" w:sz="12" w:space="0" w:color="auto"/>
            </w:tcBorders>
            <w:vAlign w:val="center"/>
          </w:tcPr>
          <w:p w:rsidR="0022308D" w:rsidRDefault="0022308D">
            <w:pPr>
              <w:jc w:val="center"/>
              <w:rPr>
                <w:snapToGrid w:val="0"/>
                <w:color w:val="000000"/>
                <w:sz w:val="26"/>
                <w:szCs w:val="26"/>
              </w:rPr>
            </w:pPr>
            <w:r>
              <w:rPr>
                <w:snapToGrid w:val="0"/>
                <w:color w:val="000000"/>
                <w:sz w:val="26"/>
                <w:szCs w:val="26"/>
              </w:rPr>
              <w:t>Соответствие нормативу</w:t>
            </w:r>
          </w:p>
        </w:tc>
        <w:tc>
          <w:tcPr>
            <w:tcW w:w="1469" w:type="dxa"/>
            <w:tcBorders>
              <w:top w:val="single" w:sz="12" w:space="0" w:color="auto"/>
              <w:left w:val="single" w:sz="12" w:space="0" w:color="auto"/>
              <w:bottom w:val="single" w:sz="12" w:space="0" w:color="auto"/>
              <w:right w:val="single" w:sz="12" w:space="0" w:color="auto"/>
            </w:tcBorders>
            <w:vAlign w:val="center"/>
          </w:tcPr>
          <w:p w:rsidR="0022308D" w:rsidRDefault="0022308D">
            <w:pPr>
              <w:jc w:val="center"/>
              <w:rPr>
                <w:snapToGrid w:val="0"/>
                <w:color w:val="000000"/>
                <w:sz w:val="26"/>
                <w:szCs w:val="26"/>
              </w:rPr>
            </w:pPr>
            <w:r>
              <w:rPr>
                <w:snapToGrid w:val="0"/>
                <w:color w:val="000000"/>
                <w:sz w:val="26"/>
                <w:szCs w:val="26"/>
              </w:rPr>
              <w:t>Тенденция</w:t>
            </w:r>
          </w:p>
        </w:tc>
        <w:tc>
          <w:tcPr>
            <w:tcW w:w="1402" w:type="dxa"/>
            <w:tcBorders>
              <w:top w:val="single" w:sz="12" w:space="0" w:color="auto"/>
              <w:left w:val="single" w:sz="12" w:space="0" w:color="auto"/>
              <w:bottom w:val="single" w:sz="12" w:space="0" w:color="auto"/>
              <w:right w:val="single" w:sz="12" w:space="0" w:color="auto"/>
            </w:tcBorders>
            <w:vAlign w:val="center"/>
          </w:tcPr>
          <w:p w:rsidR="0022308D" w:rsidRDefault="0022308D">
            <w:pPr>
              <w:jc w:val="center"/>
              <w:rPr>
                <w:snapToGrid w:val="0"/>
                <w:color w:val="000000"/>
                <w:sz w:val="26"/>
                <w:szCs w:val="26"/>
              </w:rPr>
            </w:pPr>
            <w:r>
              <w:rPr>
                <w:snapToGrid w:val="0"/>
                <w:color w:val="000000"/>
                <w:sz w:val="26"/>
                <w:szCs w:val="26"/>
              </w:rPr>
              <w:t xml:space="preserve">Состояние показателя </w:t>
            </w:r>
          </w:p>
        </w:tc>
        <w:tc>
          <w:tcPr>
            <w:tcW w:w="2726" w:type="dxa"/>
            <w:tcBorders>
              <w:top w:val="single" w:sz="12" w:space="0" w:color="auto"/>
              <w:left w:val="single" w:sz="12" w:space="0" w:color="auto"/>
              <w:bottom w:val="single" w:sz="12" w:space="0" w:color="auto"/>
              <w:right w:val="single" w:sz="12" w:space="0" w:color="auto"/>
            </w:tcBorders>
            <w:vAlign w:val="center"/>
          </w:tcPr>
          <w:p w:rsidR="0022308D" w:rsidRDefault="0022308D">
            <w:pPr>
              <w:jc w:val="center"/>
              <w:rPr>
                <w:snapToGrid w:val="0"/>
                <w:color w:val="000000"/>
                <w:sz w:val="26"/>
                <w:szCs w:val="26"/>
              </w:rPr>
            </w:pPr>
            <w:r>
              <w:rPr>
                <w:snapToGrid w:val="0"/>
                <w:color w:val="000000"/>
                <w:sz w:val="26"/>
                <w:szCs w:val="26"/>
              </w:rPr>
              <w:t>Оценка</w:t>
            </w:r>
          </w:p>
        </w:tc>
      </w:tr>
      <w:tr w:rsidR="0022308D">
        <w:trPr>
          <w:trHeight w:val="322"/>
        </w:trPr>
        <w:tc>
          <w:tcPr>
            <w:tcW w:w="1718" w:type="dxa"/>
            <w:tcBorders>
              <w:left w:val="single" w:sz="12" w:space="0" w:color="auto"/>
              <w:bottom w:val="single" w:sz="6" w:space="0" w:color="auto"/>
              <w:right w:val="single" w:sz="12" w:space="0" w:color="auto"/>
            </w:tcBorders>
          </w:tcPr>
          <w:p w:rsidR="0022308D" w:rsidRDefault="0022308D">
            <w:pPr>
              <w:jc w:val="center"/>
              <w:rPr>
                <w:snapToGrid w:val="0"/>
                <w:color w:val="000000"/>
                <w:sz w:val="26"/>
                <w:szCs w:val="26"/>
              </w:rPr>
            </w:pPr>
            <w:r>
              <w:rPr>
                <w:snapToGrid w:val="0"/>
                <w:color w:val="000000"/>
                <w:sz w:val="26"/>
                <w:szCs w:val="26"/>
              </w:rPr>
              <w:t>L1</w:t>
            </w:r>
          </w:p>
        </w:tc>
        <w:tc>
          <w:tcPr>
            <w:tcW w:w="2285" w:type="dxa"/>
            <w:tcBorders>
              <w:left w:val="single" w:sz="12" w:space="0" w:color="auto"/>
              <w:bottom w:val="single" w:sz="6" w:space="0" w:color="auto"/>
              <w:right w:val="single" w:sz="12" w:space="0" w:color="auto"/>
            </w:tcBorders>
          </w:tcPr>
          <w:p w:rsidR="0022308D" w:rsidRDefault="0022308D">
            <w:pPr>
              <w:jc w:val="center"/>
              <w:rPr>
                <w:snapToGrid w:val="0"/>
                <w:color w:val="000000"/>
                <w:sz w:val="26"/>
                <w:szCs w:val="26"/>
              </w:rPr>
            </w:pPr>
            <w:r>
              <w:rPr>
                <w:snapToGrid w:val="0"/>
                <w:color w:val="000000"/>
                <w:sz w:val="26"/>
                <w:szCs w:val="26"/>
              </w:rPr>
              <w:t>Соответствует</w:t>
            </w:r>
          </w:p>
        </w:tc>
        <w:tc>
          <w:tcPr>
            <w:tcW w:w="1469" w:type="dxa"/>
            <w:tcBorders>
              <w:left w:val="single" w:sz="12" w:space="0" w:color="auto"/>
              <w:bottom w:val="single" w:sz="6" w:space="0" w:color="auto"/>
              <w:right w:val="single" w:sz="12" w:space="0" w:color="auto"/>
            </w:tcBorders>
          </w:tcPr>
          <w:p w:rsidR="0022308D" w:rsidRDefault="0022308D">
            <w:pPr>
              <w:jc w:val="center"/>
              <w:rPr>
                <w:snapToGrid w:val="0"/>
                <w:color w:val="000000"/>
                <w:sz w:val="26"/>
                <w:szCs w:val="26"/>
              </w:rPr>
            </w:pPr>
            <w:r>
              <w:rPr>
                <w:snapToGrid w:val="0"/>
                <w:color w:val="000000"/>
                <w:sz w:val="26"/>
                <w:szCs w:val="26"/>
              </w:rPr>
              <w:t>Ухудшение</w:t>
            </w:r>
          </w:p>
        </w:tc>
        <w:tc>
          <w:tcPr>
            <w:tcW w:w="1402" w:type="dxa"/>
            <w:tcBorders>
              <w:left w:val="single" w:sz="12" w:space="0" w:color="auto"/>
              <w:bottom w:val="single" w:sz="6" w:space="0" w:color="auto"/>
              <w:right w:val="single" w:sz="12" w:space="0" w:color="auto"/>
            </w:tcBorders>
          </w:tcPr>
          <w:p w:rsidR="0022308D" w:rsidRDefault="0022308D">
            <w:pPr>
              <w:jc w:val="center"/>
              <w:rPr>
                <w:snapToGrid w:val="0"/>
                <w:color w:val="000000"/>
                <w:sz w:val="26"/>
                <w:szCs w:val="26"/>
              </w:rPr>
            </w:pPr>
            <w:r>
              <w:rPr>
                <w:snapToGrid w:val="0"/>
                <w:color w:val="000000"/>
                <w:sz w:val="26"/>
                <w:szCs w:val="26"/>
              </w:rPr>
              <w:t>1.3</w:t>
            </w:r>
          </w:p>
        </w:tc>
        <w:tc>
          <w:tcPr>
            <w:tcW w:w="2726" w:type="dxa"/>
            <w:tcBorders>
              <w:left w:val="single" w:sz="12" w:space="0" w:color="auto"/>
              <w:bottom w:val="single" w:sz="6" w:space="0" w:color="auto"/>
              <w:right w:val="single" w:sz="12" w:space="0" w:color="auto"/>
            </w:tcBorders>
          </w:tcPr>
          <w:p w:rsidR="0022308D" w:rsidRDefault="0022308D">
            <w:pPr>
              <w:jc w:val="center"/>
              <w:rPr>
                <w:snapToGrid w:val="0"/>
                <w:color w:val="000000"/>
                <w:sz w:val="26"/>
                <w:szCs w:val="26"/>
              </w:rPr>
            </w:pPr>
            <w:r>
              <w:rPr>
                <w:snapToGrid w:val="0"/>
                <w:color w:val="000000"/>
                <w:sz w:val="26"/>
                <w:szCs w:val="26"/>
              </w:rPr>
              <w:t>Хорошо</w:t>
            </w:r>
          </w:p>
        </w:tc>
      </w:tr>
      <w:tr w:rsidR="0022308D">
        <w:trPr>
          <w:trHeight w:val="322"/>
        </w:trPr>
        <w:tc>
          <w:tcPr>
            <w:tcW w:w="1718" w:type="dxa"/>
            <w:tcBorders>
              <w:top w:val="single" w:sz="6" w:space="0" w:color="auto"/>
              <w:left w:val="single" w:sz="12" w:space="0" w:color="auto"/>
              <w:bottom w:val="single" w:sz="6" w:space="0" w:color="auto"/>
              <w:right w:val="single" w:sz="12" w:space="0" w:color="auto"/>
            </w:tcBorders>
          </w:tcPr>
          <w:p w:rsidR="0022308D" w:rsidRDefault="0022308D">
            <w:pPr>
              <w:jc w:val="center"/>
              <w:rPr>
                <w:snapToGrid w:val="0"/>
                <w:color w:val="000000"/>
                <w:sz w:val="26"/>
                <w:szCs w:val="26"/>
              </w:rPr>
            </w:pPr>
            <w:r>
              <w:rPr>
                <w:snapToGrid w:val="0"/>
                <w:color w:val="000000"/>
                <w:sz w:val="26"/>
                <w:szCs w:val="26"/>
              </w:rPr>
              <w:t>L2</w:t>
            </w:r>
          </w:p>
        </w:tc>
        <w:tc>
          <w:tcPr>
            <w:tcW w:w="2285" w:type="dxa"/>
            <w:tcBorders>
              <w:top w:val="single" w:sz="6" w:space="0" w:color="auto"/>
              <w:left w:val="single" w:sz="12" w:space="0" w:color="auto"/>
              <w:bottom w:val="single" w:sz="6" w:space="0" w:color="auto"/>
              <w:right w:val="single" w:sz="12" w:space="0" w:color="auto"/>
            </w:tcBorders>
          </w:tcPr>
          <w:p w:rsidR="0022308D" w:rsidRDefault="0022308D">
            <w:pPr>
              <w:jc w:val="center"/>
              <w:rPr>
                <w:snapToGrid w:val="0"/>
                <w:color w:val="000000"/>
                <w:sz w:val="26"/>
                <w:szCs w:val="26"/>
              </w:rPr>
            </w:pPr>
            <w:r>
              <w:rPr>
                <w:snapToGrid w:val="0"/>
                <w:color w:val="000000"/>
                <w:sz w:val="26"/>
                <w:szCs w:val="26"/>
              </w:rPr>
              <w:t>не соответствует</w:t>
            </w:r>
          </w:p>
        </w:tc>
        <w:tc>
          <w:tcPr>
            <w:tcW w:w="1469" w:type="dxa"/>
            <w:tcBorders>
              <w:top w:val="single" w:sz="6" w:space="0" w:color="auto"/>
              <w:left w:val="single" w:sz="12" w:space="0" w:color="auto"/>
              <w:bottom w:val="single" w:sz="6" w:space="0" w:color="auto"/>
              <w:right w:val="single" w:sz="12" w:space="0" w:color="auto"/>
            </w:tcBorders>
          </w:tcPr>
          <w:p w:rsidR="0022308D" w:rsidRDefault="0022308D">
            <w:pPr>
              <w:jc w:val="center"/>
              <w:rPr>
                <w:snapToGrid w:val="0"/>
                <w:color w:val="000000"/>
                <w:sz w:val="26"/>
                <w:szCs w:val="26"/>
              </w:rPr>
            </w:pPr>
            <w:r>
              <w:rPr>
                <w:snapToGrid w:val="0"/>
                <w:color w:val="000000"/>
                <w:sz w:val="26"/>
                <w:szCs w:val="26"/>
              </w:rPr>
              <w:t>Ухудшение</w:t>
            </w:r>
          </w:p>
        </w:tc>
        <w:tc>
          <w:tcPr>
            <w:tcW w:w="1402" w:type="dxa"/>
            <w:tcBorders>
              <w:top w:val="single" w:sz="6" w:space="0" w:color="auto"/>
              <w:left w:val="single" w:sz="12" w:space="0" w:color="auto"/>
              <w:bottom w:val="single" w:sz="6" w:space="0" w:color="auto"/>
              <w:right w:val="single" w:sz="12" w:space="0" w:color="auto"/>
            </w:tcBorders>
          </w:tcPr>
          <w:p w:rsidR="0022308D" w:rsidRDefault="0022308D">
            <w:pPr>
              <w:jc w:val="center"/>
              <w:rPr>
                <w:snapToGrid w:val="0"/>
                <w:color w:val="000000"/>
                <w:sz w:val="26"/>
                <w:szCs w:val="26"/>
              </w:rPr>
            </w:pPr>
            <w:r>
              <w:rPr>
                <w:snapToGrid w:val="0"/>
                <w:color w:val="000000"/>
                <w:sz w:val="26"/>
                <w:szCs w:val="26"/>
              </w:rPr>
              <w:t>2.3</w:t>
            </w:r>
          </w:p>
        </w:tc>
        <w:tc>
          <w:tcPr>
            <w:tcW w:w="2726" w:type="dxa"/>
            <w:tcBorders>
              <w:top w:val="single" w:sz="6" w:space="0" w:color="auto"/>
              <w:left w:val="single" w:sz="12" w:space="0" w:color="auto"/>
              <w:bottom w:val="single" w:sz="6" w:space="0" w:color="auto"/>
              <w:right w:val="single" w:sz="12" w:space="0" w:color="auto"/>
            </w:tcBorders>
          </w:tcPr>
          <w:p w:rsidR="0022308D" w:rsidRDefault="0022308D">
            <w:pPr>
              <w:jc w:val="center"/>
              <w:rPr>
                <w:snapToGrid w:val="0"/>
                <w:color w:val="000000"/>
                <w:sz w:val="26"/>
                <w:szCs w:val="26"/>
              </w:rPr>
            </w:pPr>
            <w:r>
              <w:rPr>
                <w:snapToGrid w:val="0"/>
                <w:color w:val="000000"/>
                <w:sz w:val="26"/>
                <w:szCs w:val="26"/>
              </w:rPr>
              <w:t>Неудовлетворительно</w:t>
            </w:r>
          </w:p>
        </w:tc>
      </w:tr>
      <w:tr w:rsidR="0022308D">
        <w:trPr>
          <w:trHeight w:val="322"/>
        </w:trPr>
        <w:tc>
          <w:tcPr>
            <w:tcW w:w="1718" w:type="dxa"/>
            <w:tcBorders>
              <w:top w:val="single" w:sz="6" w:space="0" w:color="auto"/>
              <w:left w:val="single" w:sz="12" w:space="0" w:color="auto"/>
              <w:bottom w:val="single" w:sz="6" w:space="0" w:color="auto"/>
              <w:right w:val="single" w:sz="12" w:space="0" w:color="auto"/>
            </w:tcBorders>
          </w:tcPr>
          <w:p w:rsidR="0022308D" w:rsidRDefault="0022308D">
            <w:pPr>
              <w:jc w:val="center"/>
              <w:rPr>
                <w:snapToGrid w:val="0"/>
                <w:color w:val="000000"/>
                <w:sz w:val="26"/>
                <w:szCs w:val="26"/>
              </w:rPr>
            </w:pPr>
            <w:r>
              <w:rPr>
                <w:snapToGrid w:val="0"/>
                <w:color w:val="000000"/>
                <w:sz w:val="26"/>
                <w:szCs w:val="26"/>
              </w:rPr>
              <w:t>L3</w:t>
            </w:r>
          </w:p>
        </w:tc>
        <w:tc>
          <w:tcPr>
            <w:tcW w:w="2285" w:type="dxa"/>
            <w:tcBorders>
              <w:top w:val="single" w:sz="6" w:space="0" w:color="auto"/>
              <w:left w:val="single" w:sz="12" w:space="0" w:color="auto"/>
              <w:bottom w:val="single" w:sz="6" w:space="0" w:color="auto"/>
              <w:right w:val="single" w:sz="12" w:space="0" w:color="auto"/>
            </w:tcBorders>
          </w:tcPr>
          <w:p w:rsidR="0022308D" w:rsidRDefault="0022308D">
            <w:pPr>
              <w:jc w:val="center"/>
              <w:rPr>
                <w:snapToGrid w:val="0"/>
                <w:color w:val="000000"/>
                <w:sz w:val="26"/>
                <w:szCs w:val="26"/>
              </w:rPr>
            </w:pPr>
            <w:r>
              <w:rPr>
                <w:snapToGrid w:val="0"/>
                <w:color w:val="000000"/>
                <w:sz w:val="26"/>
                <w:szCs w:val="26"/>
              </w:rPr>
              <w:t>не соответствует</w:t>
            </w:r>
          </w:p>
        </w:tc>
        <w:tc>
          <w:tcPr>
            <w:tcW w:w="1469" w:type="dxa"/>
            <w:tcBorders>
              <w:top w:val="single" w:sz="6" w:space="0" w:color="auto"/>
              <w:left w:val="single" w:sz="12" w:space="0" w:color="auto"/>
              <w:bottom w:val="single" w:sz="6" w:space="0" w:color="auto"/>
              <w:right w:val="single" w:sz="12" w:space="0" w:color="auto"/>
            </w:tcBorders>
          </w:tcPr>
          <w:p w:rsidR="0022308D" w:rsidRDefault="0022308D">
            <w:pPr>
              <w:jc w:val="center"/>
              <w:rPr>
                <w:snapToGrid w:val="0"/>
                <w:color w:val="000000"/>
                <w:sz w:val="26"/>
                <w:szCs w:val="26"/>
              </w:rPr>
            </w:pPr>
            <w:r>
              <w:rPr>
                <w:snapToGrid w:val="0"/>
                <w:color w:val="000000"/>
                <w:sz w:val="26"/>
                <w:szCs w:val="26"/>
              </w:rPr>
              <w:t>Ухудшение</w:t>
            </w:r>
          </w:p>
        </w:tc>
        <w:tc>
          <w:tcPr>
            <w:tcW w:w="1402" w:type="dxa"/>
            <w:tcBorders>
              <w:top w:val="single" w:sz="6" w:space="0" w:color="auto"/>
              <w:left w:val="single" w:sz="12" w:space="0" w:color="auto"/>
              <w:bottom w:val="single" w:sz="6" w:space="0" w:color="auto"/>
              <w:right w:val="single" w:sz="12" w:space="0" w:color="auto"/>
            </w:tcBorders>
          </w:tcPr>
          <w:p w:rsidR="0022308D" w:rsidRDefault="0022308D">
            <w:pPr>
              <w:jc w:val="center"/>
              <w:rPr>
                <w:snapToGrid w:val="0"/>
                <w:color w:val="000000"/>
                <w:sz w:val="26"/>
                <w:szCs w:val="26"/>
              </w:rPr>
            </w:pPr>
            <w:r>
              <w:rPr>
                <w:snapToGrid w:val="0"/>
                <w:color w:val="000000"/>
                <w:sz w:val="26"/>
                <w:szCs w:val="26"/>
              </w:rPr>
              <w:t>2.3</w:t>
            </w:r>
          </w:p>
        </w:tc>
        <w:tc>
          <w:tcPr>
            <w:tcW w:w="2726" w:type="dxa"/>
            <w:tcBorders>
              <w:top w:val="single" w:sz="6" w:space="0" w:color="auto"/>
              <w:left w:val="single" w:sz="12" w:space="0" w:color="auto"/>
              <w:bottom w:val="single" w:sz="6" w:space="0" w:color="auto"/>
              <w:right w:val="single" w:sz="12" w:space="0" w:color="auto"/>
            </w:tcBorders>
          </w:tcPr>
          <w:p w:rsidR="0022308D" w:rsidRDefault="0022308D">
            <w:pPr>
              <w:jc w:val="center"/>
              <w:rPr>
                <w:snapToGrid w:val="0"/>
                <w:color w:val="000000"/>
                <w:sz w:val="26"/>
                <w:szCs w:val="26"/>
              </w:rPr>
            </w:pPr>
            <w:r>
              <w:rPr>
                <w:snapToGrid w:val="0"/>
                <w:color w:val="000000"/>
                <w:sz w:val="26"/>
                <w:szCs w:val="26"/>
              </w:rPr>
              <w:t>Неудовлетворительно</w:t>
            </w:r>
          </w:p>
        </w:tc>
      </w:tr>
      <w:tr w:rsidR="0022308D">
        <w:trPr>
          <w:trHeight w:val="322"/>
        </w:trPr>
        <w:tc>
          <w:tcPr>
            <w:tcW w:w="1718" w:type="dxa"/>
            <w:tcBorders>
              <w:top w:val="single" w:sz="6" w:space="0" w:color="auto"/>
              <w:left w:val="single" w:sz="12" w:space="0" w:color="auto"/>
              <w:bottom w:val="single" w:sz="6" w:space="0" w:color="auto"/>
              <w:right w:val="single" w:sz="12" w:space="0" w:color="auto"/>
            </w:tcBorders>
          </w:tcPr>
          <w:p w:rsidR="0022308D" w:rsidRDefault="0022308D">
            <w:pPr>
              <w:jc w:val="center"/>
              <w:rPr>
                <w:snapToGrid w:val="0"/>
                <w:color w:val="000000"/>
                <w:sz w:val="26"/>
                <w:szCs w:val="26"/>
              </w:rPr>
            </w:pPr>
            <w:r>
              <w:rPr>
                <w:snapToGrid w:val="0"/>
                <w:color w:val="000000"/>
                <w:sz w:val="26"/>
                <w:szCs w:val="26"/>
              </w:rPr>
              <w:t>L4</w:t>
            </w:r>
          </w:p>
        </w:tc>
        <w:tc>
          <w:tcPr>
            <w:tcW w:w="2285" w:type="dxa"/>
            <w:tcBorders>
              <w:top w:val="single" w:sz="6" w:space="0" w:color="auto"/>
              <w:left w:val="single" w:sz="12" w:space="0" w:color="auto"/>
              <w:bottom w:val="single" w:sz="6" w:space="0" w:color="auto"/>
              <w:right w:val="single" w:sz="12" w:space="0" w:color="auto"/>
            </w:tcBorders>
          </w:tcPr>
          <w:p w:rsidR="0022308D" w:rsidRDefault="0022308D">
            <w:pPr>
              <w:jc w:val="center"/>
              <w:rPr>
                <w:snapToGrid w:val="0"/>
                <w:color w:val="000000"/>
                <w:sz w:val="26"/>
                <w:szCs w:val="26"/>
              </w:rPr>
            </w:pPr>
            <w:r>
              <w:rPr>
                <w:snapToGrid w:val="0"/>
                <w:color w:val="000000"/>
                <w:sz w:val="26"/>
                <w:szCs w:val="26"/>
              </w:rPr>
              <w:t>Соответствует</w:t>
            </w:r>
          </w:p>
        </w:tc>
        <w:tc>
          <w:tcPr>
            <w:tcW w:w="1469" w:type="dxa"/>
            <w:tcBorders>
              <w:top w:val="single" w:sz="6" w:space="0" w:color="auto"/>
              <w:left w:val="single" w:sz="12" w:space="0" w:color="auto"/>
              <w:bottom w:val="single" w:sz="6" w:space="0" w:color="auto"/>
              <w:right w:val="single" w:sz="12" w:space="0" w:color="auto"/>
            </w:tcBorders>
          </w:tcPr>
          <w:p w:rsidR="0022308D" w:rsidRDefault="0022308D">
            <w:pPr>
              <w:jc w:val="center"/>
              <w:rPr>
                <w:snapToGrid w:val="0"/>
                <w:color w:val="000000"/>
                <w:sz w:val="26"/>
                <w:szCs w:val="26"/>
              </w:rPr>
            </w:pPr>
            <w:r>
              <w:rPr>
                <w:snapToGrid w:val="0"/>
                <w:color w:val="000000"/>
                <w:sz w:val="26"/>
                <w:szCs w:val="26"/>
              </w:rPr>
              <w:t>Устойчивая</w:t>
            </w:r>
          </w:p>
        </w:tc>
        <w:tc>
          <w:tcPr>
            <w:tcW w:w="1402" w:type="dxa"/>
            <w:tcBorders>
              <w:top w:val="single" w:sz="6" w:space="0" w:color="auto"/>
              <w:left w:val="single" w:sz="12" w:space="0" w:color="auto"/>
              <w:bottom w:val="single" w:sz="6" w:space="0" w:color="auto"/>
              <w:right w:val="single" w:sz="12" w:space="0" w:color="auto"/>
            </w:tcBorders>
          </w:tcPr>
          <w:p w:rsidR="0022308D" w:rsidRDefault="0022308D">
            <w:pPr>
              <w:jc w:val="center"/>
              <w:rPr>
                <w:snapToGrid w:val="0"/>
                <w:color w:val="000000"/>
                <w:sz w:val="26"/>
                <w:szCs w:val="26"/>
              </w:rPr>
            </w:pPr>
            <w:r>
              <w:rPr>
                <w:snapToGrid w:val="0"/>
                <w:color w:val="000000"/>
                <w:sz w:val="26"/>
                <w:szCs w:val="26"/>
              </w:rPr>
              <w:t>1.2</w:t>
            </w:r>
          </w:p>
        </w:tc>
        <w:tc>
          <w:tcPr>
            <w:tcW w:w="2726" w:type="dxa"/>
            <w:tcBorders>
              <w:top w:val="single" w:sz="6" w:space="0" w:color="auto"/>
              <w:left w:val="single" w:sz="12" w:space="0" w:color="auto"/>
              <w:bottom w:val="single" w:sz="6" w:space="0" w:color="auto"/>
              <w:right w:val="single" w:sz="12" w:space="0" w:color="auto"/>
            </w:tcBorders>
          </w:tcPr>
          <w:p w:rsidR="0022308D" w:rsidRDefault="0022308D">
            <w:pPr>
              <w:jc w:val="center"/>
              <w:rPr>
                <w:snapToGrid w:val="0"/>
                <w:color w:val="000000"/>
                <w:sz w:val="26"/>
                <w:szCs w:val="26"/>
              </w:rPr>
            </w:pPr>
            <w:r>
              <w:rPr>
                <w:snapToGrid w:val="0"/>
                <w:color w:val="000000"/>
                <w:sz w:val="26"/>
                <w:szCs w:val="26"/>
              </w:rPr>
              <w:t>Отлично</w:t>
            </w:r>
          </w:p>
        </w:tc>
      </w:tr>
      <w:tr w:rsidR="0022308D">
        <w:trPr>
          <w:trHeight w:val="322"/>
        </w:trPr>
        <w:tc>
          <w:tcPr>
            <w:tcW w:w="1718" w:type="dxa"/>
            <w:tcBorders>
              <w:top w:val="single" w:sz="6" w:space="0" w:color="auto"/>
              <w:left w:val="single" w:sz="12" w:space="0" w:color="auto"/>
              <w:bottom w:val="single" w:sz="6" w:space="0" w:color="auto"/>
              <w:right w:val="single" w:sz="12" w:space="0" w:color="auto"/>
            </w:tcBorders>
          </w:tcPr>
          <w:p w:rsidR="0022308D" w:rsidRDefault="0022308D">
            <w:pPr>
              <w:jc w:val="center"/>
              <w:rPr>
                <w:snapToGrid w:val="0"/>
                <w:color w:val="000000"/>
                <w:sz w:val="26"/>
                <w:szCs w:val="26"/>
              </w:rPr>
            </w:pPr>
            <w:r>
              <w:rPr>
                <w:snapToGrid w:val="0"/>
                <w:color w:val="000000"/>
                <w:sz w:val="26"/>
                <w:szCs w:val="26"/>
              </w:rPr>
              <w:t>U3</w:t>
            </w:r>
          </w:p>
        </w:tc>
        <w:tc>
          <w:tcPr>
            <w:tcW w:w="2285" w:type="dxa"/>
            <w:tcBorders>
              <w:top w:val="single" w:sz="6" w:space="0" w:color="auto"/>
              <w:left w:val="single" w:sz="12" w:space="0" w:color="auto"/>
              <w:bottom w:val="single" w:sz="6" w:space="0" w:color="auto"/>
              <w:right w:val="single" w:sz="12" w:space="0" w:color="auto"/>
            </w:tcBorders>
          </w:tcPr>
          <w:p w:rsidR="0022308D" w:rsidRDefault="0022308D">
            <w:pPr>
              <w:jc w:val="center"/>
              <w:rPr>
                <w:snapToGrid w:val="0"/>
                <w:color w:val="000000"/>
                <w:sz w:val="26"/>
                <w:szCs w:val="26"/>
              </w:rPr>
            </w:pPr>
            <w:r>
              <w:rPr>
                <w:snapToGrid w:val="0"/>
                <w:color w:val="000000"/>
                <w:sz w:val="26"/>
                <w:szCs w:val="26"/>
              </w:rPr>
              <w:t>Соответствует</w:t>
            </w:r>
          </w:p>
        </w:tc>
        <w:tc>
          <w:tcPr>
            <w:tcW w:w="1469" w:type="dxa"/>
            <w:tcBorders>
              <w:top w:val="single" w:sz="6" w:space="0" w:color="auto"/>
              <w:left w:val="single" w:sz="12" w:space="0" w:color="auto"/>
              <w:bottom w:val="single" w:sz="6" w:space="0" w:color="auto"/>
              <w:right w:val="single" w:sz="12" w:space="0" w:color="auto"/>
            </w:tcBorders>
          </w:tcPr>
          <w:p w:rsidR="0022308D" w:rsidRDefault="0022308D">
            <w:pPr>
              <w:jc w:val="center"/>
              <w:rPr>
                <w:snapToGrid w:val="0"/>
                <w:color w:val="000000"/>
                <w:sz w:val="26"/>
                <w:szCs w:val="26"/>
              </w:rPr>
            </w:pPr>
            <w:r>
              <w:rPr>
                <w:snapToGrid w:val="0"/>
                <w:color w:val="000000"/>
                <w:sz w:val="26"/>
                <w:szCs w:val="26"/>
              </w:rPr>
              <w:t>Улучшение</w:t>
            </w:r>
          </w:p>
        </w:tc>
        <w:tc>
          <w:tcPr>
            <w:tcW w:w="1402" w:type="dxa"/>
            <w:tcBorders>
              <w:top w:val="single" w:sz="6" w:space="0" w:color="auto"/>
              <w:left w:val="single" w:sz="12" w:space="0" w:color="auto"/>
              <w:bottom w:val="single" w:sz="6" w:space="0" w:color="auto"/>
              <w:right w:val="single" w:sz="12" w:space="0" w:color="auto"/>
            </w:tcBorders>
          </w:tcPr>
          <w:p w:rsidR="0022308D" w:rsidRDefault="0022308D">
            <w:pPr>
              <w:jc w:val="center"/>
              <w:rPr>
                <w:snapToGrid w:val="0"/>
                <w:color w:val="000000"/>
                <w:sz w:val="26"/>
                <w:szCs w:val="26"/>
              </w:rPr>
            </w:pPr>
            <w:r>
              <w:rPr>
                <w:snapToGrid w:val="0"/>
                <w:color w:val="000000"/>
                <w:sz w:val="26"/>
                <w:szCs w:val="26"/>
              </w:rPr>
              <w:t>1.1</w:t>
            </w:r>
          </w:p>
        </w:tc>
        <w:tc>
          <w:tcPr>
            <w:tcW w:w="2726" w:type="dxa"/>
            <w:tcBorders>
              <w:top w:val="single" w:sz="6" w:space="0" w:color="auto"/>
              <w:left w:val="single" w:sz="12" w:space="0" w:color="auto"/>
              <w:bottom w:val="single" w:sz="6" w:space="0" w:color="auto"/>
              <w:right w:val="single" w:sz="12" w:space="0" w:color="auto"/>
            </w:tcBorders>
          </w:tcPr>
          <w:p w:rsidR="0022308D" w:rsidRDefault="0022308D">
            <w:pPr>
              <w:jc w:val="center"/>
              <w:rPr>
                <w:snapToGrid w:val="0"/>
                <w:color w:val="000000"/>
                <w:sz w:val="26"/>
                <w:szCs w:val="26"/>
              </w:rPr>
            </w:pPr>
            <w:r>
              <w:rPr>
                <w:snapToGrid w:val="0"/>
                <w:color w:val="000000"/>
                <w:sz w:val="26"/>
                <w:szCs w:val="26"/>
              </w:rPr>
              <w:t>Отлично</w:t>
            </w:r>
          </w:p>
        </w:tc>
      </w:tr>
      <w:tr w:rsidR="0022308D">
        <w:trPr>
          <w:trHeight w:val="322"/>
        </w:trPr>
        <w:tc>
          <w:tcPr>
            <w:tcW w:w="1718" w:type="dxa"/>
            <w:tcBorders>
              <w:top w:val="single" w:sz="6" w:space="0" w:color="auto"/>
              <w:left w:val="single" w:sz="12" w:space="0" w:color="auto"/>
              <w:bottom w:val="single" w:sz="6" w:space="0" w:color="auto"/>
              <w:right w:val="single" w:sz="12" w:space="0" w:color="auto"/>
            </w:tcBorders>
          </w:tcPr>
          <w:p w:rsidR="0022308D" w:rsidRDefault="0022308D">
            <w:pPr>
              <w:jc w:val="center"/>
              <w:rPr>
                <w:snapToGrid w:val="0"/>
                <w:color w:val="000000"/>
                <w:sz w:val="26"/>
                <w:szCs w:val="26"/>
              </w:rPr>
            </w:pPr>
            <w:r>
              <w:rPr>
                <w:snapToGrid w:val="0"/>
                <w:color w:val="000000"/>
                <w:sz w:val="26"/>
                <w:szCs w:val="26"/>
              </w:rPr>
              <w:t>U4</w:t>
            </w:r>
          </w:p>
        </w:tc>
        <w:tc>
          <w:tcPr>
            <w:tcW w:w="2285" w:type="dxa"/>
            <w:tcBorders>
              <w:top w:val="single" w:sz="6" w:space="0" w:color="auto"/>
              <w:left w:val="single" w:sz="12" w:space="0" w:color="auto"/>
              <w:bottom w:val="single" w:sz="6" w:space="0" w:color="auto"/>
              <w:right w:val="single" w:sz="12" w:space="0" w:color="auto"/>
            </w:tcBorders>
          </w:tcPr>
          <w:p w:rsidR="0022308D" w:rsidRDefault="0022308D">
            <w:pPr>
              <w:jc w:val="center"/>
              <w:rPr>
                <w:snapToGrid w:val="0"/>
                <w:color w:val="000000"/>
                <w:sz w:val="26"/>
                <w:szCs w:val="26"/>
              </w:rPr>
            </w:pPr>
            <w:r>
              <w:rPr>
                <w:snapToGrid w:val="0"/>
                <w:color w:val="000000"/>
                <w:sz w:val="26"/>
                <w:szCs w:val="26"/>
              </w:rPr>
              <w:t>Соответствует</w:t>
            </w:r>
          </w:p>
        </w:tc>
        <w:tc>
          <w:tcPr>
            <w:tcW w:w="1469" w:type="dxa"/>
            <w:tcBorders>
              <w:top w:val="single" w:sz="6" w:space="0" w:color="auto"/>
              <w:left w:val="single" w:sz="12" w:space="0" w:color="auto"/>
              <w:bottom w:val="single" w:sz="6" w:space="0" w:color="auto"/>
              <w:right w:val="single" w:sz="12" w:space="0" w:color="auto"/>
            </w:tcBorders>
          </w:tcPr>
          <w:p w:rsidR="0022308D" w:rsidRDefault="0022308D">
            <w:pPr>
              <w:jc w:val="center"/>
              <w:rPr>
                <w:snapToGrid w:val="0"/>
                <w:color w:val="000000"/>
                <w:sz w:val="26"/>
                <w:szCs w:val="26"/>
              </w:rPr>
            </w:pPr>
            <w:r>
              <w:rPr>
                <w:snapToGrid w:val="0"/>
                <w:color w:val="000000"/>
                <w:sz w:val="26"/>
                <w:szCs w:val="26"/>
              </w:rPr>
              <w:t>Улучшение</w:t>
            </w:r>
          </w:p>
        </w:tc>
        <w:tc>
          <w:tcPr>
            <w:tcW w:w="1402" w:type="dxa"/>
            <w:tcBorders>
              <w:top w:val="single" w:sz="6" w:space="0" w:color="auto"/>
              <w:left w:val="single" w:sz="12" w:space="0" w:color="auto"/>
              <w:bottom w:val="single" w:sz="6" w:space="0" w:color="auto"/>
              <w:right w:val="single" w:sz="12" w:space="0" w:color="auto"/>
            </w:tcBorders>
          </w:tcPr>
          <w:p w:rsidR="0022308D" w:rsidRDefault="0022308D">
            <w:pPr>
              <w:jc w:val="center"/>
              <w:rPr>
                <w:snapToGrid w:val="0"/>
                <w:color w:val="000000"/>
                <w:sz w:val="26"/>
                <w:szCs w:val="26"/>
              </w:rPr>
            </w:pPr>
            <w:r>
              <w:rPr>
                <w:snapToGrid w:val="0"/>
                <w:color w:val="000000"/>
                <w:sz w:val="26"/>
                <w:szCs w:val="26"/>
              </w:rPr>
              <w:t>1.1</w:t>
            </w:r>
          </w:p>
        </w:tc>
        <w:tc>
          <w:tcPr>
            <w:tcW w:w="2726" w:type="dxa"/>
            <w:tcBorders>
              <w:top w:val="single" w:sz="6" w:space="0" w:color="auto"/>
              <w:left w:val="single" w:sz="12" w:space="0" w:color="auto"/>
              <w:bottom w:val="single" w:sz="6" w:space="0" w:color="auto"/>
              <w:right w:val="single" w:sz="12" w:space="0" w:color="auto"/>
            </w:tcBorders>
          </w:tcPr>
          <w:p w:rsidR="0022308D" w:rsidRDefault="0022308D">
            <w:pPr>
              <w:jc w:val="center"/>
              <w:rPr>
                <w:snapToGrid w:val="0"/>
                <w:color w:val="000000"/>
                <w:sz w:val="26"/>
                <w:szCs w:val="26"/>
              </w:rPr>
            </w:pPr>
            <w:r>
              <w:rPr>
                <w:snapToGrid w:val="0"/>
                <w:color w:val="000000"/>
                <w:sz w:val="26"/>
                <w:szCs w:val="26"/>
              </w:rPr>
              <w:t>Отлично</w:t>
            </w:r>
          </w:p>
        </w:tc>
      </w:tr>
      <w:tr w:rsidR="0022308D">
        <w:trPr>
          <w:trHeight w:val="304"/>
        </w:trPr>
        <w:tc>
          <w:tcPr>
            <w:tcW w:w="1718" w:type="dxa"/>
            <w:tcBorders>
              <w:top w:val="single" w:sz="6" w:space="0" w:color="auto"/>
              <w:left w:val="single" w:sz="12" w:space="0" w:color="auto"/>
              <w:bottom w:val="single" w:sz="12" w:space="0" w:color="auto"/>
              <w:right w:val="single" w:sz="12" w:space="0" w:color="auto"/>
            </w:tcBorders>
          </w:tcPr>
          <w:p w:rsidR="0022308D" w:rsidRDefault="0022308D">
            <w:pPr>
              <w:jc w:val="center"/>
              <w:rPr>
                <w:snapToGrid w:val="0"/>
                <w:color w:val="000000"/>
                <w:sz w:val="26"/>
                <w:szCs w:val="26"/>
              </w:rPr>
            </w:pPr>
            <w:r>
              <w:rPr>
                <w:snapToGrid w:val="0"/>
                <w:color w:val="000000"/>
                <w:sz w:val="26"/>
                <w:szCs w:val="26"/>
              </w:rPr>
              <w:t>U5</w:t>
            </w:r>
          </w:p>
        </w:tc>
        <w:tc>
          <w:tcPr>
            <w:tcW w:w="2285" w:type="dxa"/>
            <w:tcBorders>
              <w:top w:val="single" w:sz="6" w:space="0" w:color="auto"/>
              <w:left w:val="single" w:sz="12" w:space="0" w:color="auto"/>
              <w:bottom w:val="single" w:sz="12" w:space="0" w:color="auto"/>
              <w:right w:val="single" w:sz="12" w:space="0" w:color="auto"/>
            </w:tcBorders>
          </w:tcPr>
          <w:p w:rsidR="0022308D" w:rsidRDefault="0022308D">
            <w:pPr>
              <w:jc w:val="center"/>
              <w:rPr>
                <w:snapToGrid w:val="0"/>
                <w:color w:val="000000"/>
                <w:sz w:val="26"/>
                <w:szCs w:val="26"/>
              </w:rPr>
            </w:pPr>
            <w:r>
              <w:rPr>
                <w:snapToGrid w:val="0"/>
                <w:color w:val="000000"/>
                <w:sz w:val="26"/>
                <w:szCs w:val="26"/>
              </w:rPr>
              <w:t>Соответствует</w:t>
            </w:r>
          </w:p>
        </w:tc>
        <w:tc>
          <w:tcPr>
            <w:tcW w:w="1469" w:type="dxa"/>
            <w:tcBorders>
              <w:top w:val="single" w:sz="6" w:space="0" w:color="auto"/>
              <w:left w:val="single" w:sz="12" w:space="0" w:color="auto"/>
              <w:bottom w:val="single" w:sz="12" w:space="0" w:color="auto"/>
              <w:right w:val="single" w:sz="12" w:space="0" w:color="auto"/>
            </w:tcBorders>
          </w:tcPr>
          <w:p w:rsidR="0022308D" w:rsidRDefault="0022308D">
            <w:pPr>
              <w:jc w:val="center"/>
              <w:rPr>
                <w:snapToGrid w:val="0"/>
                <w:color w:val="000000"/>
                <w:sz w:val="26"/>
                <w:szCs w:val="26"/>
              </w:rPr>
            </w:pPr>
            <w:r>
              <w:rPr>
                <w:snapToGrid w:val="0"/>
                <w:color w:val="000000"/>
                <w:sz w:val="26"/>
                <w:szCs w:val="26"/>
              </w:rPr>
              <w:t>Улучшение</w:t>
            </w:r>
          </w:p>
        </w:tc>
        <w:tc>
          <w:tcPr>
            <w:tcW w:w="1402" w:type="dxa"/>
            <w:tcBorders>
              <w:top w:val="single" w:sz="6" w:space="0" w:color="auto"/>
              <w:left w:val="single" w:sz="12" w:space="0" w:color="auto"/>
              <w:bottom w:val="single" w:sz="12" w:space="0" w:color="auto"/>
              <w:right w:val="single" w:sz="12" w:space="0" w:color="auto"/>
            </w:tcBorders>
          </w:tcPr>
          <w:p w:rsidR="0022308D" w:rsidRDefault="0022308D">
            <w:pPr>
              <w:jc w:val="center"/>
              <w:rPr>
                <w:snapToGrid w:val="0"/>
                <w:color w:val="000000"/>
                <w:sz w:val="26"/>
                <w:szCs w:val="26"/>
              </w:rPr>
            </w:pPr>
            <w:r>
              <w:rPr>
                <w:snapToGrid w:val="0"/>
                <w:color w:val="000000"/>
                <w:sz w:val="26"/>
                <w:szCs w:val="26"/>
              </w:rPr>
              <w:t>1.1</w:t>
            </w:r>
          </w:p>
        </w:tc>
        <w:tc>
          <w:tcPr>
            <w:tcW w:w="2726" w:type="dxa"/>
            <w:tcBorders>
              <w:top w:val="single" w:sz="6" w:space="0" w:color="auto"/>
              <w:left w:val="single" w:sz="12" w:space="0" w:color="auto"/>
              <w:bottom w:val="single" w:sz="12" w:space="0" w:color="auto"/>
              <w:right w:val="single" w:sz="12" w:space="0" w:color="auto"/>
            </w:tcBorders>
          </w:tcPr>
          <w:p w:rsidR="0022308D" w:rsidRDefault="0022308D">
            <w:pPr>
              <w:jc w:val="center"/>
              <w:rPr>
                <w:snapToGrid w:val="0"/>
                <w:color w:val="000000"/>
                <w:sz w:val="26"/>
                <w:szCs w:val="26"/>
              </w:rPr>
            </w:pPr>
            <w:r>
              <w:rPr>
                <w:snapToGrid w:val="0"/>
                <w:color w:val="000000"/>
                <w:sz w:val="26"/>
                <w:szCs w:val="26"/>
              </w:rPr>
              <w:t>Отлично</w:t>
            </w:r>
          </w:p>
        </w:tc>
      </w:tr>
    </w:tbl>
    <w:p w:rsidR="0022308D" w:rsidRDefault="0022308D">
      <w:pPr>
        <w:spacing w:line="360" w:lineRule="auto"/>
        <w:ind w:firstLine="720"/>
        <w:jc w:val="both"/>
        <w:rPr>
          <w:sz w:val="26"/>
          <w:szCs w:val="26"/>
        </w:rPr>
      </w:pPr>
      <w:r>
        <w:rPr>
          <w:sz w:val="26"/>
          <w:szCs w:val="26"/>
        </w:rPr>
        <w:t>Таким образом, по большинству показателей наша организация имеет отличное финансовое состояние. Однако есть показатели с другими оценками. Значит не все так «отлично» в оценке финансового состояния нашей организации. К сожалению, ответ на вопрос о финансовом состоянии организации, имеющей различные значения показателей первого уровня, данная методика не дает.</w:t>
      </w:r>
    </w:p>
    <w:p w:rsidR="0022308D" w:rsidRDefault="0022308D">
      <w:pPr>
        <w:spacing w:line="360" w:lineRule="auto"/>
        <w:ind w:firstLine="720"/>
        <w:jc w:val="both"/>
        <w:rPr>
          <w:sz w:val="26"/>
          <w:szCs w:val="26"/>
          <w:lang w:val="en-US"/>
        </w:rPr>
      </w:pPr>
      <w:r>
        <w:rPr>
          <w:sz w:val="26"/>
          <w:szCs w:val="26"/>
        </w:rPr>
        <w:t>Такую возможность дает методика, основанная на балльной оценке финансового состояния. Сущность такой методики заключается в классификации организаций по уровню финансового риска, то есть любая анализируемая организация может быть отнесена к определенному классу в зависимости от «набранного» количества баллов, исходя из фактических значений ее финансовых коэффициентов. (Приложение 2).</w:t>
      </w:r>
    </w:p>
    <w:p w:rsidR="0022308D" w:rsidRDefault="0022308D">
      <w:pPr>
        <w:spacing w:line="360" w:lineRule="auto"/>
        <w:ind w:firstLine="720"/>
        <w:jc w:val="both"/>
        <w:rPr>
          <w:sz w:val="26"/>
          <w:szCs w:val="26"/>
        </w:rPr>
      </w:pPr>
      <w:r>
        <w:rPr>
          <w:sz w:val="26"/>
          <w:szCs w:val="26"/>
        </w:rPr>
        <w:t>По количеству набранных баллов можно выделить 5 классов. Приведу их краткие характеристики.</w:t>
      </w:r>
    </w:p>
    <w:p w:rsidR="0022308D" w:rsidRDefault="0022308D">
      <w:pPr>
        <w:spacing w:line="360" w:lineRule="auto"/>
        <w:ind w:firstLine="720"/>
        <w:jc w:val="both"/>
        <w:rPr>
          <w:sz w:val="26"/>
          <w:szCs w:val="26"/>
        </w:rPr>
      </w:pPr>
      <w:r>
        <w:rPr>
          <w:b/>
          <w:bCs/>
          <w:sz w:val="26"/>
          <w:szCs w:val="26"/>
        </w:rPr>
        <w:t xml:space="preserve">1 класс </w:t>
      </w:r>
      <w:r>
        <w:rPr>
          <w:sz w:val="26"/>
          <w:szCs w:val="26"/>
        </w:rPr>
        <w:t>(85-82,6 баллов) - организация с абсолютной финансовой устойчивостью и абсолютно платежеспособная, чье финансовое состояние позволяет быть уверенными в своевременном выполнении обязательств в соответствии с договорами. Это организация,  имеющая рациональную структуру имущества и его источников, и, как правило, довольно прибыльная.</w:t>
      </w:r>
    </w:p>
    <w:p w:rsidR="0022308D" w:rsidRDefault="0022308D">
      <w:pPr>
        <w:spacing w:line="360" w:lineRule="auto"/>
        <w:ind w:firstLine="720"/>
        <w:jc w:val="both"/>
        <w:rPr>
          <w:sz w:val="26"/>
          <w:szCs w:val="26"/>
        </w:rPr>
      </w:pPr>
      <w:r>
        <w:rPr>
          <w:b/>
          <w:bCs/>
          <w:sz w:val="26"/>
          <w:szCs w:val="26"/>
        </w:rPr>
        <w:t xml:space="preserve">2 класс </w:t>
      </w:r>
      <w:r>
        <w:rPr>
          <w:sz w:val="26"/>
          <w:szCs w:val="26"/>
        </w:rPr>
        <w:t>(80,5-56,6 баллов) – организация нормального финансового состояния. Ее финансовые показатели в целом находятся очень близко к оптимальным, но по отдельным коэффициентам допущено некоторое отставание. У такой организации, как правило, неоптимальное соотношение собственного и заемных источников финансирования в пользу заемного капитала. Причем наблюдается опережающий прирост кредиторской задолженности по сравнению с приростом  других заемных источников, а также по сравнению с приростом дебиторской задолженности. Это обычно рентабельные организации.</w:t>
      </w:r>
    </w:p>
    <w:p w:rsidR="0022308D" w:rsidRDefault="0022308D">
      <w:pPr>
        <w:spacing w:line="360" w:lineRule="auto"/>
        <w:ind w:firstLine="720"/>
        <w:jc w:val="both"/>
        <w:rPr>
          <w:sz w:val="26"/>
          <w:szCs w:val="26"/>
        </w:rPr>
      </w:pPr>
      <w:r>
        <w:rPr>
          <w:b/>
          <w:bCs/>
          <w:sz w:val="26"/>
          <w:szCs w:val="26"/>
        </w:rPr>
        <w:t xml:space="preserve">3 класс </w:t>
      </w:r>
      <w:r>
        <w:rPr>
          <w:sz w:val="26"/>
          <w:szCs w:val="26"/>
        </w:rPr>
        <w:t>(55,1-30 баллов) – организация, финансовое состояние которой можно оценить как среднее. При анализе бухгалтерского баланса обнаруживается слабость отдельных финансовых показателей. У нее либо платежеспособность находится на границе минимально допустимого уровня, а финансовая устойчивость нормальная, либо наоборот, неустойчивое финансовое состояние из-за преобладания заемных источников финансирования, но есть некоторая текущая платежеспособность.</w:t>
      </w:r>
    </w:p>
    <w:p w:rsidR="0022308D" w:rsidRDefault="0022308D">
      <w:pPr>
        <w:spacing w:line="360" w:lineRule="auto"/>
        <w:ind w:firstLine="720"/>
        <w:jc w:val="both"/>
        <w:rPr>
          <w:sz w:val="26"/>
          <w:szCs w:val="26"/>
        </w:rPr>
      </w:pPr>
      <w:r>
        <w:rPr>
          <w:b/>
          <w:bCs/>
          <w:sz w:val="26"/>
          <w:szCs w:val="26"/>
        </w:rPr>
        <w:t xml:space="preserve">4 класс </w:t>
      </w:r>
      <w:r>
        <w:rPr>
          <w:sz w:val="26"/>
          <w:szCs w:val="26"/>
        </w:rPr>
        <w:t>(28,3-7,8 баллов) – организация с неустойчивым финансовым состоянием. У нее неудовлетворительная структура капитала, а платежеспособность находится на нижней границе допустимых значений. Прибыль у такой организации, как правило, отсутствует вовсе или очень незначительная.</w:t>
      </w:r>
    </w:p>
    <w:p w:rsidR="0022308D" w:rsidRDefault="0022308D">
      <w:pPr>
        <w:spacing w:line="360" w:lineRule="auto"/>
        <w:ind w:firstLine="720"/>
        <w:jc w:val="both"/>
        <w:rPr>
          <w:sz w:val="26"/>
          <w:szCs w:val="26"/>
        </w:rPr>
      </w:pPr>
      <w:r>
        <w:rPr>
          <w:b/>
          <w:bCs/>
          <w:sz w:val="26"/>
          <w:szCs w:val="26"/>
        </w:rPr>
        <w:t xml:space="preserve">5 класс </w:t>
      </w:r>
      <w:r>
        <w:rPr>
          <w:sz w:val="26"/>
          <w:szCs w:val="26"/>
        </w:rPr>
        <w:t>(6,1-0 баллов) – организация с кризисным финансовым состоянием. Она неплатежеспособная и абсолютно неустойчивая с финансовой точки зрения. Это предприятие убыточное.</w:t>
      </w:r>
    </w:p>
    <w:p w:rsidR="0022308D" w:rsidRDefault="0022308D">
      <w:pPr>
        <w:spacing w:line="360" w:lineRule="auto"/>
        <w:ind w:firstLine="720"/>
        <w:jc w:val="both"/>
        <w:rPr>
          <w:sz w:val="26"/>
          <w:szCs w:val="26"/>
        </w:rPr>
      </w:pPr>
      <w:r>
        <w:rPr>
          <w:sz w:val="26"/>
          <w:szCs w:val="26"/>
        </w:rPr>
        <w:t>Проведем обобщающую оценку финансового состояния анализируемой организации (Приложение 2)</w:t>
      </w:r>
    </w:p>
    <w:p w:rsidR="0022308D" w:rsidRDefault="0022308D">
      <w:pPr>
        <w:pStyle w:val="5"/>
      </w:pPr>
      <w:r>
        <w:t>Таблица 9</w:t>
      </w:r>
    </w:p>
    <w:p w:rsidR="0022308D" w:rsidRDefault="0022308D">
      <w:pPr>
        <w:spacing w:line="360" w:lineRule="auto"/>
        <w:ind w:firstLine="720"/>
        <w:jc w:val="center"/>
        <w:rPr>
          <w:sz w:val="26"/>
          <w:szCs w:val="26"/>
        </w:rPr>
      </w:pPr>
      <w:r>
        <w:rPr>
          <w:sz w:val="26"/>
          <w:szCs w:val="26"/>
        </w:rPr>
        <w:t>Классификация уровня финансового состояния.</w:t>
      </w:r>
    </w:p>
    <w:tbl>
      <w:tblPr>
        <w:tblW w:w="0" w:type="auto"/>
        <w:tblInd w:w="-45" w:type="dxa"/>
        <w:tblLayout w:type="fixed"/>
        <w:tblCellMar>
          <w:left w:w="30" w:type="dxa"/>
          <w:right w:w="30" w:type="dxa"/>
        </w:tblCellMar>
        <w:tblLook w:val="0000" w:firstRow="0" w:lastRow="0" w:firstColumn="0" w:lastColumn="0" w:noHBand="0" w:noVBand="0"/>
      </w:tblPr>
      <w:tblGrid>
        <w:gridCol w:w="1925"/>
        <w:gridCol w:w="2352"/>
        <w:gridCol w:w="1622"/>
        <w:gridCol w:w="2333"/>
        <w:gridCol w:w="1622"/>
      </w:tblGrid>
      <w:tr w:rsidR="0022308D">
        <w:trPr>
          <w:cantSplit/>
          <w:trHeight w:val="850"/>
        </w:trPr>
        <w:tc>
          <w:tcPr>
            <w:tcW w:w="1925" w:type="dxa"/>
            <w:vMerge w:val="restart"/>
            <w:tcBorders>
              <w:top w:val="single" w:sz="12" w:space="0" w:color="auto"/>
              <w:left w:val="single" w:sz="12" w:space="0" w:color="auto"/>
              <w:right w:val="single" w:sz="12" w:space="0" w:color="auto"/>
            </w:tcBorders>
            <w:vAlign w:val="center"/>
          </w:tcPr>
          <w:p w:rsidR="0022308D" w:rsidRDefault="0022308D">
            <w:pPr>
              <w:jc w:val="center"/>
              <w:rPr>
                <w:snapToGrid w:val="0"/>
                <w:color w:val="000000"/>
                <w:sz w:val="22"/>
                <w:szCs w:val="22"/>
              </w:rPr>
            </w:pPr>
            <w:r>
              <w:rPr>
                <w:snapToGrid w:val="0"/>
                <w:color w:val="000000"/>
                <w:sz w:val="22"/>
                <w:szCs w:val="22"/>
              </w:rPr>
              <w:t>Показатели финансового состояния</w:t>
            </w:r>
          </w:p>
        </w:tc>
        <w:tc>
          <w:tcPr>
            <w:tcW w:w="3974" w:type="dxa"/>
            <w:gridSpan w:val="2"/>
            <w:tcBorders>
              <w:top w:val="single" w:sz="12" w:space="0" w:color="auto"/>
              <w:left w:val="single" w:sz="12" w:space="0" w:color="auto"/>
              <w:bottom w:val="single" w:sz="6" w:space="0" w:color="auto"/>
              <w:right w:val="single" w:sz="6" w:space="0" w:color="auto"/>
            </w:tcBorders>
            <w:vAlign w:val="center"/>
          </w:tcPr>
          <w:p w:rsidR="0022308D" w:rsidRDefault="0022308D">
            <w:pPr>
              <w:jc w:val="center"/>
              <w:rPr>
                <w:snapToGrid w:val="0"/>
                <w:color w:val="000000"/>
                <w:sz w:val="22"/>
                <w:szCs w:val="22"/>
              </w:rPr>
            </w:pPr>
            <w:r>
              <w:rPr>
                <w:snapToGrid w:val="0"/>
                <w:color w:val="000000"/>
                <w:sz w:val="22"/>
                <w:szCs w:val="22"/>
              </w:rPr>
              <w:t>На начало года</w:t>
            </w:r>
          </w:p>
        </w:tc>
        <w:tc>
          <w:tcPr>
            <w:tcW w:w="3955" w:type="dxa"/>
            <w:gridSpan w:val="2"/>
            <w:tcBorders>
              <w:top w:val="single" w:sz="12" w:space="0" w:color="auto"/>
              <w:left w:val="single" w:sz="6" w:space="0" w:color="auto"/>
              <w:bottom w:val="single" w:sz="6" w:space="0" w:color="auto"/>
              <w:right w:val="single" w:sz="12" w:space="0" w:color="auto"/>
            </w:tcBorders>
            <w:vAlign w:val="center"/>
          </w:tcPr>
          <w:p w:rsidR="0022308D" w:rsidRDefault="0022308D">
            <w:pPr>
              <w:jc w:val="center"/>
              <w:rPr>
                <w:snapToGrid w:val="0"/>
                <w:color w:val="000000"/>
                <w:sz w:val="22"/>
                <w:szCs w:val="22"/>
              </w:rPr>
            </w:pPr>
            <w:r>
              <w:rPr>
                <w:snapToGrid w:val="0"/>
                <w:color w:val="000000"/>
                <w:sz w:val="22"/>
                <w:szCs w:val="22"/>
              </w:rPr>
              <w:t>На конец года</w:t>
            </w:r>
          </w:p>
        </w:tc>
      </w:tr>
      <w:tr w:rsidR="0022308D">
        <w:trPr>
          <w:cantSplit/>
          <w:trHeight w:val="571"/>
        </w:trPr>
        <w:tc>
          <w:tcPr>
            <w:tcW w:w="1925" w:type="dxa"/>
            <w:vMerge/>
            <w:tcBorders>
              <w:left w:val="single" w:sz="12" w:space="0" w:color="auto"/>
              <w:bottom w:val="single" w:sz="12" w:space="0" w:color="auto"/>
              <w:right w:val="single" w:sz="12" w:space="0" w:color="auto"/>
            </w:tcBorders>
          </w:tcPr>
          <w:p w:rsidR="0022308D" w:rsidRDefault="0022308D">
            <w:pPr>
              <w:jc w:val="center"/>
              <w:rPr>
                <w:snapToGrid w:val="0"/>
                <w:color w:val="000000"/>
                <w:sz w:val="22"/>
                <w:szCs w:val="22"/>
              </w:rPr>
            </w:pPr>
          </w:p>
        </w:tc>
        <w:tc>
          <w:tcPr>
            <w:tcW w:w="2352" w:type="dxa"/>
            <w:tcBorders>
              <w:top w:val="single" w:sz="6" w:space="0" w:color="auto"/>
              <w:left w:val="single" w:sz="12" w:space="0" w:color="auto"/>
              <w:bottom w:val="single" w:sz="12" w:space="0" w:color="auto"/>
              <w:right w:val="single" w:sz="6" w:space="0" w:color="auto"/>
            </w:tcBorders>
          </w:tcPr>
          <w:p w:rsidR="0022308D" w:rsidRDefault="0022308D">
            <w:pPr>
              <w:jc w:val="center"/>
              <w:rPr>
                <w:snapToGrid w:val="0"/>
                <w:color w:val="000000"/>
                <w:sz w:val="22"/>
                <w:szCs w:val="22"/>
              </w:rPr>
            </w:pPr>
            <w:r>
              <w:rPr>
                <w:snapToGrid w:val="0"/>
                <w:color w:val="000000"/>
                <w:sz w:val="22"/>
                <w:szCs w:val="22"/>
              </w:rPr>
              <w:t>Фактическое значение коэффициента</w:t>
            </w:r>
          </w:p>
        </w:tc>
        <w:tc>
          <w:tcPr>
            <w:tcW w:w="1622" w:type="dxa"/>
            <w:tcBorders>
              <w:top w:val="single" w:sz="6" w:space="0" w:color="auto"/>
              <w:left w:val="single" w:sz="6" w:space="0" w:color="auto"/>
              <w:bottom w:val="single" w:sz="12" w:space="0" w:color="auto"/>
              <w:right w:val="single" w:sz="6" w:space="0" w:color="auto"/>
            </w:tcBorders>
          </w:tcPr>
          <w:p w:rsidR="0022308D" w:rsidRDefault="0022308D">
            <w:pPr>
              <w:jc w:val="center"/>
              <w:rPr>
                <w:snapToGrid w:val="0"/>
                <w:color w:val="000000"/>
                <w:sz w:val="22"/>
                <w:szCs w:val="22"/>
              </w:rPr>
            </w:pPr>
            <w:r>
              <w:rPr>
                <w:snapToGrid w:val="0"/>
                <w:color w:val="000000"/>
                <w:sz w:val="22"/>
                <w:szCs w:val="22"/>
              </w:rPr>
              <w:t>Количество баллов</w:t>
            </w:r>
          </w:p>
        </w:tc>
        <w:tc>
          <w:tcPr>
            <w:tcW w:w="2333" w:type="dxa"/>
            <w:tcBorders>
              <w:top w:val="single" w:sz="6" w:space="0" w:color="auto"/>
              <w:left w:val="single" w:sz="6" w:space="0" w:color="auto"/>
              <w:bottom w:val="single" w:sz="12" w:space="0" w:color="auto"/>
              <w:right w:val="single" w:sz="6" w:space="0" w:color="auto"/>
            </w:tcBorders>
          </w:tcPr>
          <w:p w:rsidR="0022308D" w:rsidRDefault="0022308D">
            <w:pPr>
              <w:jc w:val="center"/>
              <w:rPr>
                <w:snapToGrid w:val="0"/>
                <w:color w:val="000000"/>
                <w:sz w:val="22"/>
                <w:szCs w:val="22"/>
              </w:rPr>
            </w:pPr>
            <w:r>
              <w:rPr>
                <w:snapToGrid w:val="0"/>
                <w:color w:val="000000"/>
                <w:sz w:val="22"/>
                <w:szCs w:val="22"/>
              </w:rPr>
              <w:t>Фактическое значение коэффициента</w:t>
            </w:r>
          </w:p>
        </w:tc>
        <w:tc>
          <w:tcPr>
            <w:tcW w:w="1622" w:type="dxa"/>
            <w:tcBorders>
              <w:top w:val="single" w:sz="6" w:space="0" w:color="auto"/>
              <w:left w:val="single" w:sz="6" w:space="0" w:color="auto"/>
              <w:bottom w:val="single" w:sz="12" w:space="0" w:color="auto"/>
              <w:right w:val="single" w:sz="12" w:space="0" w:color="auto"/>
            </w:tcBorders>
          </w:tcPr>
          <w:p w:rsidR="0022308D" w:rsidRDefault="0022308D">
            <w:pPr>
              <w:jc w:val="center"/>
              <w:rPr>
                <w:snapToGrid w:val="0"/>
                <w:color w:val="000000"/>
                <w:sz w:val="22"/>
                <w:szCs w:val="22"/>
              </w:rPr>
            </w:pPr>
            <w:r>
              <w:rPr>
                <w:snapToGrid w:val="0"/>
                <w:color w:val="000000"/>
                <w:sz w:val="22"/>
                <w:szCs w:val="22"/>
              </w:rPr>
              <w:t>Количество баллов</w:t>
            </w:r>
          </w:p>
        </w:tc>
      </w:tr>
      <w:tr w:rsidR="0022308D">
        <w:trPr>
          <w:trHeight w:val="322"/>
        </w:trPr>
        <w:tc>
          <w:tcPr>
            <w:tcW w:w="1925" w:type="dxa"/>
            <w:tcBorders>
              <w:top w:val="single" w:sz="12" w:space="0" w:color="auto"/>
              <w:left w:val="single" w:sz="12" w:space="0" w:color="auto"/>
              <w:bottom w:val="single" w:sz="6" w:space="0" w:color="auto"/>
              <w:right w:val="single" w:sz="12" w:space="0" w:color="auto"/>
            </w:tcBorders>
          </w:tcPr>
          <w:p w:rsidR="0022308D" w:rsidRDefault="0022308D">
            <w:pPr>
              <w:rPr>
                <w:snapToGrid w:val="0"/>
                <w:color w:val="000000"/>
                <w:sz w:val="26"/>
                <w:szCs w:val="26"/>
              </w:rPr>
            </w:pPr>
            <w:r>
              <w:rPr>
                <w:snapToGrid w:val="0"/>
                <w:color w:val="000000"/>
                <w:sz w:val="26"/>
                <w:szCs w:val="26"/>
              </w:rPr>
              <w:t>L2</w:t>
            </w:r>
          </w:p>
        </w:tc>
        <w:tc>
          <w:tcPr>
            <w:tcW w:w="2352" w:type="dxa"/>
            <w:tcBorders>
              <w:top w:val="single" w:sz="12" w:space="0" w:color="auto"/>
              <w:left w:val="single" w:sz="12" w:space="0" w:color="auto"/>
              <w:bottom w:val="single" w:sz="6" w:space="0" w:color="auto"/>
              <w:right w:val="single" w:sz="12" w:space="0" w:color="auto"/>
            </w:tcBorders>
            <w:vAlign w:val="center"/>
          </w:tcPr>
          <w:p w:rsidR="0022308D" w:rsidRDefault="0022308D">
            <w:pPr>
              <w:jc w:val="center"/>
              <w:rPr>
                <w:snapToGrid w:val="0"/>
                <w:color w:val="000000"/>
                <w:sz w:val="26"/>
                <w:szCs w:val="26"/>
              </w:rPr>
            </w:pPr>
            <w:r>
              <w:rPr>
                <w:snapToGrid w:val="0"/>
                <w:color w:val="000000"/>
                <w:sz w:val="26"/>
                <w:szCs w:val="26"/>
              </w:rPr>
              <w:t>0,094</w:t>
            </w:r>
          </w:p>
        </w:tc>
        <w:tc>
          <w:tcPr>
            <w:tcW w:w="1622" w:type="dxa"/>
            <w:tcBorders>
              <w:top w:val="single" w:sz="12" w:space="0" w:color="auto"/>
              <w:left w:val="single" w:sz="12" w:space="0" w:color="auto"/>
              <w:bottom w:val="single" w:sz="6" w:space="0" w:color="auto"/>
              <w:right w:val="single" w:sz="12" w:space="0" w:color="auto"/>
            </w:tcBorders>
            <w:vAlign w:val="center"/>
          </w:tcPr>
          <w:p w:rsidR="0022308D" w:rsidRDefault="0022308D">
            <w:pPr>
              <w:jc w:val="center"/>
              <w:rPr>
                <w:snapToGrid w:val="0"/>
                <w:color w:val="000000"/>
                <w:sz w:val="26"/>
                <w:szCs w:val="26"/>
              </w:rPr>
            </w:pPr>
            <w:r>
              <w:rPr>
                <w:snapToGrid w:val="0"/>
                <w:color w:val="000000"/>
                <w:sz w:val="26"/>
                <w:szCs w:val="26"/>
              </w:rPr>
              <w:t>1,8</w:t>
            </w:r>
          </w:p>
        </w:tc>
        <w:tc>
          <w:tcPr>
            <w:tcW w:w="2333" w:type="dxa"/>
            <w:tcBorders>
              <w:top w:val="single" w:sz="12" w:space="0" w:color="auto"/>
              <w:left w:val="single" w:sz="12" w:space="0" w:color="auto"/>
              <w:bottom w:val="single" w:sz="6" w:space="0" w:color="auto"/>
              <w:right w:val="single" w:sz="12" w:space="0" w:color="auto"/>
            </w:tcBorders>
            <w:vAlign w:val="center"/>
          </w:tcPr>
          <w:p w:rsidR="0022308D" w:rsidRDefault="0022308D">
            <w:pPr>
              <w:jc w:val="center"/>
              <w:rPr>
                <w:snapToGrid w:val="0"/>
                <w:color w:val="000000"/>
                <w:sz w:val="26"/>
                <w:szCs w:val="26"/>
              </w:rPr>
            </w:pPr>
            <w:r>
              <w:rPr>
                <w:snapToGrid w:val="0"/>
                <w:color w:val="000000"/>
                <w:sz w:val="26"/>
                <w:szCs w:val="26"/>
              </w:rPr>
              <w:t>0,074</w:t>
            </w:r>
          </w:p>
        </w:tc>
        <w:tc>
          <w:tcPr>
            <w:tcW w:w="1622" w:type="dxa"/>
            <w:tcBorders>
              <w:top w:val="single" w:sz="12" w:space="0" w:color="auto"/>
              <w:left w:val="single" w:sz="12" w:space="0" w:color="auto"/>
              <w:bottom w:val="single" w:sz="6" w:space="0" w:color="auto"/>
              <w:right w:val="single" w:sz="12" w:space="0" w:color="auto"/>
            </w:tcBorders>
            <w:vAlign w:val="center"/>
          </w:tcPr>
          <w:p w:rsidR="0022308D" w:rsidRDefault="0022308D">
            <w:pPr>
              <w:jc w:val="center"/>
              <w:rPr>
                <w:snapToGrid w:val="0"/>
                <w:color w:val="000000"/>
                <w:sz w:val="26"/>
                <w:szCs w:val="26"/>
              </w:rPr>
            </w:pPr>
            <w:r>
              <w:rPr>
                <w:snapToGrid w:val="0"/>
                <w:color w:val="000000"/>
                <w:sz w:val="26"/>
                <w:szCs w:val="26"/>
              </w:rPr>
              <w:t>1,5</w:t>
            </w:r>
          </w:p>
        </w:tc>
      </w:tr>
      <w:tr w:rsidR="0022308D">
        <w:trPr>
          <w:trHeight w:val="322"/>
        </w:trPr>
        <w:tc>
          <w:tcPr>
            <w:tcW w:w="1925" w:type="dxa"/>
            <w:tcBorders>
              <w:top w:val="single" w:sz="6" w:space="0" w:color="auto"/>
              <w:left w:val="single" w:sz="12" w:space="0" w:color="auto"/>
              <w:bottom w:val="single" w:sz="6" w:space="0" w:color="auto"/>
              <w:right w:val="single" w:sz="12" w:space="0" w:color="auto"/>
            </w:tcBorders>
          </w:tcPr>
          <w:p w:rsidR="0022308D" w:rsidRDefault="0022308D">
            <w:pPr>
              <w:rPr>
                <w:snapToGrid w:val="0"/>
                <w:color w:val="000000"/>
                <w:sz w:val="26"/>
                <w:szCs w:val="26"/>
              </w:rPr>
            </w:pPr>
            <w:r>
              <w:rPr>
                <w:snapToGrid w:val="0"/>
                <w:color w:val="000000"/>
                <w:sz w:val="26"/>
                <w:szCs w:val="26"/>
              </w:rPr>
              <w:t>L3</w:t>
            </w:r>
          </w:p>
        </w:tc>
        <w:tc>
          <w:tcPr>
            <w:tcW w:w="2352" w:type="dxa"/>
            <w:tcBorders>
              <w:top w:val="single" w:sz="6" w:space="0" w:color="auto"/>
              <w:left w:val="single" w:sz="12" w:space="0" w:color="auto"/>
              <w:bottom w:val="single" w:sz="6" w:space="0" w:color="auto"/>
              <w:right w:val="single" w:sz="12" w:space="0" w:color="auto"/>
            </w:tcBorders>
            <w:vAlign w:val="center"/>
          </w:tcPr>
          <w:p w:rsidR="0022308D" w:rsidRDefault="0022308D">
            <w:pPr>
              <w:jc w:val="center"/>
              <w:rPr>
                <w:snapToGrid w:val="0"/>
                <w:color w:val="000000"/>
                <w:sz w:val="26"/>
                <w:szCs w:val="26"/>
              </w:rPr>
            </w:pPr>
            <w:r>
              <w:rPr>
                <w:snapToGrid w:val="0"/>
                <w:color w:val="000000"/>
                <w:sz w:val="26"/>
                <w:szCs w:val="26"/>
              </w:rPr>
              <w:t>0,676</w:t>
            </w:r>
          </w:p>
        </w:tc>
        <w:tc>
          <w:tcPr>
            <w:tcW w:w="1622" w:type="dxa"/>
            <w:tcBorders>
              <w:top w:val="single" w:sz="6" w:space="0" w:color="auto"/>
              <w:left w:val="single" w:sz="12" w:space="0" w:color="auto"/>
              <w:bottom w:val="single" w:sz="6" w:space="0" w:color="auto"/>
              <w:right w:val="single" w:sz="12" w:space="0" w:color="auto"/>
            </w:tcBorders>
            <w:vAlign w:val="center"/>
          </w:tcPr>
          <w:p w:rsidR="0022308D" w:rsidRDefault="0022308D">
            <w:pPr>
              <w:jc w:val="center"/>
              <w:rPr>
                <w:snapToGrid w:val="0"/>
                <w:color w:val="000000"/>
                <w:sz w:val="26"/>
                <w:szCs w:val="26"/>
              </w:rPr>
            </w:pPr>
            <w:r>
              <w:rPr>
                <w:snapToGrid w:val="0"/>
                <w:color w:val="000000"/>
                <w:sz w:val="26"/>
                <w:szCs w:val="26"/>
              </w:rPr>
              <w:t>4</w:t>
            </w:r>
          </w:p>
        </w:tc>
        <w:tc>
          <w:tcPr>
            <w:tcW w:w="2333" w:type="dxa"/>
            <w:tcBorders>
              <w:top w:val="single" w:sz="6" w:space="0" w:color="auto"/>
              <w:left w:val="single" w:sz="12" w:space="0" w:color="auto"/>
              <w:bottom w:val="single" w:sz="6" w:space="0" w:color="auto"/>
              <w:right w:val="single" w:sz="12" w:space="0" w:color="auto"/>
            </w:tcBorders>
            <w:vAlign w:val="center"/>
          </w:tcPr>
          <w:p w:rsidR="0022308D" w:rsidRDefault="0022308D">
            <w:pPr>
              <w:jc w:val="center"/>
              <w:rPr>
                <w:snapToGrid w:val="0"/>
                <w:color w:val="000000"/>
                <w:sz w:val="26"/>
                <w:szCs w:val="26"/>
              </w:rPr>
            </w:pPr>
            <w:r>
              <w:rPr>
                <w:snapToGrid w:val="0"/>
                <w:color w:val="000000"/>
                <w:sz w:val="26"/>
                <w:szCs w:val="26"/>
              </w:rPr>
              <w:t>0,663</w:t>
            </w:r>
          </w:p>
        </w:tc>
        <w:tc>
          <w:tcPr>
            <w:tcW w:w="1622" w:type="dxa"/>
            <w:tcBorders>
              <w:top w:val="single" w:sz="6" w:space="0" w:color="auto"/>
              <w:left w:val="single" w:sz="12" w:space="0" w:color="auto"/>
              <w:bottom w:val="single" w:sz="6" w:space="0" w:color="auto"/>
              <w:right w:val="single" w:sz="12" w:space="0" w:color="auto"/>
            </w:tcBorders>
            <w:vAlign w:val="center"/>
          </w:tcPr>
          <w:p w:rsidR="0022308D" w:rsidRDefault="0022308D">
            <w:pPr>
              <w:jc w:val="center"/>
              <w:rPr>
                <w:snapToGrid w:val="0"/>
                <w:color w:val="000000"/>
                <w:sz w:val="26"/>
                <w:szCs w:val="26"/>
              </w:rPr>
            </w:pPr>
            <w:r>
              <w:rPr>
                <w:snapToGrid w:val="0"/>
                <w:color w:val="000000"/>
                <w:sz w:val="26"/>
                <w:szCs w:val="26"/>
              </w:rPr>
              <w:t>3,8</w:t>
            </w:r>
          </w:p>
        </w:tc>
      </w:tr>
      <w:tr w:rsidR="0022308D">
        <w:trPr>
          <w:trHeight w:val="322"/>
        </w:trPr>
        <w:tc>
          <w:tcPr>
            <w:tcW w:w="1925" w:type="dxa"/>
            <w:tcBorders>
              <w:top w:val="single" w:sz="6" w:space="0" w:color="auto"/>
              <w:left w:val="single" w:sz="12" w:space="0" w:color="auto"/>
              <w:bottom w:val="single" w:sz="6" w:space="0" w:color="auto"/>
              <w:right w:val="single" w:sz="12" w:space="0" w:color="auto"/>
            </w:tcBorders>
          </w:tcPr>
          <w:p w:rsidR="0022308D" w:rsidRDefault="0022308D">
            <w:pPr>
              <w:rPr>
                <w:snapToGrid w:val="0"/>
                <w:color w:val="000000"/>
                <w:sz w:val="26"/>
                <w:szCs w:val="26"/>
              </w:rPr>
            </w:pPr>
            <w:r>
              <w:rPr>
                <w:snapToGrid w:val="0"/>
                <w:color w:val="000000"/>
                <w:sz w:val="26"/>
                <w:szCs w:val="26"/>
              </w:rPr>
              <w:t>L4</w:t>
            </w:r>
          </w:p>
        </w:tc>
        <w:tc>
          <w:tcPr>
            <w:tcW w:w="2352" w:type="dxa"/>
            <w:tcBorders>
              <w:top w:val="single" w:sz="6" w:space="0" w:color="auto"/>
              <w:left w:val="single" w:sz="12" w:space="0" w:color="auto"/>
              <w:bottom w:val="single" w:sz="6" w:space="0" w:color="auto"/>
              <w:right w:val="single" w:sz="12" w:space="0" w:color="auto"/>
            </w:tcBorders>
            <w:vAlign w:val="center"/>
          </w:tcPr>
          <w:p w:rsidR="0022308D" w:rsidRDefault="0022308D">
            <w:pPr>
              <w:jc w:val="center"/>
              <w:rPr>
                <w:snapToGrid w:val="0"/>
                <w:color w:val="000000"/>
                <w:sz w:val="26"/>
                <w:szCs w:val="26"/>
              </w:rPr>
            </w:pPr>
            <w:r>
              <w:rPr>
                <w:snapToGrid w:val="0"/>
                <w:color w:val="000000"/>
                <w:sz w:val="26"/>
                <w:szCs w:val="26"/>
              </w:rPr>
              <w:t>1,811</w:t>
            </w:r>
          </w:p>
        </w:tc>
        <w:tc>
          <w:tcPr>
            <w:tcW w:w="1622" w:type="dxa"/>
            <w:tcBorders>
              <w:top w:val="single" w:sz="6" w:space="0" w:color="auto"/>
              <w:left w:val="single" w:sz="12" w:space="0" w:color="auto"/>
              <w:bottom w:val="single" w:sz="6" w:space="0" w:color="auto"/>
              <w:right w:val="single" w:sz="12" w:space="0" w:color="auto"/>
            </w:tcBorders>
            <w:vAlign w:val="center"/>
          </w:tcPr>
          <w:p w:rsidR="0022308D" w:rsidRDefault="0022308D">
            <w:pPr>
              <w:jc w:val="center"/>
              <w:rPr>
                <w:snapToGrid w:val="0"/>
                <w:color w:val="000000"/>
                <w:sz w:val="26"/>
                <w:szCs w:val="26"/>
              </w:rPr>
            </w:pPr>
            <w:r>
              <w:rPr>
                <w:snapToGrid w:val="0"/>
                <w:color w:val="000000"/>
                <w:sz w:val="26"/>
                <w:szCs w:val="26"/>
              </w:rPr>
              <w:t>19,3</w:t>
            </w:r>
          </w:p>
        </w:tc>
        <w:tc>
          <w:tcPr>
            <w:tcW w:w="2333" w:type="dxa"/>
            <w:tcBorders>
              <w:top w:val="single" w:sz="6" w:space="0" w:color="auto"/>
              <w:left w:val="single" w:sz="12" w:space="0" w:color="auto"/>
              <w:bottom w:val="single" w:sz="6" w:space="0" w:color="auto"/>
              <w:right w:val="single" w:sz="12" w:space="0" w:color="auto"/>
            </w:tcBorders>
            <w:vAlign w:val="center"/>
          </w:tcPr>
          <w:p w:rsidR="0022308D" w:rsidRDefault="0022308D">
            <w:pPr>
              <w:jc w:val="center"/>
              <w:rPr>
                <w:snapToGrid w:val="0"/>
                <w:color w:val="000000"/>
                <w:sz w:val="26"/>
                <w:szCs w:val="26"/>
              </w:rPr>
            </w:pPr>
            <w:r>
              <w:rPr>
                <w:snapToGrid w:val="0"/>
                <w:color w:val="000000"/>
                <w:sz w:val="26"/>
                <w:szCs w:val="26"/>
              </w:rPr>
              <w:t>1,813</w:t>
            </w:r>
          </w:p>
        </w:tc>
        <w:tc>
          <w:tcPr>
            <w:tcW w:w="1622" w:type="dxa"/>
            <w:tcBorders>
              <w:top w:val="single" w:sz="6" w:space="0" w:color="auto"/>
              <w:left w:val="single" w:sz="12" w:space="0" w:color="auto"/>
              <w:bottom w:val="single" w:sz="6" w:space="0" w:color="auto"/>
              <w:right w:val="single" w:sz="12" w:space="0" w:color="auto"/>
            </w:tcBorders>
            <w:vAlign w:val="center"/>
          </w:tcPr>
          <w:p w:rsidR="0022308D" w:rsidRDefault="0022308D">
            <w:pPr>
              <w:jc w:val="center"/>
              <w:rPr>
                <w:snapToGrid w:val="0"/>
                <w:color w:val="000000"/>
                <w:sz w:val="26"/>
                <w:szCs w:val="26"/>
              </w:rPr>
            </w:pPr>
            <w:r>
              <w:rPr>
                <w:snapToGrid w:val="0"/>
                <w:color w:val="000000"/>
                <w:sz w:val="26"/>
                <w:szCs w:val="26"/>
              </w:rPr>
              <w:t>19,3</w:t>
            </w:r>
          </w:p>
        </w:tc>
      </w:tr>
      <w:tr w:rsidR="0022308D">
        <w:trPr>
          <w:trHeight w:val="322"/>
        </w:trPr>
        <w:tc>
          <w:tcPr>
            <w:tcW w:w="1925" w:type="dxa"/>
            <w:tcBorders>
              <w:top w:val="single" w:sz="6" w:space="0" w:color="auto"/>
              <w:left w:val="single" w:sz="12" w:space="0" w:color="auto"/>
              <w:bottom w:val="single" w:sz="6" w:space="0" w:color="auto"/>
              <w:right w:val="single" w:sz="12" w:space="0" w:color="auto"/>
            </w:tcBorders>
          </w:tcPr>
          <w:p w:rsidR="0022308D" w:rsidRDefault="0022308D">
            <w:pPr>
              <w:rPr>
                <w:snapToGrid w:val="0"/>
                <w:color w:val="000000"/>
                <w:sz w:val="26"/>
                <w:szCs w:val="26"/>
              </w:rPr>
            </w:pPr>
            <w:r>
              <w:rPr>
                <w:snapToGrid w:val="0"/>
                <w:color w:val="000000"/>
                <w:sz w:val="26"/>
                <w:szCs w:val="26"/>
              </w:rPr>
              <w:t>U1</w:t>
            </w:r>
          </w:p>
        </w:tc>
        <w:tc>
          <w:tcPr>
            <w:tcW w:w="2352" w:type="dxa"/>
            <w:tcBorders>
              <w:top w:val="single" w:sz="6" w:space="0" w:color="auto"/>
              <w:left w:val="single" w:sz="12" w:space="0" w:color="auto"/>
              <w:bottom w:val="single" w:sz="6" w:space="0" w:color="auto"/>
              <w:right w:val="single" w:sz="12" w:space="0" w:color="auto"/>
            </w:tcBorders>
            <w:vAlign w:val="center"/>
          </w:tcPr>
          <w:p w:rsidR="0022308D" w:rsidRDefault="0022308D">
            <w:pPr>
              <w:jc w:val="center"/>
              <w:rPr>
                <w:snapToGrid w:val="0"/>
                <w:color w:val="000000"/>
                <w:sz w:val="26"/>
                <w:szCs w:val="26"/>
              </w:rPr>
            </w:pPr>
            <w:r>
              <w:rPr>
                <w:snapToGrid w:val="0"/>
                <w:color w:val="000000"/>
                <w:sz w:val="26"/>
                <w:szCs w:val="26"/>
              </w:rPr>
              <w:t>0,372</w:t>
            </w:r>
          </w:p>
        </w:tc>
        <w:tc>
          <w:tcPr>
            <w:tcW w:w="1622" w:type="dxa"/>
            <w:tcBorders>
              <w:top w:val="single" w:sz="6" w:space="0" w:color="auto"/>
              <w:left w:val="single" w:sz="12" w:space="0" w:color="auto"/>
              <w:bottom w:val="single" w:sz="6" w:space="0" w:color="auto"/>
              <w:right w:val="single" w:sz="12" w:space="0" w:color="auto"/>
            </w:tcBorders>
            <w:vAlign w:val="center"/>
          </w:tcPr>
          <w:p w:rsidR="0022308D" w:rsidRDefault="0022308D">
            <w:pPr>
              <w:jc w:val="center"/>
              <w:rPr>
                <w:snapToGrid w:val="0"/>
                <w:color w:val="000000"/>
                <w:sz w:val="26"/>
                <w:szCs w:val="26"/>
              </w:rPr>
            </w:pPr>
            <w:r>
              <w:rPr>
                <w:snapToGrid w:val="0"/>
                <w:color w:val="000000"/>
                <w:sz w:val="26"/>
                <w:szCs w:val="26"/>
              </w:rPr>
              <w:t>8,6</w:t>
            </w:r>
          </w:p>
        </w:tc>
        <w:tc>
          <w:tcPr>
            <w:tcW w:w="2333" w:type="dxa"/>
            <w:tcBorders>
              <w:top w:val="single" w:sz="6" w:space="0" w:color="auto"/>
              <w:left w:val="single" w:sz="12" w:space="0" w:color="auto"/>
              <w:bottom w:val="single" w:sz="6" w:space="0" w:color="auto"/>
              <w:right w:val="single" w:sz="12" w:space="0" w:color="auto"/>
            </w:tcBorders>
            <w:vAlign w:val="center"/>
          </w:tcPr>
          <w:p w:rsidR="0022308D" w:rsidRDefault="0022308D">
            <w:pPr>
              <w:jc w:val="center"/>
              <w:rPr>
                <w:snapToGrid w:val="0"/>
                <w:color w:val="000000"/>
                <w:sz w:val="26"/>
                <w:szCs w:val="26"/>
              </w:rPr>
            </w:pPr>
            <w:r>
              <w:rPr>
                <w:snapToGrid w:val="0"/>
                <w:color w:val="000000"/>
                <w:sz w:val="26"/>
                <w:szCs w:val="26"/>
              </w:rPr>
              <w:t>0,376</w:t>
            </w:r>
          </w:p>
        </w:tc>
        <w:tc>
          <w:tcPr>
            <w:tcW w:w="1622" w:type="dxa"/>
            <w:tcBorders>
              <w:top w:val="single" w:sz="6" w:space="0" w:color="auto"/>
              <w:left w:val="single" w:sz="12" w:space="0" w:color="auto"/>
              <w:bottom w:val="single" w:sz="6" w:space="0" w:color="auto"/>
              <w:right w:val="single" w:sz="12" w:space="0" w:color="auto"/>
            </w:tcBorders>
            <w:vAlign w:val="center"/>
          </w:tcPr>
          <w:p w:rsidR="0022308D" w:rsidRDefault="0022308D">
            <w:pPr>
              <w:jc w:val="center"/>
              <w:rPr>
                <w:snapToGrid w:val="0"/>
                <w:color w:val="000000"/>
                <w:sz w:val="26"/>
                <w:szCs w:val="26"/>
              </w:rPr>
            </w:pPr>
            <w:r>
              <w:rPr>
                <w:snapToGrid w:val="0"/>
                <w:color w:val="000000"/>
                <w:sz w:val="26"/>
                <w:szCs w:val="26"/>
              </w:rPr>
              <w:t>8,9</w:t>
            </w:r>
          </w:p>
        </w:tc>
      </w:tr>
      <w:tr w:rsidR="0022308D">
        <w:trPr>
          <w:trHeight w:val="322"/>
        </w:trPr>
        <w:tc>
          <w:tcPr>
            <w:tcW w:w="1925" w:type="dxa"/>
            <w:tcBorders>
              <w:top w:val="single" w:sz="6" w:space="0" w:color="auto"/>
              <w:left w:val="single" w:sz="12" w:space="0" w:color="auto"/>
              <w:bottom w:val="single" w:sz="6" w:space="0" w:color="auto"/>
              <w:right w:val="single" w:sz="12" w:space="0" w:color="auto"/>
            </w:tcBorders>
          </w:tcPr>
          <w:p w:rsidR="0022308D" w:rsidRDefault="0022308D">
            <w:pPr>
              <w:rPr>
                <w:snapToGrid w:val="0"/>
                <w:color w:val="000000"/>
                <w:sz w:val="26"/>
                <w:szCs w:val="26"/>
              </w:rPr>
            </w:pPr>
            <w:r>
              <w:rPr>
                <w:snapToGrid w:val="0"/>
                <w:color w:val="000000"/>
                <w:sz w:val="26"/>
                <w:szCs w:val="26"/>
              </w:rPr>
              <w:t>U3</w:t>
            </w:r>
          </w:p>
        </w:tc>
        <w:tc>
          <w:tcPr>
            <w:tcW w:w="2352" w:type="dxa"/>
            <w:tcBorders>
              <w:top w:val="single" w:sz="6" w:space="0" w:color="auto"/>
              <w:left w:val="single" w:sz="12" w:space="0" w:color="auto"/>
              <w:bottom w:val="single" w:sz="6" w:space="0" w:color="auto"/>
              <w:right w:val="single" w:sz="12" w:space="0" w:color="auto"/>
            </w:tcBorders>
            <w:vAlign w:val="center"/>
          </w:tcPr>
          <w:p w:rsidR="0022308D" w:rsidRDefault="0022308D">
            <w:pPr>
              <w:jc w:val="center"/>
              <w:rPr>
                <w:snapToGrid w:val="0"/>
                <w:color w:val="000000"/>
                <w:sz w:val="26"/>
                <w:szCs w:val="26"/>
              </w:rPr>
            </w:pPr>
            <w:r>
              <w:rPr>
                <w:snapToGrid w:val="0"/>
                <w:color w:val="000000"/>
                <w:sz w:val="26"/>
                <w:szCs w:val="26"/>
              </w:rPr>
              <w:t>0,6</w:t>
            </w:r>
          </w:p>
        </w:tc>
        <w:tc>
          <w:tcPr>
            <w:tcW w:w="1622" w:type="dxa"/>
            <w:tcBorders>
              <w:top w:val="single" w:sz="6" w:space="0" w:color="auto"/>
              <w:left w:val="single" w:sz="12" w:space="0" w:color="auto"/>
              <w:bottom w:val="single" w:sz="6" w:space="0" w:color="auto"/>
              <w:right w:val="single" w:sz="12" w:space="0" w:color="auto"/>
            </w:tcBorders>
            <w:vAlign w:val="center"/>
          </w:tcPr>
          <w:p w:rsidR="0022308D" w:rsidRDefault="0022308D">
            <w:pPr>
              <w:jc w:val="center"/>
              <w:rPr>
                <w:snapToGrid w:val="0"/>
                <w:color w:val="000000"/>
                <w:sz w:val="26"/>
                <w:szCs w:val="26"/>
              </w:rPr>
            </w:pPr>
            <w:r>
              <w:rPr>
                <w:snapToGrid w:val="0"/>
                <w:color w:val="000000"/>
                <w:sz w:val="26"/>
                <w:szCs w:val="26"/>
              </w:rPr>
              <w:t>17,5</w:t>
            </w:r>
          </w:p>
        </w:tc>
        <w:tc>
          <w:tcPr>
            <w:tcW w:w="2333" w:type="dxa"/>
            <w:tcBorders>
              <w:top w:val="single" w:sz="6" w:space="0" w:color="auto"/>
              <w:left w:val="single" w:sz="12" w:space="0" w:color="auto"/>
              <w:bottom w:val="single" w:sz="6" w:space="0" w:color="auto"/>
              <w:right w:val="single" w:sz="12" w:space="0" w:color="auto"/>
            </w:tcBorders>
            <w:vAlign w:val="center"/>
          </w:tcPr>
          <w:p w:rsidR="0022308D" w:rsidRDefault="0022308D">
            <w:pPr>
              <w:jc w:val="center"/>
              <w:rPr>
                <w:snapToGrid w:val="0"/>
                <w:color w:val="000000"/>
                <w:sz w:val="26"/>
                <w:szCs w:val="26"/>
              </w:rPr>
            </w:pPr>
            <w:r>
              <w:rPr>
                <w:snapToGrid w:val="0"/>
                <w:color w:val="000000"/>
                <w:sz w:val="26"/>
                <w:szCs w:val="26"/>
              </w:rPr>
              <w:t>0,597</w:t>
            </w:r>
          </w:p>
        </w:tc>
        <w:tc>
          <w:tcPr>
            <w:tcW w:w="1622" w:type="dxa"/>
            <w:tcBorders>
              <w:top w:val="single" w:sz="6" w:space="0" w:color="auto"/>
              <w:left w:val="single" w:sz="12" w:space="0" w:color="auto"/>
              <w:bottom w:val="single" w:sz="6" w:space="0" w:color="auto"/>
              <w:right w:val="single" w:sz="12" w:space="0" w:color="auto"/>
            </w:tcBorders>
            <w:vAlign w:val="center"/>
          </w:tcPr>
          <w:p w:rsidR="0022308D" w:rsidRDefault="0022308D">
            <w:pPr>
              <w:jc w:val="center"/>
              <w:rPr>
                <w:snapToGrid w:val="0"/>
                <w:color w:val="000000"/>
                <w:sz w:val="26"/>
                <w:szCs w:val="26"/>
              </w:rPr>
            </w:pPr>
            <w:r>
              <w:rPr>
                <w:snapToGrid w:val="0"/>
                <w:color w:val="000000"/>
                <w:sz w:val="26"/>
                <w:szCs w:val="26"/>
              </w:rPr>
              <w:t>17,5</w:t>
            </w:r>
          </w:p>
        </w:tc>
      </w:tr>
      <w:tr w:rsidR="0022308D">
        <w:trPr>
          <w:trHeight w:val="322"/>
        </w:trPr>
        <w:tc>
          <w:tcPr>
            <w:tcW w:w="1925" w:type="dxa"/>
            <w:tcBorders>
              <w:top w:val="single" w:sz="6" w:space="0" w:color="auto"/>
              <w:left w:val="single" w:sz="12" w:space="0" w:color="auto"/>
              <w:bottom w:val="single" w:sz="6" w:space="0" w:color="auto"/>
              <w:right w:val="single" w:sz="12" w:space="0" w:color="auto"/>
            </w:tcBorders>
          </w:tcPr>
          <w:p w:rsidR="0022308D" w:rsidRDefault="0022308D">
            <w:pPr>
              <w:rPr>
                <w:snapToGrid w:val="0"/>
                <w:color w:val="000000"/>
                <w:sz w:val="26"/>
                <w:szCs w:val="26"/>
              </w:rPr>
            </w:pPr>
            <w:r>
              <w:rPr>
                <w:snapToGrid w:val="0"/>
                <w:color w:val="000000"/>
                <w:sz w:val="26"/>
                <w:szCs w:val="26"/>
              </w:rPr>
              <w:t>U4</w:t>
            </w:r>
          </w:p>
        </w:tc>
        <w:tc>
          <w:tcPr>
            <w:tcW w:w="2352" w:type="dxa"/>
            <w:tcBorders>
              <w:top w:val="single" w:sz="6" w:space="0" w:color="auto"/>
              <w:left w:val="single" w:sz="12" w:space="0" w:color="auto"/>
              <w:bottom w:val="single" w:sz="6" w:space="0" w:color="auto"/>
              <w:right w:val="single" w:sz="12" w:space="0" w:color="auto"/>
            </w:tcBorders>
            <w:vAlign w:val="center"/>
          </w:tcPr>
          <w:p w:rsidR="0022308D" w:rsidRDefault="0022308D">
            <w:pPr>
              <w:jc w:val="center"/>
              <w:rPr>
                <w:snapToGrid w:val="0"/>
                <w:color w:val="000000"/>
                <w:sz w:val="26"/>
                <w:szCs w:val="26"/>
              </w:rPr>
            </w:pPr>
            <w:r>
              <w:rPr>
                <w:snapToGrid w:val="0"/>
                <w:color w:val="000000"/>
                <w:sz w:val="26"/>
                <w:szCs w:val="26"/>
              </w:rPr>
              <w:t>0,625</w:t>
            </w:r>
          </w:p>
        </w:tc>
        <w:tc>
          <w:tcPr>
            <w:tcW w:w="1622" w:type="dxa"/>
            <w:tcBorders>
              <w:top w:val="single" w:sz="6" w:space="0" w:color="auto"/>
              <w:left w:val="single" w:sz="12" w:space="0" w:color="auto"/>
              <w:bottom w:val="single" w:sz="6" w:space="0" w:color="auto"/>
              <w:right w:val="single" w:sz="12" w:space="0" w:color="auto"/>
            </w:tcBorders>
            <w:vAlign w:val="center"/>
          </w:tcPr>
          <w:p w:rsidR="0022308D" w:rsidRDefault="0022308D">
            <w:pPr>
              <w:jc w:val="center"/>
              <w:rPr>
                <w:snapToGrid w:val="0"/>
                <w:color w:val="000000"/>
                <w:sz w:val="26"/>
                <w:szCs w:val="26"/>
              </w:rPr>
            </w:pPr>
            <w:r>
              <w:rPr>
                <w:snapToGrid w:val="0"/>
                <w:color w:val="000000"/>
                <w:sz w:val="26"/>
                <w:szCs w:val="26"/>
              </w:rPr>
              <w:t>10</w:t>
            </w:r>
          </w:p>
        </w:tc>
        <w:tc>
          <w:tcPr>
            <w:tcW w:w="2333" w:type="dxa"/>
            <w:tcBorders>
              <w:top w:val="single" w:sz="6" w:space="0" w:color="auto"/>
              <w:left w:val="single" w:sz="12" w:space="0" w:color="auto"/>
              <w:bottom w:val="single" w:sz="6" w:space="0" w:color="auto"/>
              <w:right w:val="single" w:sz="12" w:space="0" w:color="auto"/>
            </w:tcBorders>
            <w:vAlign w:val="center"/>
          </w:tcPr>
          <w:p w:rsidR="0022308D" w:rsidRDefault="0022308D">
            <w:pPr>
              <w:jc w:val="center"/>
              <w:rPr>
                <w:snapToGrid w:val="0"/>
                <w:color w:val="000000"/>
                <w:sz w:val="26"/>
                <w:szCs w:val="26"/>
              </w:rPr>
            </w:pPr>
            <w:r>
              <w:rPr>
                <w:snapToGrid w:val="0"/>
                <w:color w:val="000000"/>
                <w:sz w:val="26"/>
                <w:szCs w:val="26"/>
              </w:rPr>
              <w:t>0,626</w:t>
            </w:r>
          </w:p>
        </w:tc>
        <w:tc>
          <w:tcPr>
            <w:tcW w:w="1622" w:type="dxa"/>
            <w:tcBorders>
              <w:top w:val="single" w:sz="6" w:space="0" w:color="auto"/>
              <w:left w:val="single" w:sz="12" w:space="0" w:color="auto"/>
              <w:bottom w:val="single" w:sz="6" w:space="0" w:color="auto"/>
              <w:right w:val="single" w:sz="12" w:space="0" w:color="auto"/>
            </w:tcBorders>
            <w:vAlign w:val="center"/>
          </w:tcPr>
          <w:p w:rsidR="0022308D" w:rsidRDefault="0022308D">
            <w:pPr>
              <w:jc w:val="center"/>
              <w:rPr>
                <w:snapToGrid w:val="0"/>
                <w:color w:val="000000"/>
                <w:sz w:val="26"/>
                <w:szCs w:val="26"/>
              </w:rPr>
            </w:pPr>
            <w:r>
              <w:rPr>
                <w:snapToGrid w:val="0"/>
                <w:color w:val="000000"/>
                <w:sz w:val="26"/>
                <w:szCs w:val="26"/>
              </w:rPr>
              <w:t>10</w:t>
            </w:r>
          </w:p>
        </w:tc>
      </w:tr>
      <w:tr w:rsidR="0022308D">
        <w:trPr>
          <w:trHeight w:val="336"/>
        </w:trPr>
        <w:tc>
          <w:tcPr>
            <w:tcW w:w="1925" w:type="dxa"/>
            <w:tcBorders>
              <w:top w:val="single" w:sz="6" w:space="0" w:color="auto"/>
              <w:left w:val="single" w:sz="12" w:space="0" w:color="auto"/>
              <w:bottom w:val="single" w:sz="12" w:space="0" w:color="auto"/>
              <w:right w:val="single" w:sz="12" w:space="0" w:color="auto"/>
            </w:tcBorders>
          </w:tcPr>
          <w:p w:rsidR="0022308D" w:rsidRDefault="0022308D">
            <w:pPr>
              <w:rPr>
                <w:snapToGrid w:val="0"/>
                <w:color w:val="000000"/>
                <w:sz w:val="26"/>
                <w:szCs w:val="26"/>
              </w:rPr>
            </w:pPr>
            <w:r>
              <w:rPr>
                <w:snapToGrid w:val="0"/>
                <w:color w:val="000000"/>
                <w:sz w:val="26"/>
                <w:szCs w:val="26"/>
              </w:rPr>
              <w:t>Итого</w:t>
            </w:r>
          </w:p>
        </w:tc>
        <w:tc>
          <w:tcPr>
            <w:tcW w:w="2352" w:type="dxa"/>
            <w:tcBorders>
              <w:top w:val="single" w:sz="6" w:space="0" w:color="auto"/>
              <w:left w:val="single" w:sz="12" w:space="0" w:color="auto"/>
              <w:bottom w:val="single" w:sz="12" w:space="0" w:color="auto"/>
              <w:right w:val="single" w:sz="12" w:space="0" w:color="auto"/>
            </w:tcBorders>
            <w:vAlign w:val="center"/>
          </w:tcPr>
          <w:p w:rsidR="0022308D" w:rsidRDefault="0022308D">
            <w:pPr>
              <w:jc w:val="center"/>
              <w:rPr>
                <w:snapToGrid w:val="0"/>
                <w:color w:val="000000"/>
                <w:sz w:val="26"/>
                <w:szCs w:val="26"/>
              </w:rPr>
            </w:pPr>
            <w:r>
              <w:rPr>
                <w:snapToGrid w:val="0"/>
                <w:color w:val="000000"/>
                <w:sz w:val="26"/>
                <w:szCs w:val="26"/>
              </w:rPr>
              <w:t>-</w:t>
            </w:r>
          </w:p>
        </w:tc>
        <w:tc>
          <w:tcPr>
            <w:tcW w:w="1622" w:type="dxa"/>
            <w:tcBorders>
              <w:top w:val="single" w:sz="6" w:space="0" w:color="auto"/>
              <w:left w:val="single" w:sz="12" w:space="0" w:color="auto"/>
              <w:bottom w:val="single" w:sz="12" w:space="0" w:color="auto"/>
              <w:right w:val="single" w:sz="12" w:space="0" w:color="auto"/>
            </w:tcBorders>
            <w:vAlign w:val="center"/>
          </w:tcPr>
          <w:p w:rsidR="0022308D" w:rsidRDefault="0022308D">
            <w:pPr>
              <w:jc w:val="center"/>
              <w:rPr>
                <w:snapToGrid w:val="0"/>
                <w:color w:val="000000"/>
                <w:sz w:val="26"/>
                <w:szCs w:val="26"/>
              </w:rPr>
            </w:pPr>
            <w:r>
              <w:rPr>
                <w:snapToGrid w:val="0"/>
                <w:color w:val="000000"/>
                <w:sz w:val="26"/>
                <w:szCs w:val="26"/>
              </w:rPr>
              <w:t>61,2</w:t>
            </w:r>
          </w:p>
        </w:tc>
        <w:tc>
          <w:tcPr>
            <w:tcW w:w="2333" w:type="dxa"/>
            <w:tcBorders>
              <w:top w:val="single" w:sz="6" w:space="0" w:color="auto"/>
              <w:left w:val="single" w:sz="12" w:space="0" w:color="auto"/>
              <w:bottom w:val="single" w:sz="12" w:space="0" w:color="auto"/>
              <w:right w:val="single" w:sz="12" w:space="0" w:color="auto"/>
            </w:tcBorders>
            <w:vAlign w:val="center"/>
          </w:tcPr>
          <w:p w:rsidR="0022308D" w:rsidRDefault="0022308D">
            <w:pPr>
              <w:jc w:val="center"/>
              <w:rPr>
                <w:snapToGrid w:val="0"/>
                <w:color w:val="000000"/>
                <w:sz w:val="26"/>
                <w:szCs w:val="26"/>
              </w:rPr>
            </w:pPr>
            <w:r>
              <w:rPr>
                <w:snapToGrid w:val="0"/>
                <w:color w:val="000000"/>
                <w:sz w:val="26"/>
                <w:szCs w:val="26"/>
              </w:rPr>
              <w:t>-</w:t>
            </w:r>
          </w:p>
        </w:tc>
        <w:tc>
          <w:tcPr>
            <w:tcW w:w="1622" w:type="dxa"/>
            <w:tcBorders>
              <w:top w:val="single" w:sz="6" w:space="0" w:color="auto"/>
              <w:left w:val="single" w:sz="12" w:space="0" w:color="auto"/>
              <w:bottom w:val="single" w:sz="12" w:space="0" w:color="auto"/>
              <w:right w:val="single" w:sz="12" w:space="0" w:color="auto"/>
            </w:tcBorders>
            <w:vAlign w:val="center"/>
          </w:tcPr>
          <w:p w:rsidR="0022308D" w:rsidRDefault="0022308D">
            <w:pPr>
              <w:jc w:val="center"/>
              <w:rPr>
                <w:snapToGrid w:val="0"/>
                <w:color w:val="000000"/>
                <w:sz w:val="26"/>
                <w:szCs w:val="26"/>
              </w:rPr>
            </w:pPr>
            <w:r>
              <w:rPr>
                <w:snapToGrid w:val="0"/>
                <w:color w:val="000000"/>
                <w:sz w:val="26"/>
                <w:szCs w:val="26"/>
              </w:rPr>
              <w:t>61</w:t>
            </w:r>
          </w:p>
        </w:tc>
      </w:tr>
    </w:tbl>
    <w:p w:rsidR="0022308D" w:rsidRDefault="0022308D">
      <w:pPr>
        <w:spacing w:line="360" w:lineRule="auto"/>
        <w:ind w:firstLine="720"/>
        <w:jc w:val="both"/>
        <w:rPr>
          <w:sz w:val="26"/>
          <w:szCs w:val="26"/>
        </w:rPr>
      </w:pPr>
      <w:r>
        <w:rPr>
          <w:sz w:val="26"/>
          <w:szCs w:val="26"/>
        </w:rPr>
        <w:t>По данным расчетов получается, что анализируемая нами организация относится ко 2 классу (нормального) финансового состояния, но к концу года показатели стали несколько хуже.</w:t>
      </w:r>
    </w:p>
    <w:p w:rsidR="0022308D" w:rsidRDefault="0022308D">
      <w:pPr>
        <w:pStyle w:val="1"/>
        <w:spacing w:before="0" w:line="360" w:lineRule="auto"/>
        <w:jc w:val="center"/>
        <w:rPr>
          <w:sz w:val="26"/>
          <w:szCs w:val="26"/>
        </w:rPr>
      </w:pPr>
      <w:r>
        <w:br w:type="page"/>
      </w:r>
      <w:bookmarkStart w:id="8" w:name="_Toc500177597"/>
      <w:r>
        <w:rPr>
          <w:sz w:val="26"/>
          <w:szCs w:val="26"/>
        </w:rPr>
        <w:t>3. Особенности финансового анализа предприятий                         различных отраслей экономики.</w:t>
      </w:r>
      <w:bookmarkEnd w:id="8"/>
    </w:p>
    <w:p w:rsidR="0022308D" w:rsidRDefault="0022308D">
      <w:pPr>
        <w:pStyle w:val="21"/>
      </w:pPr>
      <w:r>
        <w:t>Цель финансового анализа – оценка прошлой деятельности и положения предприятия на данный момент, а также оценка будущего потенциала предприятия. Для этого применяется множество методик и множество нормативных показателей. Нормативы во многом определяются особенностями той сферы, где занято предприятие. Существуют также различия в выборе обобщающих показателей. Например, для промышленного предприятия обобщающим показателем ликвидности является коэффициент текущей ликвидности, а для торгового – достаточность (излишек или недостаток) источников средств формирования товарных запасов. Я остановлюсь вкратце на трех сферах экономики: промышленности, торговли и банках.</w:t>
      </w:r>
    </w:p>
    <w:p w:rsidR="0022308D" w:rsidRDefault="0022308D">
      <w:pPr>
        <w:spacing w:line="360" w:lineRule="auto"/>
        <w:ind w:firstLine="720"/>
        <w:jc w:val="center"/>
        <w:rPr>
          <w:b/>
          <w:bCs/>
          <w:sz w:val="26"/>
          <w:szCs w:val="26"/>
        </w:rPr>
      </w:pPr>
      <w:r>
        <w:rPr>
          <w:b/>
          <w:bCs/>
          <w:sz w:val="26"/>
          <w:szCs w:val="26"/>
        </w:rPr>
        <w:t>Особенности финансового анализа промышленного предприятия.</w:t>
      </w:r>
    </w:p>
    <w:p w:rsidR="0022308D" w:rsidRDefault="0022308D">
      <w:pPr>
        <w:spacing w:line="360" w:lineRule="auto"/>
        <w:ind w:firstLine="720"/>
        <w:jc w:val="both"/>
        <w:rPr>
          <w:sz w:val="26"/>
          <w:szCs w:val="26"/>
        </w:rPr>
      </w:pPr>
      <w:r>
        <w:rPr>
          <w:sz w:val="26"/>
          <w:szCs w:val="26"/>
        </w:rPr>
        <w:t>Для начала небольшой экскурс в экономику. Финансовое состояние крупных и средних предприятий промышленности России к концу 1998г. можно охарактеризовать как нормальное.</w:t>
      </w:r>
      <w:r>
        <w:rPr>
          <w:sz w:val="26"/>
          <w:szCs w:val="26"/>
          <w:lang w:val="en-US"/>
        </w:rPr>
        <w:t xml:space="preserve"> </w:t>
      </w:r>
      <w:r>
        <w:rPr>
          <w:sz w:val="26"/>
          <w:szCs w:val="26"/>
        </w:rPr>
        <w:t>В 1996 и 1997гг. оно было кризисным. Улучшение финансового состояния к концу 1998г. имело место на предприятиях ТЭК, занимающего примерно 40% в валюте баланса в целом по промышленности России. В других же отраслях промышленности финансовое состояние предприятий остается по-прежнему тяжелым, хотя и просматривается тенденция к незначительному улучшению.</w:t>
      </w:r>
      <w:r>
        <w:rPr>
          <w:sz w:val="26"/>
          <w:szCs w:val="26"/>
          <w:lang w:val="en-US"/>
        </w:rPr>
        <w:t xml:space="preserve"> [13, с.24]</w:t>
      </w:r>
    </w:p>
    <w:p w:rsidR="0022308D" w:rsidRDefault="0022308D">
      <w:pPr>
        <w:spacing w:line="360" w:lineRule="auto"/>
        <w:ind w:firstLine="720"/>
        <w:jc w:val="both"/>
        <w:rPr>
          <w:sz w:val="26"/>
          <w:szCs w:val="26"/>
        </w:rPr>
      </w:pPr>
      <w:r>
        <w:rPr>
          <w:sz w:val="26"/>
          <w:szCs w:val="26"/>
        </w:rPr>
        <w:t>Общая величина собственных источников формирования запасов и затрат ежегодно увеличивается во всех отраслях. В целом по промышленности в 1997г. по сравнению с 1996г. рост составил 131,1%. А рост источников их формирующих, в процентах к величине запасов и затрат в 1996г. – 72%, в 1997г. – 93,8%, в 1998г. – 149,1%, что и подтверждает вывод о преодолении к концу 1998г. кризиса в финансовой сфере на большинстве крупных и средних предприятиях промышленности.</w:t>
      </w:r>
    </w:p>
    <w:p w:rsidR="0022308D" w:rsidRDefault="0022308D">
      <w:pPr>
        <w:spacing w:line="360" w:lineRule="auto"/>
        <w:ind w:firstLine="720"/>
        <w:jc w:val="both"/>
        <w:rPr>
          <w:sz w:val="26"/>
          <w:szCs w:val="26"/>
        </w:rPr>
      </w:pPr>
      <w:r>
        <w:rPr>
          <w:sz w:val="26"/>
          <w:szCs w:val="26"/>
        </w:rPr>
        <w:t xml:space="preserve"> Для оценки финансового положения предприятия применяется система различных показателей. Анализ целесообразно проводить в следующей последовательности: составление таблицы основных финансовых и оперативных показателей, анализ данных показателей в сравнении с показателями предшествующего периода (3-5 лет) или со среднеотраслевыми показателями, определение факторов, влияющих на уровень показателей, составление выводов и формулирование предложений (рекомендаций) по результатам анализа.</w:t>
      </w:r>
    </w:p>
    <w:p w:rsidR="0022308D" w:rsidRDefault="0022308D">
      <w:pPr>
        <w:spacing w:line="360" w:lineRule="auto"/>
        <w:ind w:firstLine="720"/>
        <w:jc w:val="both"/>
        <w:rPr>
          <w:sz w:val="26"/>
          <w:szCs w:val="26"/>
        </w:rPr>
      </w:pPr>
      <w:r>
        <w:rPr>
          <w:sz w:val="26"/>
          <w:szCs w:val="26"/>
        </w:rPr>
        <w:t xml:space="preserve">  В практике применяются различные оперативные и финансовые показатели, позволяющие судить о финансовом положении предприятия и рентабельности его капитала. Я не буду подробно останавливаться на показателях, так как многие из них были рассмотрены подробно во второй главе. Эти показатели можно классифицировать по следующим группам:</w:t>
      </w:r>
    </w:p>
    <w:p w:rsidR="0022308D" w:rsidRDefault="0022308D">
      <w:pPr>
        <w:spacing w:line="360" w:lineRule="auto"/>
        <w:ind w:firstLine="720"/>
        <w:jc w:val="both"/>
        <w:rPr>
          <w:sz w:val="26"/>
          <w:szCs w:val="26"/>
        </w:rPr>
      </w:pPr>
      <w:r>
        <w:rPr>
          <w:b/>
          <w:bCs/>
          <w:sz w:val="26"/>
          <w:szCs w:val="26"/>
        </w:rPr>
        <w:t xml:space="preserve">А. </w:t>
      </w:r>
      <w:r>
        <w:rPr>
          <w:sz w:val="26"/>
          <w:szCs w:val="26"/>
        </w:rPr>
        <w:t>Показатели платежеспособности предприятия – здесь рассчитываются коэффициент покрытия, коэффициент абсолютной ликвидности, коэффициент мобильности оборотного капитала, коэффициент платежеспособности. Формулы и их характеристики были рассмотрены во второй главе.</w:t>
      </w:r>
    </w:p>
    <w:p w:rsidR="0022308D" w:rsidRDefault="0022308D">
      <w:pPr>
        <w:spacing w:line="360" w:lineRule="auto"/>
        <w:ind w:firstLine="720"/>
        <w:jc w:val="both"/>
        <w:rPr>
          <w:sz w:val="26"/>
          <w:szCs w:val="26"/>
        </w:rPr>
      </w:pPr>
      <w:r>
        <w:rPr>
          <w:b/>
          <w:bCs/>
          <w:sz w:val="26"/>
          <w:szCs w:val="26"/>
        </w:rPr>
        <w:t xml:space="preserve">Б. </w:t>
      </w:r>
      <w:r>
        <w:rPr>
          <w:sz w:val="26"/>
          <w:szCs w:val="26"/>
        </w:rPr>
        <w:t>Показатели финансовой устойчивости – это коэффициент соотношения собственных и заемных средств и обратный ему, коэффициент автономии – доля собственного капитала во всем капитале предприятия, доля заемного капитала во всем капитале предприятия. Эти показатели также были рассмотрены во второй главе.</w:t>
      </w:r>
    </w:p>
    <w:p w:rsidR="0022308D" w:rsidRDefault="0022308D">
      <w:pPr>
        <w:spacing w:line="360" w:lineRule="auto"/>
        <w:ind w:firstLine="720"/>
        <w:jc w:val="both"/>
        <w:rPr>
          <w:sz w:val="26"/>
          <w:szCs w:val="26"/>
        </w:rPr>
      </w:pPr>
      <w:r>
        <w:rPr>
          <w:b/>
          <w:bCs/>
          <w:sz w:val="26"/>
          <w:szCs w:val="26"/>
        </w:rPr>
        <w:t xml:space="preserve">В. </w:t>
      </w:r>
      <w:r>
        <w:rPr>
          <w:sz w:val="26"/>
          <w:szCs w:val="26"/>
        </w:rPr>
        <w:t>Показатели финансирования внеоборотных активов. Здесь рассчитываются:</w:t>
      </w:r>
    </w:p>
    <w:p w:rsidR="0022308D" w:rsidRDefault="0022308D">
      <w:pPr>
        <w:pStyle w:val="23"/>
      </w:pPr>
      <w:r>
        <w:t>1. Коэффициент инвестирования показывает, в какой степени внеоборотные активы покрываются собственным капиталом предприятия.</w:t>
      </w:r>
    </w:p>
    <w:p w:rsidR="0022308D" w:rsidRDefault="0022308D">
      <w:pPr>
        <w:pStyle w:val="a8"/>
        <w:ind w:firstLine="709"/>
      </w:pPr>
      <w:r>
        <w:t xml:space="preserve">2. Коэффициент обеспеченности внеоборотных активов собственным капиталом и долгосрочной задолженностью. </w:t>
      </w:r>
    </w:p>
    <w:p w:rsidR="0022308D" w:rsidRDefault="0022308D">
      <w:pPr>
        <w:pStyle w:val="a8"/>
        <w:ind w:firstLine="709"/>
      </w:pPr>
      <w:r>
        <w:rPr>
          <w:b/>
          <w:bCs/>
        </w:rPr>
        <w:t>Г.</w:t>
      </w:r>
      <w:r>
        <w:rPr>
          <w:b/>
          <w:bCs/>
          <w:lang w:val="en-US"/>
        </w:rPr>
        <w:t xml:space="preserve"> </w:t>
      </w:r>
      <w:r>
        <w:t>Показатели интенсивности  использования капитала. Здесь рассчитываются:</w:t>
      </w:r>
    </w:p>
    <w:p w:rsidR="0022308D" w:rsidRDefault="0022308D">
      <w:pPr>
        <w:pStyle w:val="a8"/>
        <w:ind w:firstLine="709"/>
      </w:pPr>
      <w:r>
        <w:t>1.Коэффициент доходности показывает, сколько руб. дохода приходится на 1 руб. капитала.</w:t>
      </w:r>
    </w:p>
    <w:p w:rsidR="0022308D" w:rsidRDefault="0022308D">
      <w:pPr>
        <w:pStyle w:val="a8"/>
        <w:ind w:firstLine="709"/>
      </w:pPr>
      <w:r>
        <w:t>2.Коэффициент рентабельности капитала показывает долю прибыли в капитале предприятия.</w:t>
      </w:r>
    </w:p>
    <w:p w:rsidR="0022308D" w:rsidRDefault="0022308D">
      <w:pPr>
        <w:pStyle w:val="a8"/>
        <w:rPr>
          <w:lang w:val="en-US"/>
        </w:rPr>
      </w:pPr>
      <w:r>
        <w:t>По такому же принципу рассчитываются коэффициенты доходности и рентабельности реализации, то есть выручка или прибыль, которые приходятся на 1 руб. затрат.</w:t>
      </w:r>
      <w:r>
        <w:rPr>
          <w:lang w:val="en-US"/>
        </w:rPr>
        <w:t>[4, с.85]</w:t>
      </w:r>
    </w:p>
    <w:p w:rsidR="0022308D" w:rsidRDefault="0022308D">
      <w:pPr>
        <w:pStyle w:val="a8"/>
        <w:ind w:firstLine="709"/>
      </w:pPr>
      <w:r>
        <w:t xml:space="preserve"> Особое внимание уделяют оценке производственной (основной) деятельности. Здесь оцениваются, прежде всего, показатели, характеризующие эффективность использования ресурсов. Например, показатель ресурсоотдачи характеризует объем реализованной продукции, приходящейся на рубль средств, вложенных в деятельность предприятия. </w:t>
      </w:r>
    </w:p>
    <w:p w:rsidR="0022308D" w:rsidRDefault="0022308D">
      <w:pPr>
        <w:pStyle w:val="a8"/>
        <w:ind w:firstLine="709"/>
      </w:pPr>
      <w:r>
        <w:rPr>
          <w:b/>
          <w:bCs/>
        </w:rPr>
        <w:t xml:space="preserve"> </w:t>
      </w:r>
      <w:r>
        <w:t>Еще одна особенность финансового анализа промышленных предприятий: при анализе финансовой устойчивости может быть применима методика оценки достаточности источников финансирования для формирования материальных оборотных средств (делается предположение о том, что высока доля материальных оборотных средств в активах предприятия). Но такая методика может быть применима не  только к промышленным предприятиям, но и торговым, так как у них тоже высока  доля материальных оборотных средств.</w:t>
      </w:r>
    </w:p>
    <w:p w:rsidR="0022308D" w:rsidRDefault="0022308D">
      <w:pPr>
        <w:pStyle w:val="a8"/>
        <w:ind w:firstLine="709"/>
        <w:jc w:val="center"/>
        <w:rPr>
          <w:b/>
          <w:bCs/>
        </w:rPr>
      </w:pPr>
      <w:r>
        <w:rPr>
          <w:b/>
          <w:bCs/>
        </w:rPr>
        <w:t>Особенности финансового анализа торгового предприятия.</w:t>
      </w:r>
    </w:p>
    <w:p w:rsidR="0022308D" w:rsidRDefault="0022308D">
      <w:pPr>
        <w:pStyle w:val="a8"/>
        <w:ind w:firstLine="709"/>
      </w:pPr>
      <w:r>
        <w:t>Переход к рыночной экономике сильно усложняет процедуры и методы изучения потребительского спроса, что является важным разделом в финансовом анализе.</w:t>
      </w:r>
      <w:r>
        <w:rPr>
          <w:lang w:val="en-US"/>
        </w:rPr>
        <w:t xml:space="preserve">  </w:t>
      </w:r>
      <w:r>
        <w:t>В торговле в большей мере, чем в других отраслях, проявляет себя категория коммерческого риска. Последний зависит прежде всего от постоянной колеблемости спроса и предложения, от несовершенства маркетинговой информации и службы менеджмента. Отсюда трудности с выявлением ситуаций, вызывающих коммерческий риск, определением зоны коммерческого риска; более часты случаи банкротства, поэтому возрастает роль анализа ликвидности баланса торговых предприятий-банкротов.</w:t>
      </w:r>
    </w:p>
    <w:p w:rsidR="0022308D" w:rsidRDefault="0022308D">
      <w:pPr>
        <w:pStyle w:val="a8"/>
        <w:ind w:firstLine="709"/>
      </w:pPr>
      <w:r>
        <w:t xml:space="preserve">Особое место в финансовом анализе торговых предприятий занимает проблема анализа по товарно-групповой издержкоемкости, доходоемкости и рентабельности. В промышленности, как известно, калькулируется себестоимость каждого изделия или группы однородных изделий. В торговле этого нет. Издержки обращения учитываются и анализируются по статьям принятой номенклатуры. Поэтому здесь в отличие от производства не определяется величина затрат живого и овеществленного труда, связанная с реализацией произведенного товара. </w:t>
      </w:r>
    </w:p>
    <w:p w:rsidR="0022308D" w:rsidRDefault="0022308D">
      <w:pPr>
        <w:pStyle w:val="a8"/>
        <w:ind w:firstLine="709"/>
      </w:pPr>
      <w:r>
        <w:t xml:space="preserve">Для определения потоварно-групповой издержкоемкости существуют три метода: метод коэффициентов, метод математического моделирования и метод прямого счета. </w:t>
      </w:r>
    </w:p>
    <w:p w:rsidR="0022308D" w:rsidRDefault="0022308D">
      <w:pPr>
        <w:pStyle w:val="a8"/>
        <w:ind w:firstLine="709"/>
      </w:pPr>
      <w:r>
        <w:t>Метод коэффициентов построен на использовании относительных показателей сравнения (коэффициентов) издержкоемкости товарных групп. Эти коэффициенты рассчитывают по каждой статье номенклатуры издержек обращения. Показатели выражают соотношения между потоварно-групповыми уровнями издержек обращения. Серьезным недостатком этого метода следует считать недостоверность, крайнюю условность получаемых данных о потоварной издержкоемкости.</w:t>
      </w:r>
    </w:p>
    <w:p w:rsidR="0022308D" w:rsidRDefault="0022308D">
      <w:pPr>
        <w:pStyle w:val="a8"/>
        <w:ind w:firstLine="709"/>
      </w:pPr>
      <w:r>
        <w:t>Метод математического моделирования основан на построении математических моделей. Недостатком этого метода является наличие значительной совокупности однородных торговых предприятий, что сейчас крайне затруднено.</w:t>
      </w:r>
    </w:p>
    <w:p w:rsidR="0022308D" w:rsidRDefault="0022308D">
      <w:pPr>
        <w:pStyle w:val="a8"/>
        <w:ind w:firstLine="709"/>
        <w:rPr>
          <w:lang w:val="en-US"/>
        </w:rPr>
      </w:pPr>
      <w:r>
        <w:t xml:space="preserve">Суть метода прямого учета заключается в ведении бухгалтерского учета издержек обращения не только по статьям, но и в членении их по товарным группам. </w:t>
      </w:r>
      <w:r>
        <w:rPr>
          <w:lang w:val="en-US"/>
        </w:rPr>
        <w:t>[3</w:t>
      </w:r>
      <w:r>
        <w:t>,стр.372</w:t>
      </w:r>
      <w:r>
        <w:rPr>
          <w:lang w:val="en-US"/>
        </w:rPr>
        <w:t>]</w:t>
      </w:r>
    </w:p>
    <w:p w:rsidR="0022308D" w:rsidRDefault="0022308D">
      <w:pPr>
        <w:pStyle w:val="a8"/>
        <w:ind w:firstLine="709"/>
      </w:pPr>
      <w:r>
        <w:t>Показатели рентабельности в торговле и их анализ приобретают в условиях рыночных отношений возрастающее значение. Общепринятым в торговле является показатель, отражающий рентабельность лишь к объему розничного товарооборота, что является недостаточным. Поэтому предлагается целая система показателей рентабельности торгового предприятия. Все показатели можно разделить на 4 группы.</w:t>
      </w:r>
    </w:p>
    <w:p w:rsidR="0022308D" w:rsidRDefault="0022308D">
      <w:pPr>
        <w:pStyle w:val="a8"/>
        <w:numPr>
          <w:ilvl w:val="0"/>
          <w:numId w:val="22"/>
        </w:numPr>
        <w:tabs>
          <w:tab w:val="clear" w:pos="360"/>
          <w:tab w:val="num" w:pos="993"/>
        </w:tabs>
        <w:ind w:firstLine="709"/>
      </w:pPr>
      <w:r>
        <w:t>Рентабельность продаж. Здесь выделяют следующие показатели: рентабельность продаж, рентабельность продаж собственников, рентабельность продаж кредиторов, рентабельность продаж всех инвесторов.</w:t>
      </w:r>
    </w:p>
    <w:p w:rsidR="0022308D" w:rsidRDefault="0022308D">
      <w:pPr>
        <w:pStyle w:val="a8"/>
        <w:numPr>
          <w:ilvl w:val="0"/>
          <w:numId w:val="22"/>
        </w:numPr>
        <w:tabs>
          <w:tab w:val="clear" w:pos="360"/>
          <w:tab w:val="num" w:pos="993"/>
        </w:tabs>
        <w:ind w:firstLine="709"/>
      </w:pPr>
      <w:r>
        <w:t>Рентабельность деятельности. В этой группе можно выделить показатели: рентабельность торговой деятельности, рентабельность инвестиционной деятельности, рентабельность финансово-хозяйственной деятельности.</w:t>
      </w:r>
    </w:p>
    <w:p w:rsidR="0022308D" w:rsidRDefault="0022308D">
      <w:pPr>
        <w:pStyle w:val="a8"/>
        <w:numPr>
          <w:ilvl w:val="0"/>
          <w:numId w:val="22"/>
        </w:numPr>
        <w:tabs>
          <w:tab w:val="clear" w:pos="360"/>
          <w:tab w:val="num" w:pos="993"/>
        </w:tabs>
        <w:ind w:firstLine="709"/>
      </w:pPr>
      <w:r>
        <w:t xml:space="preserve"> Рентабельность капитала.  Здесь 4 показателя: рентабельность активов, рентабельность инвестированного капитала, рентабельность собственного капитала, рентабельность заемного капитала.</w:t>
      </w:r>
    </w:p>
    <w:p w:rsidR="0022308D" w:rsidRDefault="0022308D">
      <w:pPr>
        <w:pStyle w:val="a8"/>
        <w:numPr>
          <w:ilvl w:val="0"/>
          <w:numId w:val="22"/>
        </w:numPr>
        <w:tabs>
          <w:tab w:val="clear" w:pos="360"/>
          <w:tab w:val="num" w:pos="993"/>
        </w:tabs>
        <w:ind w:firstLine="709"/>
      </w:pPr>
      <w:r>
        <w:t xml:space="preserve">Рентабельность других ресурсов. Эта группа содержит восемь обобщающих показателей: рентабельность хозяйственных средств, рентабельность экономического потенциала, рентабельность основных средств, прибыльность 1 кв. метра торговой площади, рентабельность оборотных средств, рентабельность средств на оплату труда, рентабельность расходов на оплату труда, прибыльность труда одного работника. </w:t>
      </w:r>
    </w:p>
    <w:p w:rsidR="0022308D" w:rsidRDefault="0022308D">
      <w:pPr>
        <w:pStyle w:val="a8"/>
        <w:ind w:firstLine="709"/>
      </w:pPr>
      <w:r>
        <w:t xml:space="preserve">Помимо отмеченных особенностей финансового анализа торговых предприятий имеется множество других. Например, инвестированный в торговлю капитал отличается от инвестирования в промышленность более высокой оборачиваемостью. При анализе ликвидности рассчитывают несколько показателей, но в качестве обобщающего выбирают один. Если для промышленного предприятия таким показателем является коэффициент текущей ликвидности, то для торгового – достаточность (излишек или недостаток) источников средств формирования товарных запасов. </w:t>
      </w:r>
    </w:p>
    <w:p w:rsidR="0022308D" w:rsidRDefault="0022308D">
      <w:pPr>
        <w:pStyle w:val="a8"/>
        <w:ind w:firstLine="709"/>
      </w:pPr>
      <w:r>
        <w:t>У рассмотренных выше двух отраслей экономики есть немало отличий в проведении финансового анализа, не и не меньше сходства, так как у них одна и та же методика проведения финансового анализа. Рассмотрим сферу экономики, отличную не только в этапах проведения финансового анализа, но и в его методике.</w:t>
      </w:r>
    </w:p>
    <w:p w:rsidR="0022308D" w:rsidRDefault="0022308D">
      <w:pPr>
        <w:pStyle w:val="a8"/>
        <w:ind w:firstLine="709"/>
        <w:jc w:val="center"/>
        <w:rPr>
          <w:b/>
          <w:bCs/>
        </w:rPr>
      </w:pPr>
      <w:r>
        <w:rPr>
          <w:b/>
          <w:bCs/>
        </w:rPr>
        <w:t>Особенности финансового анализа кредитных предприятий.</w:t>
      </w:r>
    </w:p>
    <w:p w:rsidR="0022308D" w:rsidRDefault="0022308D">
      <w:pPr>
        <w:pStyle w:val="a8"/>
        <w:ind w:firstLine="709"/>
      </w:pPr>
      <w:r>
        <w:t>Цель анализа кредитной организации – определение эффективности деятельности и степени надежности банка. Без углубленной оценки финансового состояния кредитной организации Центральный Банк РФ не может обеспечить ни регулирующей, ни надзорной функции.</w:t>
      </w:r>
    </w:p>
    <w:p w:rsidR="0022308D" w:rsidRDefault="0022308D">
      <w:pPr>
        <w:pStyle w:val="a8"/>
        <w:ind w:firstLine="709"/>
      </w:pPr>
      <w:r>
        <w:t xml:space="preserve"> Анализ осуществляется в несколько этапов. Первый – это предварительный этап, когда производится группировка данных, расчет оценочных показателей и их классификация в соответствующие таблицы. Второй – аналитический этап, который позволяет выявить динамику показателей и взаимосвязь между ними. На третьем этапе делаются заключения и даются определенные прогнозы по банку.</w:t>
      </w:r>
    </w:p>
    <w:p w:rsidR="0022308D" w:rsidRDefault="0022308D">
      <w:pPr>
        <w:pStyle w:val="a8"/>
        <w:ind w:firstLine="709"/>
      </w:pPr>
      <w:r>
        <w:t xml:space="preserve">Основные критерии, используемые для оценки финансового состояния банка – достаточность капитала и платежеспособность кредитной организации. </w:t>
      </w:r>
    </w:p>
    <w:p w:rsidR="0022308D" w:rsidRDefault="0022308D">
      <w:pPr>
        <w:pStyle w:val="a8"/>
        <w:ind w:firstLine="709"/>
      </w:pPr>
      <w:r>
        <w:t>При анализе финансового состояния банка используется ежемесячная отчетность, которая состоит из баланса (его иногда называют оборотно-сальдовой ведомостью), отчета о прибылях и убытках и расчета экономических нормативов.</w:t>
      </w:r>
    </w:p>
    <w:p w:rsidR="0022308D" w:rsidRDefault="0022308D">
      <w:pPr>
        <w:pStyle w:val="a8"/>
        <w:ind w:firstLine="709"/>
      </w:pPr>
      <w:r>
        <w:t>Баланс коммерческого банка – бухгалтерский баланса, в котором отражается движение средств по счетам бухгалтерского учета кредитных, расчетных, кассовых и других банковских операций.</w:t>
      </w:r>
    </w:p>
    <w:p w:rsidR="0022308D" w:rsidRDefault="0022308D">
      <w:pPr>
        <w:pStyle w:val="a8"/>
        <w:ind w:firstLine="709"/>
      </w:pPr>
      <w:r>
        <w:t>Баланс банка, в отличие от баланса промышленного предприятия, построен по принципу односторонней группировки счетов. Баланс банка является наиболее информативной отчетной формой, на основании данных которого можно проводить анализ практически с любой периодичностью, так как баланс банка составляется ежедневно. Отчет о прибылях и убытках (форма №2) дополняет баланс и дает расшифровку доходов и расходов банка по видам операций.</w:t>
      </w:r>
    </w:p>
    <w:p w:rsidR="0022308D" w:rsidRDefault="0022308D">
      <w:pPr>
        <w:pStyle w:val="a8"/>
        <w:ind w:firstLine="709"/>
      </w:pPr>
      <w:r>
        <w:t>При проведении анализа структурируют активы и пассивы баланса.</w:t>
      </w:r>
      <w:r>
        <w:rPr>
          <w:lang w:val="en-US"/>
        </w:rPr>
        <w:t xml:space="preserve"> </w:t>
      </w:r>
      <w:r>
        <w:t>Причем формируют брутто-статьи и нетто-статьи, уменьшенные на величину регулирующих, накопительных и транзитных счетов. После этого формируют аналитическую структуру баланса (при определении аналитической структуры пассивов из пассивных группировок вычитают соответствующие активные группировки счетов и наоборот). При этом разность показывается в активе или пассиве (там, где она положительна).</w:t>
      </w:r>
    </w:p>
    <w:p w:rsidR="0022308D" w:rsidRDefault="0022308D">
      <w:pPr>
        <w:pStyle w:val="a8"/>
        <w:ind w:firstLine="709"/>
      </w:pPr>
      <w:r>
        <w:t xml:space="preserve">Далее строится система аналитических коэффициентов. При этом могут быть использованы различные методы. Например, подход </w:t>
      </w:r>
      <w:r>
        <w:rPr>
          <w:b/>
          <w:bCs/>
          <w:i/>
          <w:iCs/>
          <w:lang w:val="en-US"/>
        </w:rPr>
        <w:t>CAMEL</w:t>
      </w:r>
      <w:r>
        <w:rPr>
          <w:b/>
          <w:bCs/>
          <w:i/>
          <w:iCs/>
        </w:rPr>
        <w:t xml:space="preserve">. </w:t>
      </w:r>
      <w:r>
        <w:t>Название метода происходит от начальных букв наименований 5 групп коэффициентов.</w:t>
      </w:r>
    </w:p>
    <w:p w:rsidR="0022308D" w:rsidRDefault="0022308D">
      <w:pPr>
        <w:pStyle w:val="a8"/>
        <w:ind w:firstLine="709"/>
      </w:pPr>
      <w:r>
        <w:rPr>
          <w:b/>
          <w:bCs/>
          <w:i/>
          <w:iCs/>
          <w:lang w:val="en-US"/>
        </w:rPr>
        <w:t xml:space="preserve">C (capital adequacy) – </w:t>
      </w:r>
      <w:r>
        <w:t xml:space="preserve">показатели достаточности капитала, определяющие размер собственного капитала банка, который необходим для гарантии надежности банка для вкладчиков, и соответствие реального размера капитала необходимому. </w:t>
      </w:r>
    </w:p>
    <w:p w:rsidR="0022308D" w:rsidRDefault="0022308D">
      <w:pPr>
        <w:pStyle w:val="a8"/>
        <w:ind w:firstLine="709"/>
      </w:pPr>
      <w:r>
        <w:rPr>
          <w:b/>
          <w:bCs/>
          <w:i/>
          <w:iCs/>
          <w:lang w:val="en-US"/>
        </w:rPr>
        <w:t xml:space="preserve">A (asset quality) – </w:t>
      </w:r>
      <w:r>
        <w:t>показатели качества активов, определяющие степень «возвратности» активов и внебалансовых статей, а также финансовое воздействие проблемных займов.</w:t>
      </w:r>
    </w:p>
    <w:p w:rsidR="0022308D" w:rsidRDefault="0022308D">
      <w:pPr>
        <w:pStyle w:val="a8"/>
        <w:ind w:firstLine="709"/>
      </w:pPr>
      <w:r>
        <w:rPr>
          <w:b/>
          <w:bCs/>
          <w:i/>
          <w:iCs/>
          <w:lang w:val="en-US"/>
        </w:rPr>
        <w:t xml:space="preserve">M (management) – </w:t>
      </w:r>
      <w:r>
        <w:t>показатели оценки качества управления (менеджмента) работой банка, проводимой политики, соблюдение законов и инструкций. В этой группе не предусмотрено использование относительных показателей, но положительно оценивается менеджмент того банка, который имеет достаточный капитал, хорошее качество активов, достаточную прибыль и удовлетворительную ликвидность.</w:t>
      </w:r>
    </w:p>
    <w:p w:rsidR="0022308D" w:rsidRDefault="0022308D">
      <w:pPr>
        <w:pStyle w:val="a8"/>
        <w:ind w:firstLine="709"/>
      </w:pPr>
      <w:r>
        <w:rPr>
          <w:b/>
          <w:bCs/>
          <w:i/>
          <w:iCs/>
          <w:lang w:val="en-US"/>
        </w:rPr>
        <w:t xml:space="preserve">E (earning) – </w:t>
      </w:r>
      <w:r>
        <w:t>показатели доходности (прибыльности) с позиций ее достаточности для будущего роста банка.</w:t>
      </w:r>
    </w:p>
    <w:p w:rsidR="0022308D" w:rsidRDefault="0022308D">
      <w:pPr>
        <w:pStyle w:val="a8"/>
        <w:ind w:firstLine="709"/>
      </w:pPr>
      <w:r>
        <w:rPr>
          <w:b/>
          <w:bCs/>
          <w:i/>
          <w:iCs/>
          <w:lang w:val="en-US"/>
        </w:rPr>
        <w:t xml:space="preserve">L (liquity) – </w:t>
      </w:r>
      <w:r>
        <w:t xml:space="preserve">показатели ликвидности, оценивающие способность банка своевременно выполнять требования о выплатах по обязательствам и готовность удовлетворить потребность в кредите без потерь. </w:t>
      </w:r>
    </w:p>
    <w:p w:rsidR="0022308D" w:rsidRDefault="0022308D">
      <w:pPr>
        <w:pStyle w:val="a8"/>
        <w:ind w:firstLine="709"/>
      </w:pPr>
      <w:r>
        <w:t>В процессе финансового анализа банка рассчитываются и оцениваются показатели ликвидности кредитной организации. Они являются нормативами, установленными Центральным Банком РФ.</w:t>
      </w:r>
    </w:p>
    <w:p w:rsidR="0022308D" w:rsidRDefault="0022308D">
      <w:pPr>
        <w:pStyle w:val="a8"/>
        <w:ind w:firstLine="709"/>
      </w:pPr>
      <w:r>
        <w:t>Для анализа финансового состояния банка необходима информация о:</w:t>
      </w:r>
    </w:p>
    <w:p w:rsidR="0022308D" w:rsidRDefault="0022308D">
      <w:pPr>
        <w:pStyle w:val="a8"/>
        <w:numPr>
          <w:ilvl w:val="0"/>
          <w:numId w:val="19"/>
        </w:numPr>
      </w:pPr>
      <w:r>
        <w:t>соблюдении нормативов ликвидности;</w:t>
      </w:r>
    </w:p>
    <w:p w:rsidR="0022308D" w:rsidRDefault="0022308D">
      <w:pPr>
        <w:pStyle w:val="a8"/>
        <w:numPr>
          <w:ilvl w:val="0"/>
          <w:numId w:val="19"/>
        </w:numPr>
      </w:pPr>
      <w:r>
        <w:t xml:space="preserve">предварительной оценке степени ликвидности баланса. </w:t>
      </w:r>
    </w:p>
    <w:p w:rsidR="0022308D" w:rsidRDefault="0022308D">
      <w:pPr>
        <w:pStyle w:val="a8"/>
        <w:ind w:firstLine="709"/>
      </w:pPr>
      <w:r>
        <w:t xml:space="preserve">Эта информация позволяет более точно определить способность банка выполнять свои обязательства и произвести платежи в течение месяца. </w:t>
      </w:r>
    </w:p>
    <w:p w:rsidR="0022308D" w:rsidRDefault="0022308D">
      <w:pPr>
        <w:pStyle w:val="1"/>
        <w:spacing w:before="0" w:after="120"/>
        <w:jc w:val="center"/>
        <w:rPr>
          <w:sz w:val="26"/>
          <w:szCs w:val="26"/>
        </w:rPr>
      </w:pPr>
      <w:r>
        <w:br w:type="page"/>
      </w:r>
      <w:bookmarkStart w:id="9" w:name="_Toc500177598"/>
      <w:r>
        <w:rPr>
          <w:sz w:val="26"/>
          <w:szCs w:val="26"/>
        </w:rPr>
        <w:t>Заключение.</w:t>
      </w:r>
      <w:bookmarkEnd w:id="9"/>
    </w:p>
    <w:p w:rsidR="0022308D" w:rsidRDefault="0022308D">
      <w:pPr>
        <w:pStyle w:val="9"/>
      </w:pPr>
      <w:r>
        <w:t>Финансовое состояние предприятий характеризует состояние и использование их средств, что отражается в финансовой отчетности.  Основными требованиями к составлению финансовой отчетности являются следующие: она должна давать полное представление об имущественном и финансовом положении организации, об его изменениях, а также финансовых результатах ее деятельности; организацией должна быть обеспечена нейтральность информации в финансовой отчетности.</w:t>
      </w:r>
    </w:p>
    <w:p w:rsidR="0022308D" w:rsidRDefault="0022308D">
      <w:pPr>
        <w:pStyle w:val="9"/>
      </w:pPr>
      <w:r>
        <w:t>Роль финансовой отчетности заключается в том, что она служит основной информационной базой финансового анализа. В составе финансовой отчетности бухгалтерский баланс является наиболее информативной формой для анализа и оценки финансового состояния предприятия. Значение бухгалтерского баланса так велико, что анализ финансового состояния нередко называют анализом баланса.</w:t>
      </w:r>
    </w:p>
    <w:p w:rsidR="0022308D" w:rsidRDefault="0022308D">
      <w:pPr>
        <w:pStyle w:val="21"/>
      </w:pPr>
      <w:r>
        <w:t xml:space="preserve">Финансовое состояние можно оценивать с точки зрения краткосрочной и долгосрочной перспективы. В первом случае критерий оценки финансового состояния – ликвидность и платежеспособность. </w:t>
      </w:r>
    </w:p>
    <w:p w:rsidR="0022308D" w:rsidRDefault="0022308D">
      <w:pPr>
        <w:pStyle w:val="21"/>
      </w:pPr>
      <w:r>
        <w:t>Анализ ликвидности баланса заключается в сравнении средств по активам, сгруппированных по степени их ликвидности и расположенных в порядке убывания ликвидности, с обязательствами по пассиву, сгруппированных по срокам их погашения и расположенных в порядке возрастания сроков.</w:t>
      </w:r>
    </w:p>
    <w:p w:rsidR="0022308D" w:rsidRDefault="0022308D">
      <w:pPr>
        <w:pStyle w:val="21"/>
      </w:pPr>
      <w:r>
        <w:t>Проводимый по изложенной схеме анализ ликвидности баланса является приближенным. Более детальным является анализ платежеспособности при помощи коэффициентов.</w:t>
      </w:r>
    </w:p>
    <w:p w:rsidR="0022308D" w:rsidRDefault="0022308D">
      <w:pPr>
        <w:pStyle w:val="21"/>
      </w:pPr>
      <w:r>
        <w:t>С позиции долгосрочной перспективы финансовое состояние оценивают на основе анализа финансовой устойчивости. Задачей анализа финансовой устойчивости является оценка величины и структуры активов и пассивов. При анализе финансовой устойчивости используют абсолютные и относительные показатели.</w:t>
      </w:r>
    </w:p>
    <w:p w:rsidR="0022308D" w:rsidRDefault="0022308D">
      <w:pPr>
        <w:pStyle w:val="21"/>
      </w:pPr>
      <w:r>
        <w:t xml:space="preserve">Абсолютными показателями финансовой устойчивости являются показатели, характеризующие степень обеспеченности запасов и затрат источниками их формирования. </w:t>
      </w:r>
    </w:p>
    <w:p w:rsidR="0022308D" w:rsidRDefault="0022308D">
      <w:pPr>
        <w:pStyle w:val="21"/>
      </w:pPr>
      <w:r>
        <w:t xml:space="preserve">Относительные показатели финансовой устойчивости делятся на две группы: определяющие состояние оборотных средств и характеризующие состояние основных средств.  </w:t>
      </w:r>
    </w:p>
    <w:p w:rsidR="0022308D" w:rsidRDefault="0022308D">
      <w:pPr>
        <w:pStyle w:val="21"/>
      </w:pPr>
      <w:r>
        <w:t>Анализ финансового состояния заканчивается тем, что на основе рассчитанных показателей проводят комплексную оценку финансового состояния, то есть, определяют к какому классу относится предприятие по своему финансовому положению.</w:t>
      </w:r>
    </w:p>
    <w:p w:rsidR="0022308D" w:rsidRDefault="0022308D">
      <w:pPr>
        <w:pStyle w:val="21"/>
      </w:pPr>
      <w:r>
        <w:t>Однако нормативы, в соответствии с которыми проводят оценку показателей, во многом определяются особенностями той сферы, где занято предприятие.</w:t>
      </w:r>
    </w:p>
    <w:p w:rsidR="0022308D" w:rsidRDefault="0022308D">
      <w:pPr>
        <w:pStyle w:val="21"/>
      </w:pPr>
      <w:r>
        <w:t>В финансовом анализе промышленных предприятий особое внимание уделяют оценке производственной (основной) деятельности. Здесь оцениваются показатели, характеризующие эффективность использования ресурсов.</w:t>
      </w:r>
    </w:p>
    <w:p w:rsidR="0022308D" w:rsidRDefault="0022308D">
      <w:pPr>
        <w:pStyle w:val="21"/>
      </w:pPr>
      <w:r>
        <w:t>В финансовом анализе торгового предприятия особое место занимает проблема анализа по товарно-групповой издержкоемкости, доходоемкости и рентабельности. Показатели рентабельности в торговле приобретают все возрастающее значение.</w:t>
      </w:r>
    </w:p>
    <w:p w:rsidR="0022308D" w:rsidRDefault="0022308D">
      <w:pPr>
        <w:pStyle w:val="21"/>
      </w:pPr>
      <w:r>
        <w:t>Цель анализа кредитной организации – определение эффективности деятельности и степени надежности банка. Основные критерии, по которым оценивается финансовое состояние кредитной организации, - это достаточность капитала и платежеспособность банка.</w:t>
      </w:r>
    </w:p>
    <w:p w:rsidR="0022308D" w:rsidRDefault="0022308D">
      <w:pPr>
        <w:pStyle w:val="21"/>
      </w:pPr>
      <w:r>
        <w:t>Таким образом, финансовое положение предприятия проявляется в его платежеспособности, в способности вовремя удовлетворять платежные требования поставщиков, возвращать кредиты, выплачивать заработную плату рабочим и служащим, вносить платежи в бюджет.</w:t>
      </w:r>
    </w:p>
    <w:p w:rsidR="0022308D" w:rsidRDefault="0022308D">
      <w:pPr>
        <w:pStyle w:val="1"/>
        <w:spacing w:before="0" w:after="120"/>
        <w:jc w:val="center"/>
        <w:rPr>
          <w:sz w:val="26"/>
          <w:szCs w:val="26"/>
        </w:rPr>
      </w:pPr>
      <w:r>
        <w:br w:type="page"/>
      </w:r>
      <w:bookmarkStart w:id="10" w:name="_Toc500177599"/>
      <w:r>
        <w:rPr>
          <w:sz w:val="26"/>
          <w:szCs w:val="26"/>
        </w:rPr>
        <w:t>Список использованной литературы.</w:t>
      </w:r>
      <w:bookmarkEnd w:id="10"/>
    </w:p>
    <w:p w:rsidR="0022308D" w:rsidRDefault="0022308D">
      <w:pPr>
        <w:numPr>
          <w:ilvl w:val="0"/>
          <w:numId w:val="24"/>
        </w:numPr>
        <w:tabs>
          <w:tab w:val="clear" w:pos="360"/>
          <w:tab w:val="num" w:pos="993"/>
        </w:tabs>
        <w:spacing w:line="360" w:lineRule="auto"/>
        <w:ind w:firstLine="720"/>
        <w:jc w:val="both"/>
        <w:rPr>
          <w:sz w:val="26"/>
          <w:szCs w:val="26"/>
        </w:rPr>
      </w:pPr>
      <w:r>
        <w:rPr>
          <w:sz w:val="26"/>
          <w:szCs w:val="26"/>
        </w:rPr>
        <w:t>«Методические рекомендации по разработке финансовой политики предприятия», министерство экономики, приказ №118 от 1.10.1997г.</w:t>
      </w:r>
    </w:p>
    <w:p w:rsidR="0022308D" w:rsidRDefault="0022308D">
      <w:pPr>
        <w:numPr>
          <w:ilvl w:val="0"/>
          <w:numId w:val="24"/>
        </w:numPr>
        <w:tabs>
          <w:tab w:val="clear" w:pos="360"/>
          <w:tab w:val="num" w:pos="993"/>
        </w:tabs>
        <w:spacing w:line="360" w:lineRule="auto"/>
        <w:ind w:firstLine="720"/>
        <w:jc w:val="both"/>
        <w:rPr>
          <w:sz w:val="26"/>
          <w:szCs w:val="26"/>
        </w:rPr>
      </w:pPr>
      <w:r>
        <w:rPr>
          <w:sz w:val="26"/>
          <w:szCs w:val="26"/>
        </w:rPr>
        <w:t>Артеменко В.Г., Беллендир М.В. «Финансовый анализ». – М.: Дис, 1997г.; с.14</w:t>
      </w:r>
    </w:p>
    <w:p w:rsidR="0022308D" w:rsidRDefault="0022308D">
      <w:pPr>
        <w:numPr>
          <w:ilvl w:val="0"/>
          <w:numId w:val="24"/>
        </w:numPr>
        <w:tabs>
          <w:tab w:val="clear" w:pos="360"/>
          <w:tab w:val="num" w:pos="993"/>
        </w:tabs>
        <w:spacing w:line="360" w:lineRule="auto"/>
        <w:ind w:firstLine="720"/>
        <w:jc w:val="both"/>
        <w:rPr>
          <w:sz w:val="26"/>
          <w:szCs w:val="26"/>
        </w:rPr>
      </w:pPr>
      <w:r>
        <w:rPr>
          <w:sz w:val="26"/>
          <w:szCs w:val="26"/>
        </w:rPr>
        <w:t>Баканов М.И., Шеремет А.Д. «Теория экономического анализа». – М.: Финансы и статистика, 1997г., с. 294</w:t>
      </w:r>
    </w:p>
    <w:p w:rsidR="0022308D" w:rsidRDefault="0022308D">
      <w:pPr>
        <w:numPr>
          <w:ilvl w:val="0"/>
          <w:numId w:val="24"/>
        </w:numPr>
        <w:tabs>
          <w:tab w:val="clear" w:pos="360"/>
          <w:tab w:val="num" w:pos="1134"/>
        </w:tabs>
        <w:spacing w:line="360" w:lineRule="auto"/>
        <w:ind w:firstLine="720"/>
        <w:jc w:val="both"/>
        <w:rPr>
          <w:sz w:val="26"/>
          <w:szCs w:val="26"/>
        </w:rPr>
      </w:pPr>
      <w:r>
        <w:rPr>
          <w:sz w:val="26"/>
          <w:szCs w:val="26"/>
        </w:rPr>
        <w:t>Григорьев Ю.А. «Анализ финансового положения производственных предприятий РФ» \\ Консультант, 1997, №4, с. 84-89</w:t>
      </w:r>
    </w:p>
    <w:p w:rsidR="0022308D" w:rsidRDefault="0022308D">
      <w:pPr>
        <w:numPr>
          <w:ilvl w:val="0"/>
          <w:numId w:val="24"/>
        </w:numPr>
        <w:tabs>
          <w:tab w:val="clear" w:pos="360"/>
          <w:tab w:val="num" w:pos="993"/>
        </w:tabs>
        <w:spacing w:line="360" w:lineRule="auto"/>
        <w:ind w:firstLine="720"/>
        <w:jc w:val="both"/>
        <w:rPr>
          <w:sz w:val="26"/>
          <w:szCs w:val="26"/>
        </w:rPr>
      </w:pPr>
      <w:r>
        <w:rPr>
          <w:sz w:val="26"/>
          <w:szCs w:val="26"/>
        </w:rPr>
        <w:t>Донцова Л.В., Никифорова Н.А. «Комплексный анализ бухгалтерской отчетности». – М.: Дело и сервис, 1999г; с.66</w:t>
      </w:r>
    </w:p>
    <w:p w:rsidR="0022308D" w:rsidRDefault="0022308D">
      <w:pPr>
        <w:numPr>
          <w:ilvl w:val="0"/>
          <w:numId w:val="24"/>
        </w:numPr>
        <w:tabs>
          <w:tab w:val="clear" w:pos="360"/>
          <w:tab w:val="num" w:pos="1134"/>
        </w:tabs>
        <w:spacing w:line="360" w:lineRule="auto"/>
        <w:ind w:firstLine="720"/>
        <w:jc w:val="both"/>
        <w:rPr>
          <w:sz w:val="26"/>
          <w:szCs w:val="26"/>
        </w:rPr>
      </w:pPr>
      <w:r>
        <w:rPr>
          <w:sz w:val="26"/>
          <w:szCs w:val="26"/>
        </w:rPr>
        <w:t>Ефимова О.В. «Финансовый анализ». – М.: Бух учет, 1999г., с.56</w:t>
      </w:r>
    </w:p>
    <w:p w:rsidR="0022308D" w:rsidRDefault="0022308D">
      <w:pPr>
        <w:numPr>
          <w:ilvl w:val="0"/>
          <w:numId w:val="24"/>
        </w:numPr>
        <w:tabs>
          <w:tab w:val="clear" w:pos="360"/>
          <w:tab w:val="num" w:pos="1134"/>
        </w:tabs>
        <w:spacing w:line="360" w:lineRule="auto"/>
        <w:ind w:firstLine="720"/>
        <w:jc w:val="both"/>
        <w:rPr>
          <w:sz w:val="26"/>
          <w:szCs w:val="26"/>
        </w:rPr>
      </w:pPr>
      <w:r>
        <w:rPr>
          <w:sz w:val="26"/>
          <w:szCs w:val="26"/>
        </w:rPr>
        <w:t>Ковалев А.И. «Анализ финансового состояния предприятия». – М.: Центр экономики и маркетинга, 1998г., с.68</w:t>
      </w:r>
    </w:p>
    <w:p w:rsidR="0022308D" w:rsidRDefault="0022308D">
      <w:pPr>
        <w:numPr>
          <w:ilvl w:val="0"/>
          <w:numId w:val="24"/>
        </w:numPr>
        <w:tabs>
          <w:tab w:val="clear" w:pos="360"/>
          <w:tab w:val="num" w:pos="993"/>
        </w:tabs>
        <w:spacing w:line="360" w:lineRule="auto"/>
        <w:ind w:firstLine="720"/>
        <w:jc w:val="both"/>
        <w:rPr>
          <w:sz w:val="26"/>
          <w:szCs w:val="26"/>
        </w:rPr>
      </w:pPr>
      <w:r>
        <w:rPr>
          <w:sz w:val="26"/>
          <w:szCs w:val="26"/>
        </w:rPr>
        <w:t>Ковалев В.В. «Анализ хозяйственной деятельности предприятия». – М.: Финансы и статистика, 2000г., с.35</w:t>
      </w:r>
    </w:p>
    <w:p w:rsidR="0022308D" w:rsidRDefault="0022308D">
      <w:pPr>
        <w:numPr>
          <w:ilvl w:val="0"/>
          <w:numId w:val="24"/>
        </w:numPr>
        <w:tabs>
          <w:tab w:val="clear" w:pos="360"/>
          <w:tab w:val="num" w:pos="993"/>
        </w:tabs>
        <w:spacing w:line="360" w:lineRule="auto"/>
        <w:ind w:firstLine="720"/>
        <w:jc w:val="both"/>
        <w:rPr>
          <w:sz w:val="26"/>
          <w:szCs w:val="26"/>
        </w:rPr>
      </w:pPr>
      <w:r>
        <w:rPr>
          <w:sz w:val="26"/>
          <w:szCs w:val="26"/>
        </w:rPr>
        <w:t>Ковалев В.В., Патров В.В. «Как читать баланс». – М.: Финансы и статистика, 1998г., с.199</w:t>
      </w:r>
    </w:p>
    <w:p w:rsidR="0022308D" w:rsidRDefault="0022308D">
      <w:pPr>
        <w:numPr>
          <w:ilvl w:val="0"/>
          <w:numId w:val="24"/>
        </w:numPr>
        <w:tabs>
          <w:tab w:val="clear" w:pos="360"/>
          <w:tab w:val="num" w:pos="1134"/>
        </w:tabs>
        <w:spacing w:line="360" w:lineRule="auto"/>
        <w:ind w:firstLine="720"/>
        <w:jc w:val="both"/>
        <w:rPr>
          <w:sz w:val="26"/>
          <w:szCs w:val="26"/>
        </w:rPr>
      </w:pPr>
      <w:r>
        <w:rPr>
          <w:sz w:val="26"/>
          <w:szCs w:val="26"/>
        </w:rPr>
        <w:t>Крейнина М.Н. «Финансовое состояние предприятия: методы оценки». – М.: Дис, 1998г., с.15</w:t>
      </w:r>
    </w:p>
    <w:p w:rsidR="0022308D" w:rsidRDefault="0022308D">
      <w:pPr>
        <w:numPr>
          <w:ilvl w:val="0"/>
          <w:numId w:val="24"/>
        </w:numPr>
        <w:tabs>
          <w:tab w:val="clear" w:pos="360"/>
          <w:tab w:val="num" w:pos="1134"/>
        </w:tabs>
        <w:spacing w:line="360" w:lineRule="auto"/>
        <w:ind w:firstLine="720"/>
        <w:jc w:val="both"/>
        <w:rPr>
          <w:sz w:val="26"/>
          <w:szCs w:val="26"/>
        </w:rPr>
      </w:pPr>
      <w:r>
        <w:rPr>
          <w:sz w:val="26"/>
          <w:szCs w:val="26"/>
        </w:rPr>
        <w:t>Львов В.С., Иванов В.В. «Финансовый анализ банков и кредитных организаций» \\ Аудит и финансовый анализ, 1997, №1, с.20-63</w:t>
      </w:r>
    </w:p>
    <w:p w:rsidR="0022308D" w:rsidRDefault="0022308D">
      <w:pPr>
        <w:numPr>
          <w:ilvl w:val="0"/>
          <w:numId w:val="24"/>
        </w:numPr>
        <w:tabs>
          <w:tab w:val="clear" w:pos="360"/>
          <w:tab w:val="num" w:pos="1134"/>
        </w:tabs>
        <w:spacing w:line="360" w:lineRule="auto"/>
        <w:ind w:firstLine="720"/>
        <w:jc w:val="both"/>
        <w:rPr>
          <w:sz w:val="26"/>
          <w:szCs w:val="26"/>
        </w:rPr>
      </w:pPr>
      <w:r>
        <w:rPr>
          <w:sz w:val="26"/>
          <w:szCs w:val="26"/>
        </w:rPr>
        <w:t>Мелентьева В. «Анализ рентабельности торговых предприятий» \\ Аудитор, 1999, №9, с.44-58</w:t>
      </w:r>
    </w:p>
    <w:p w:rsidR="0022308D" w:rsidRDefault="0022308D">
      <w:pPr>
        <w:numPr>
          <w:ilvl w:val="0"/>
          <w:numId w:val="24"/>
        </w:numPr>
        <w:tabs>
          <w:tab w:val="clear" w:pos="360"/>
          <w:tab w:val="num" w:pos="1134"/>
        </w:tabs>
        <w:spacing w:line="360" w:lineRule="auto"/>
        <w:ind w:firstLine="720"/>
        <w:jc w:val="both"/>
        <w:rPr>
          <w:sz w:val="26"/>
          <w:szCs w:val="26"/>
        </w:rPr>
      </w:pPr>
      <w:r>
        <w:rPr>
          <w:sz w:val="26"/>
          <w:szCs w:val="26"/>
        </w:rPr>
        <w:t>Подъяблонская А. «О совершенствовании критериев неплатежеспособности отечественных промышленных предприятий» \\ Аудитор, 2000, №4, с.23-31</w:t>
      </w:r>
    </w:p>
    <w:p w:rsidR="0022308D" w:rsidRDefault="0022308D">
      <w:pPr>
        <w:numPr>
          <w:ilvl w:val="0"/>
          <w:numId w:val="24"/>
        </w:numPr>
        <w:tabs>
          <w:tab w:val="clear" w:pos="360"/>
          <w:tab w:val="num" w:pos="1134"/>
        </w:tabs>
        <w:spacing w:line="360" w:lineRule="auto"/>
        <w:ind w:firstLine="720"/>
        <w:jc w:val="both"/>
        <w:rPr>
          <w:sz w:val="26"/>
          <w:szCs w:val="26"/>
        </w:rPr>
      </w:pPr>
      <w:r>
        <w:rPr>
          <w:sz w:val="26"/>
          <w:szCs w:val="26"/>
        </w:rPr>
        <w:t>Русак Н.А. «Финансовый анализ субъекта хозяйствования». – М.: Дело и сервис, 1998г., с.78</w:t>
      </w:r>
    </w:p>
    <w:p w:rsidR="0022308D" w:rsidRDefault="0022308D">
      <w:pPr>
        <w:numPr>
          <w:ilvl w:val="0"/>
          <w:numId w:val="24"/>
        </w:numPr>
        <w:tabs>
          <w:tab w:val="clear" w:pos="360"/>
          <w:tab w:val="num" w:pos="1134"/>
        </w:tabs>
        <w:spacing w:line="360" w:lineRule="auto"/>
        <w:ind w:firstLine="720"/>
        <w:jc w:val="both"/>
        <w:rPr>
          <w:sz w:val="26"/>
          <w:szCs w:val="26"/>
        </w:rPr>
      </w:pPr>
      <w:r>
        <w:rPr>
          <w:sz w:val="26"/>
          <w:szCs w:val="26"/>
        </w:rPr>
        <w:t>Седова И. «Анализ финансового состояния отдельных кредитных организаций, банковской отрасли в целом и совершенствование методики анализа» \\ Аналитический банковский журнал, 2000, №2, с. 44-47</w:t>
      </w:r>
    </w:p>
    <w:p w:rsidR="0022308D" w:rsidRDefault="0022308D">
      <w:pPr>
        <w:numPr>
          <w:ilvl w:val="0"/>
          <w:numId w:val="24"/>
        </w:numPr>
        <w:tabs>
          <w:tab w:val="clear" w:pos="360"/>
          <w:tab w:val="num" w:pos="1134"/>
        </w:tabs>
        <w:spacing w:line="360" w:lineRule="auto"/>
        <w:ind w:firstLine="720"/>
        <w:jc w:val="both"/>
        <w:rPr>
          <w:sz w:val="26"/>
          <w:szCs w:val="26"/>
        </w:rPr>
      </w:pPr>
      <w:r>
        <w:rPr>
          <w:sz w:val="26"/>
          <w:szCs w:val="26"/>
        </w:rPr>
        <w:t>Соколова Г.Н. «Анализ финансовой устойчивости предприятия: методика расчетов» \\ Аудиторские ведомости, 1999, №8, с. 45-58</w:t>
      </w:r>
    </w:p>
    <w:p w:rsidR="0022308D" w:rsidRDefault="0022308D">
      <w:pPr>
        <w:numPr>
          <w:ilvl w:val="0"/>
          <w:numId w:val="24"/>
        </w:numPr>
        <w:tabs>
          <w:tab w:val="clear" w:pos="360"/>
          <w:tab w:val="num" w:pos="1134"/>
        </w:tabs>
        <w:spacing w:line="360" w:lineRule="auto"/>
        <w:ind w:firstLine="720"/>
        <w:jc w:val="both"/>
        <w:rPr>
          <w:sz w:val="26"/>
          <w:szCs w:val="26"/>
        </w:rPr>
      </w:pPr>
      <w:r>
        <w:rPr>
          <w:sz w:val="26"/>
          <w:szCs w:val="26"/>
        </w:rPr>
        <w:t>Фащевский В.Н. «Об анализе платежеспособности и ликвидности предприятия» \\ Бухгалтерский учет, 1997, №11, с.27-29</w:t>
      </w:r>
    </w:p>
    <w:p w:rsidR="0022308D" w:rsidRDefault="0022308D">
      <w:pPr>
        <w:numPr>
          <w:ilvl w:val="0"/>
          <w:numId w:val="24"/>
        </w:numPr>
        <w:tabs>
          <w:tab w:val="clear" w:pos="360"/>
          <w:tab w:val="num" w:pos="1134"/>
        </w:tabs>
        <w:spacing w:line="360" w:lineRule="auto"/>
        <w:ind w:firstLine="720"/>
        <w:jc w:val="both"/>
        <w:rPr>
          <w:sz w:val="26"/>
          <w:szCs w:val="26"/>
        </w:rPr>
      </w:pPr>
      <w:r>
        <w:rPr>
          <w:sz w:val="26"/>
          <w:szCs w:val="26"/>
        </w:rPr>
        <w:t>Шеремет А.Д., Сайфулин Р.С. «Методика финансового анализа». – М.: Инфра-М, 1995г; с. 43</w:t>
      </w:r>
    </w:p>
    <w:p w:rsidR="0022308D" w:rsidRDefault="0022308D">
      <w:pPr>
        <w:pStyle w:val="1"/>
        <w:jc w:val="center"/>
        <w:rPr>
          <w:sz w:val="26"/>
          <w:szCs w:val="26"/>
        </w:rPr>
        <w:sectPr w:rsidR="0022308D">
          <w:headerReference w:type="default" r:id="rId7"/>
          <w:footnotePr>
            <w:numRestart w:val="eachPage"/>
          </w:footnotePr>
          <w:pgSz w:w="11907" w:h="16840"/>
          <w:pgMar w:top="1134" w:right="567" w:bottom="1134" w:left="1418" w:header="720" w:footer="720" w:gutter="0"/>
          <w:pgNumType w:start="3"/>
          <w:cols w:space="720"/>
        </w:sectPr>
      </w:pPr>
      <w:r>
        <w:br w:type="page"/>
      </w:r>
      <w:bookmarkStart w:id="11" w:name="_Toc500177600"/>
      <w:r>
        <w:rPr>
          <w:sz w:val="26"/>
          <w:szCs w:val="26"/>
        </w:rPr>
        <w:t>Приложение</w:t>
      </w:r>
      <w:bookmarkEnd w:id="11"/>
    </w:p>
    <w:p w:rsidR="0022308D" w:rsidRDefault="0022308D">
      <w:pPr>
        <w:pStyle w:val="1"/>
        <w:jc w:val="center"/>
        <w:rPr>
          <w:sz w:val="26"/>
          <w:szCs w:val="26"/>
        </w:rPr>
      </w:pPr>
      <w:bookmarkStart w:id="12" w:name="_Toc500177601"/>
      <w:r>
        <w:rPr>
          <w:sz w:val="26"/>
          <w:szCs w:val="26"/>
        </w:rPr>
        <w:t>Содержание.</w:t>
      </w:r>
      <w:bookmarkEnd w:id="12"/>
    </w:p>
    <w:p w:rsidR="0022308D" w:rsidRDefault="0022308D">
      <w:pPr>
        <w:pStyle w:val="11"/>
      </w:pPr>
      <w:r>
        <w:t>Введение.</w:t>
      </w:r>
      <w:r>
        <w:tab/>
        <w:t>3</w:t>
      </w:r>
    </w:p>
    <w:p w:rsidR="0022308D" w:rsidRDefault="0022308D">
      <w:pPr>
        <w:pStyle w:val="11"/>
      </w:pPr>
      <w:r>
        <w:t>1.Финансовая отчетность.</w:t>
      </w:r>
      <w:r>
        <w:tab/>
        <w:t>4</w:t>
      </w:r>
    </w:p>
    <w:p w:rsidR="0022308D" w:rsidRDefault="0022308D">
      <w:pPr>
        <w:pStyle w:val="25"/>
        <w:tabs>
          <w:tab w:val="right" w:leader="underscore" w:pos="9911"/>
        </w:tabs>
        <w:rPr>
          <w:noProof/>
          <w:sz w:val="26"/>
          <w:szCs w:val="26"/>
        </w:rPr>
      </w:pPr>
      <w:r>
        <w:rPr>
          <w:noProof/>
          <w:sz w:val="26"/>
          <w:szCs w:val="26"/>
        </w:rPr>
        <w:t>1.1 Понятие, состав и пользователи финансовой отчетности</w:t>
      </w:r>
      <w:r>
        <w:rPr>
          <w:noProof/>
          <w:sz w:val="26"/>
          <w:szCs w:val="26"/>
        </w:rPr>
        <w:tab/>
        <w:t>4</w:t>
      </w:r>
    </w:p>
    <w:p w:rsidR="0022308D" w:rsidRDefault="0022308D">
      <w:pPr>
        <w:pStyle w:val="25"/>
        <w:tabs>
          <w:tab w:val="right" w:leader="underscore" w:pos="9911"/>
        </w:tabs>
        <w:rPr>
          <w:noProof/>
          <w:sz w:val="26"/>
          <w:szCs w:val="26"/>
        </w:rPr>
      </w:pPr>
      <w:r>
        <w:rPr>
          <w:noProof/>
          <w:sz w:val="26"/>
          <w:szCs w:val="26"/>
        </w:rPr>
        <w:t>1.2 Роль финансовой отчетности в финансовом анализе</w:t>
      </w:r>
      <w:r>
        <w:rPr>
          <w:noProof/>
          <w:sz w:val="26"/>
          <w:szCs w:val="26"/>
        </w:rPr>
        <w:tab/>
        <w:t>6</w:t>
      </w:r>
    </w:p>
    <w:p w:rsidR="0022308D" w:rsidRDefault="0022308D">
      <w:pPr>
        <w:pStyle w:val="11"/>
      </w:pPr>
      <w:r>
        <w:t>2. Анализ финансового состояния.</w:t>
      </w:r>
      <w:r>
        <w:tab/>
        <w:t>9</w:t>
      </w:r>
    </w:p>
    <w:p w:rsidR="0022308D" w:rsidRDefault="0022308D">
      <w:pPr>
        <w:pStyle w:val="25"/>
        <w:tabs>
          <w:tab w:val="right" w:leader="underscore" w:pos="9911"/>
        </w:tabs>
        <w:rPr>
          <w:noProof/>
          <w:sz w:val="26"/>
          <w:szCs w:val="26"/>
        </w:rPr>
      </w:pPr>
      <w:r>
        <w:rPr>
          <w:noProof/>
          <w:sz w:val="26"/>
          <w:szCs w:val="26"/>
        </w:rPr>
        <w:t>2.1 Методика анализа ликвидности и платежеспособности.</w:t>
      </w:r>
      <w:r>
        <w:rPr>
          <w:noProof/>
          <w:sz w:val="26"/>
          <w:szCs w:val="26"/>
        </w:rPr>
        <w:tab/>
        <w:t>9</w:t>
      </w:r>
    </w:p>
    <w:p w:rsidR="0022308D" w:rsidRDefault="0022308D">
      <w:pPr>
        <w:pStyle w:val="25"/>
        <w:tabs>
          <w:tab w:val="right" w:leader="underscore" w:pos="9911"/>
        </w:tabs>
        <w:rPr>
          <w:noProof/>
          <w:sz w:val="26"/>
          <w:szCs w:val="26"/>
        </w:rPr>
      </w:pPr>
      <w:r>
        <w:rPr>
          <w:noProof/>
          <w:sz w:val="26"/>
          <w:szCs w:val="26"/>
        </w:rPr>
        <w:t>2.2 Анализ финансовой устойчивости.</w:t>
      </w:r>
      <w:r>
        <w:rPr>
          <w:noProof/>
          <w:sz w:val="26"/>
          <w:szCs w:val="26"/>
        </w:rPr>
        <w:tab/>
        <w:t>14</w:t>
      </w:r>
    </w:p>
    <w:p w:rsidR="0022308D" w:rsidRDefault="0022308D">
      <w:pPr>
        <w:pStyle w:val="25"/>
        <w:tabs>
          <w:tab w:val="right" w:leader="underscore" w:pos="9911"/>
        </w:tabs>
        <w:rPr>
          <w:noProof/>
          <w:sz w:val="26"/>
          <w:szCs w:val="26"/>
        </w:rPr>
      </w:pPr>
      <w:r>
        <w:rPr>
          <w:noProof/>
          <w:sz w:val="26"/>
          <w:szCs w:val="26"/>
        </w:rPr>
        <w:t>2.3  Классификация финансового состояния по анализу финансовой отчетности</w:t>
      </w:r>
      <w:r>
        <w:rPr>
          <w:noProof/>
          <w:sz w:val="26"/>
          <w:szCs w:val="26"/>
        </w:rPr>
        <w:tab/>
        <w:t>18</w:t>
      </w:r>
    </w:p>
    <w:p w:rsidR="0022308D" w:rsidRDefault="0022308D">
      <w:pPr>
        <w:pStyle w:val="11"/>
      </w:pPr>
      <w:r>
        <w:t>3.Особенности финансового анализа предприятий различных отраслей экономики</w:t>
      </w:r>
      <w:r>
        <w:tab/>
        <w:t>22</w:t>
      </w:r>
    </w:p>
    <w:p w:rsidR="0022308D" w:rsidRDefault="0022308D">
      <w:pPr>
        <w:pStyle w:val="11"/>
      </w:pPr>
      <w:r>
        <w:t>Заключение.</w:t>
      </w:r>
      <w:r>
        <w:tab/>
        <w:t>28</w:t>
      </w:r>
    </w:p>
    <w:p w:rsidR="0022308D" w:rsidRDefault="0022308D">
      <w:pPr>
        <w:pStyle w:val="11"/>
      </w:pPr>
      <w:r>
        <w:t>Список использованной литературы.</w:t>
      </w:r>
      <w:r>
        <w:tab/>
        <w:t>30</w:t>
      </w:r>
    </w:p>
    <w:p w:rsidR="0022308D" w:rsidRDefault="0022308D">
      <w:pPr>
        <w:pStyle w:val="11"/>
      </w:pPr>
      <w:r>
        <w:t>Приложение</w:t>
      </w:r>
      <w:r>
        <w:tab/>
        <w:t>32</w:t>
      </w:r>
    </w:p>
    <w:p w:rsidR="0022308D" w:rsidRDefault="0022308D">
      <w:pPr>
        <w:rPr>
          <w:sz w:val="26"/>
          <w:szCs w:val="26"/>
        </w:rPr>
      </w:pPr>
      <w:bookmarkStart w:id="13" w:name="_GoBack"/>
      <w:bookmarkEnd w:id="13"/>
    </w:p>
    <w:sectPr w:rsidR="0022308D">
      <w:footnotePr>
        <w:numRestart w:val="eachPage"/>
      </w:footnotePr>
      <w:pgSz w:w="11906" w:h="16838"/>
      <w:pgMar w:top="1134" w:right="567"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32B" w:rsidRDefault="008D532B">
      <w:r>
        <w:separator/>
      </w:r>
    </w:p>
  </w:endnote>
  <w:endnote w:type="continuationSeparator" w:id="0">
    <w:p w:rsidR="008D532B" w:rsidRDefault="008D5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32B" w:rsidRDefault="008D532B">
      <w:r>
        <w:separator/>
      </w:r>
    </w:p>
  </w:footnote>
  <w:footnote w:type="continuationSeparator" w:id="0">
    <w:p w:rsidR="008D532B" w:rsidRDefault="008D532B">
      <w:r>
        <w:continuationSeparator/>
      </w:r>
    </w:p>
  </w:footnote>
  <w:footnote w:id="1">
    <w:p w:rsidR="008D532B" w:rsidRDefault="0022308D">
      <w:pPr>
        <w:pStyle w:val="a5"/>
      </w:pPr>
      <w:r>
        <w:rPr>
          <w:rStyle w:val="a7"/>
          <w:sz w:val="26"/>
          <w:szCs w:val="26"/>
        </w:rPr>
        <w:footnoteRef/>
      </w:r>
      <w:r>
        <w:rPr>
          <w:sz w:val="26"/>
          <w:szCs w:val="26"/>
        </w:rPr>
        <w:t xml:space="preserve"> Закон РФ «О бухгалтерском учете» от 21.11.96г., №129-ФЗ; ст.2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08D" w:rsidRDefault="004A2AB4">
    <w:pPr>
      <w:pStyle w:val="aa"/>
      <w:framePr w:wrap="auto" w:vAnchor="text" w:hAnchor="margin" w:xAlign="right" w:y="1"/>
      <w:rPr>
        <w:rStyle w:val="ac"/>
        <w:sz w:val="26"/>
        <w:szCs w:val="26"/>
      </w:rPr>
    </w:pPr>
    <w:r>
      <w:rPr>
        <w:rStyle w:val="ac"/>
        <w:noProof/>
        <w:sz w:val="26"/>
        <w:szCs w:val="26"/>
      </w:rPr>
      <w:t>3</w:t>
    </w:r>
  </w:p>
  <w:p w:rsidR="0022308D" w:rsidRDefault="0022308D">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20C3F"/>
    <w:multiLevelType w:val="singleLevel"/>
    <w:tmpl w:val="16A0579C"/>
    <w:lvl w:ilvl="0">
      <w:start w:val="1"/>
      <w:numFmt w:val="decimal"/>
      <w:lvlText w:val="%1."/>
      <w:lvlJc w:val="left"/>
      <w:pPr>
        <w:tabs>
          <w:tab w:val="num" w:pos="1069"/>
        </w:tabs>
        <w:ind w:left="1069" w:hanging="360"/>
      </w:pPr>
      <w:rPr>
        <w:rFonts w:hint="default"/>
      </w:rPr>
    </w:lvl>
  </w:abstractNum>
  <w:abstractNum w:abstractNumId="1">
    <w:nsid w:val="07562CD7"/>
    <w:multiLevelType w:val="singleLevel"/>
    <w:tmpl w:val="E3CC94EC"/>
    <w:lvl w:ilvl="0">
      <w:start w:val="1"/>
      <w:numFmt w:val="decimal"/>
      <w:lvlText w:val="%1."/>
      <w:lvlJc w:val="left"/>
      <w:pPr>
        <w:tabs>
          <w:tab w:val="num" w:pos="360"/>
        </w:tabs>
        <w:ind w:left="360" w:hanging="360"/>
      </w:pPr>
      <w:rPr>
        <w:rFonts w:hint="default"/>
        <w:b/>
        <w:bCs/>
      </w:rPr>
    </w:lvl>
  </w:abstractNum>
  <w:abstractNum w:abstractNumId="2">
    <w:nsid w:val="0D286DE0"/>
    <w:multiLevelType w:val="singleLevel"/>
    <w:tmpl w:val="CE1A4C9A"/>
    <w:lvl w:ilvl="0">
      <w:start w:val="1"/>
      <w:numFmt w:val="bullet"/>
      <w:lvlText w:val=""/>
      <w:lvlJc w:val="left"/>
      <w:pPr>
        <w:tabs>
          <w:tab w:val="num" w:pos="360"/>
        </w:tabs>
      </w:pPr>
      <w:rPr>
        <w:rFonts w:ascii="Wingdings" w:hAnsi="Wingdings" w:cs="Wingdings" w:hint="default"/>
        <w:sz w:val="24"/>
        <w:szCs w:val="24"/>
      </w:rPr>
    </w:lvl>
  </w:abstractNum>
  <w:abstractNum w:abstractNumId="3">
    <w:nsid w:val="10316ABB"/>
    <w:multiLevelType w:val="singleLevel"/>
    <w:tmpl w:val="8FA0736A"/>
    <w:lvl w:ilvl="0">
      <w:start w:val="1"/>
      <w:numFmt w:val="bullet"/>
      <w:lvlText w:val=""/>
      <w:lvlJc w:val="left"/>
      <w:pPr>
        <w:tabs>
          <w:tab w:val="num" w:pos="360"/>
        </w:tabs>
      </w:pPr>
      <w:rPr>
        <w:rFonts w:ascii="Wingdings" w:hAnsi="Wingdings" w:cs="Wingdings" w:hint="default"/>
        <w:sz w:val="24"/>
        <w:szCs w:val="24"/>
      </w:rPr>
    </w:lvl>
  </w:abstractNum>
  <w:abstractNum w:abstractNumId="4">
    <w:nsid w:val="162406E8"/>
    <w:multiLevelType w:val="singleLevel"/>
    <w:tmpl w:val="FCA031C2"/>
    <w:lvl w:ilvl="0">
      <w:start w:val="1"/>
      <w:numFmt w:val="bullet"/>
      <w:lvlText w:val=""/>
      <w:lvlJc w:val="left"/>
      <w:pPr>
        <w:tabs>
          <w:tab w:val="num" w:pos="360"/>
        </w:tabs>
      </w:pPr>
      <w:rPr>
        <w:rFonts w:ascii="Wingdings" w:hAnsi="Wingdings" w:cs="Wingdings" w:hint="default"/>
      </w:rPr>
    </w:lvl>
  </w:abstractNum>
  <w:abstractNum w:abstractNumId="5">
    <w:nsid w:val="1AF55B4D"/>
    <w:multiLevelType w:val="singleLevel"/>
    <w:tmpl w:val="4B40537A"/>
    <w:lvl w:ilvl="0">
      <w:start w:val="1"/>
      <w:numFmt w:val="bullet"/>
      <w:lvlText w:val=""/>
      <w:lvlJc w:val="left"/>
      <w:pPr>
        <w:tabs>
          <w:tab w:val="num" w:pos="360"/>
        </w:tabs>
      </w:pPr>
      <w:rPr>
        <w:rFonts w:ascii="Wingdings" w:hAnsi="Wingdings" w:cs="Wingdings" w:hint="default"/>
        <w:sz w:val="26"/>
        <w:szCs w:val="26"/>
      </w:rPr>
    </w:lvl>
  </w:abstractNum>
  <w:abstractNum w:abstractNumId="6">
    <w:nsid w:val="1E277D9F"/>
    <w:multiLevelType w:val="singleLevel"/>
    <w:tmpl w:val="5B2E4690"/>
    <w:lvl w:ilvl="0">
      <w:start w:val="1"/>
      <w:numFmt w:val="decimal"/>
      <w:lvlText w:val="%1."/>
      <w:lvlJc w:val="left"/>
      <w:pPr>
        <w:tabs>
          <w:tab w:val="num" w:pos="360"/>
        </w:tabs>
      </w:pPr>
      <w:rPr>
        <w:rFonts w:hint="default"/>
        <w:b/>
        <w:bCs/>
      </w:rPr>
    </w:lvl>
  </w:abstractNum>
  <w:abstractNum w:abstractNumId="7">
    <w:nsid w:val="24AA460D"/>
    <w:multiLevelType w:val="singleLevel"/>
    <w:tmpl w:val="4C3C1F0E"/>
    <w:lvl w:ilvl="0">
      <w:start w:val="1"/>
      <w:numFmt w:val="decimal"/>
      <w:lvlText w:val="%1."/>
      <w:lvlJc w:val="left"/>
      <w:pPr>
        <w:tabs>
          <w:tab w:val="num" w:pos="360"/>
        </w:tabs>
        <w:ind w:left="360" w:hanging="360"/>
      </w:pPr>
      <w:rPr>
        <w:rFonts w:hint="default"/>
      </w:rPr>
    </w:lvl>
  </w:abstractNum>
  <w:abstractNum w:abstractNumId="8">
    <w:nsid w:val="2D567853"/>
    <w:multiLevelType w:val="singleLevel"/>
    <w:tmpl w:val="AF7489DA"/>
    <w:lvl w:ilvl="0">
      <w:start w:val="1"/>
      <w:numFmt w:val="decimal"/>
      <w:lvlText w:val="%1."/>
      <w:lvlJc w:val="left"/>
      <w:pPr>
        <w:tabs>
          <w:tab w:val="num" w:pos="1069"/>
        </w:tabs>
        <w:ind w:left="1069" w:hanging="360"/>
      </w:pPr>
      <w:rPr>
        <w:rFonts w:hint="default"/>
      </w:rPr>
    </w:lvl>
  </w:abstractNum>
  <w:abstractNum w:abstractNumId="9">
    <w:nsid w:val="34142032"/>
    <w:multiLevelType w:val="singleLevel"/>
    <w:tmpl w:val="65804E96"/>
    <w:lvl w:ilvl="0">
      <w:start w:val="1"/>
      <w:numFmt w:val="bullet"/>
      <w:lvlText w:val=""/>
      <w:lvlJc w:val="left"/>
      <w:pPr>
        <w:tabs>
          <w:tab w:val="num" w:pos="360"/>
        </w:tabs>
      </w:pPr>
      <w:rPr>
        <w:rFonts w:ascii="Wingdings" w:hAnsi="Wingdings" w:cs="Wingdings" w:hint="default"/>
        <w:color w:val="auto"/>
        <w:sz w:val="28"/>
        <w:szCs w:val="28"/>
      </w:rPr>
    </w:lvl>
  </w:abstractNum>
  <w:abstractNum w:abstractNumId="10">
    <w:nsid w:val="3C66634E"/>
    <w:multiLevelType w:val="singleLevel"/>
    <w:tmpl w:val="2D7662F2"/>
    <w:lvl w:ilvl="0">
      <w:start w:val="1"/>
      <w:numFmt w:val="bullet"/>
      <w:lvlText w:val=""/>
      <w:lvlJc w:val="left"/>
      <w:pPr>
        <w:tabs>
          <w:tab w:val="num" w:pos="360"/>
        </w:tabs>
      </w:pPr>
      <w:rPr>
        <w:rFonts w:ascii="Wingdings" w:hAnsi="Wingdings" w:cs="Wingdings" w:hint="default"/>
        <w:sz w:val="26"/>
        <w:szCs w:val="26"/>
      </w:rPr>
    </w:lvl>
  </w:abstractNum>
  <w:abstractNum w:abstractNumId="11">
    <w:nsid w:val="42660990"/>
    <w:multiLevelType w:val="singleLevel"/>
    <w:tmpl w:val="07268E2E"/>
    <w:lvl w:ilvl="0">
      <w:start w:val="1"/>
      <w:numFmt w:val="decimal"/>
      <w:lvlText w:val="%1."/>
      <w:lvlJc w:val="left"/>
      <w:pPr>
        <w:tabs>
          <w:tab w:val="num" w:pos="1069"/>
        </w:tabs>
        <w:ind w:left="1069" w:hanging="360"/>
      </w:pPr>
      <w:rPr>
        <w:rFonts w:hint="default"/>
      </w:rPr>
    </w:lvl>
  </w:abstractNum>
  <w:abstractNum w:abstractNumId="12">
    <w:nsid w:val="449B396E"/>
    <w:multiLevelType w:val="singleLevel"/>
    <w:tmpl w:val="E5E4E936"/>
    <w:lvl w:ilvl="0">
      <w:start w:val="1"/>
      <w:numFmt w:val="decimal"/>
      <w:lvlText w:val="%1."/>
      <w:lvlJc w:val="left"/>
      <w:pPr>
        <w:tabs>
          <w:tab w:val="num" w:pos="1069"/>
        </w:tabs>
        <w:ind w:left="1069" w:hanging="360"/>
      </w:pPr>
      <w:rPr>
        <w:rFonts w:hint="default"/>
      </w:rPr>
    </w:lvl>
  </w:abstractNum>
  <w:abstractNum w:abstractNumId="13">
    <w:nsid w:val="45C71C89"/>
    <w:multiLevelType w:val="singleLevel"/>
    <w:tmpl w:val="30E2BE00"/>
    <w:lvl w:ilvl="0">
      <w:start w:val="1"/>
      <w:numFmt w:val="bullet"/>
      <w:lvlText w:val=""/>
      <w:lvlJc w:val="left"/>
      <w:pPr>
        <w:tabs>
          <w:tab w:val="num" w:pos="360"/>
        </w:tabs>
      </w:pPr>
      <w:rPr>
        <w:rFonts w:ascii="Wingdings" w:hAnsi="Wingdings" w:cs="Wingdings" w:hint="default"/>
        <w:sz w:val="24"/>
        <w:szCs w:val="24"/>
      </w:rPr>
    </w:lvl>
  </w:abstractNum>
  <w:abstractNum w:abstractNumId="14">
    <w:nsid w:val="55CD6BBD"/>
    <w:multiLevelType w:val="singleLevel"/>
    <w:tmpl w:val="E14E1658"/>
    <w:lvl w:ilvl="0">
      <w:start w:val="1"/>
      <w:numFmt w:val="bullet"/>
      <w:lvlText w:val=""/>
      <w:lvlJc w:val="left"/>
      <w:pPr>
        <w:tabs>
          <w:tab w:val="num" w:pos="360"/>
        </w:tabs>
      </w:pPr>
      <w:rPr>
        <w:rFonts w:ascii="Wingdings" w:hAnsi="Wingdings" w:cs="Wingdings" w:hint="default"/>
        <w:sz w:val="24"/>
        <w:szCs w:val="24"/>
      </w:rPr>
    </w:lvl>
  </w:abstractNum>
  <w:abstractNum w:abstractNumId="15">
    <w:nsid w:val="5A2A4642"/>
    <w:multiLevelType w:val="multilevel"/>
    <w:tmpl w:val="4532083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55"/>
        </w:tabs>
        <w:ind w:left="555" w:hanging="55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6">
    <w:nsid w:val="5DBA01BD"/>
    <w:multiLevelType w:val="singleLevel"/>
    <w:tmpl w:val="C3620816"/>
    <w:lvl w:ilvl="0">
      <w:start w:val="1"/>
      <w:numFmt w:val="decimal"/>
      <w:lvlText w:val="%1)"/>
      <w:lvlJc w:val="left"/>
      <w:pPr>
        <w:tabs>
          <w:tab w:val="num" w:pos="1095"/>
        </w:tabs>
        <w:ind w:left="1095" w:hanging="375"/>
      </w:pPr>
      <w:rPr>
        <w:rFonts w:hint="default"/>
      </w:rPr>
    </w:lvl>
  </w:abstractNum>
  <w:abstractNum w:abstractNumId="17">
    <w:nsid w:val="61A12631"/>
    <w:multiLevelType w:val="singleLevel"/>
    <w:tmpl w:val="0FF0E7DE"/>
    <w:lvl w:ilvl="0">
      <w:start w:val="1"/>
      <w:numFmt w:val="bullet"/>
      <w:lvlText w:val=""/>
      <w:lvlJc w:val="left"/>
      <w:pPr>
        <w:tabs>
          <w:tab w:val="num" w:pos="360"/>
        </w:tabs>
      </w:pPr>
      <w:rPr>
        <w:rFonts w:ascii="Wingdings" w:hAnsi="Wingdings" w:cs="Wingdings" w:hint="default"/>
        <w:sz w:val="28"/>
        <w:szCs w:val="28"/>
      </w:rPr>
    </w:lvl>
  </w:abstractNum>
  <w:abstractNum w:abstractNumId="18">
    <w:nsid w:val="6FC8157B"/>
    <w:multiLevelType w:val="singleLevel"/>
    <w:tmpl w:val="5AA4ABE4"/>
    <w:lvl w:ilvl="0">
      <w:start w:val="1"/>
      <w:numFmt w:val="decimal"/>
      <w:lvlText w:val="%1."/>
      <w:lvlJc w:val="left"/>
      <w:pPr>
        <w:tabs>
          <w:tab w:val="num" w:pos="360"/>
        </w:tabs>
      </w:pPr>
    </w:lvl>
  </w:abstractNum>
  <w:abstractNum w:abstractNumId="19">
    <w:nsid w:val="7005378F"/>
    <w:multiLevelType w:val="singleLevel"/>
    <w:tmpl w:val="694E2CF8"/>
    <w:lvl w:ilvl="0">
      <w:start w:val="1"/>
      <w:numFmt w:val="decimal"/>
      <w:lvlText w:val="%1)"/>
      <w:lvlJc w:val="left"/>
      <w:pPr>
        <w:tabs>
          <w:tab w:val="num" w:pos="1080"/>
        </w:tabs>
        <w:ind w:left="1080" w:hanging="360"/>
      </w:pPr>
      <w:rPr>
        <w:rFonts w:hint="default"/>
      </w:rPr>
    </w:lvl>
  </w:abstractNum>
  <w:abstractNum w:abstractNumId="20">
    <w:nsid w:val="712B5D46"/>
    <w:multiLevelType w:val="singleLevel"/>
    <w:tmpl w:val="2D7662F2"/>
    <w:lvl w:ilvl="0">
      <w:start w:val="1"/>
      <w:numFmt w:val="bullet"/>
      <w:lvlText w:val=""/>
      <w:lvlJc w:val="left"/>
      <w:pPr>
        <w:tabs>
          <w:tab w:val="num" w:pos="360"/>
        </w:tabs>
      </w:pPr>
      <w:rPr>
        <w:rFonts w:ascii="Wingdings" w:hAnsi="Wingdings" w:cs="Wingdings" w:hint="default"/>
        <w:sz w:val="26"/>
        <w:szCs w:val="26"/>
      </w:rPr>
    </w:lvl>
  </w:abstractNum>
  <w:abstractNum w:abstractNumId="21">
    <w:nsid w:val="7868103D"/>
    <w:multiLevelType w:val="singleLevel"/>
    <w:tmpl w:val="C9A42BDC"/>
    <w:lvl w:ilvl="0">
      <w:start w:val="1"/>
      <w:numFmt w:val="bullet"/>
      <w:lvlText w:val=""/>
      <w:lvlJc w:val="left"/>
      <w:pPr>
        <w:tabs>
          <w:tab w:val="num" w:pos="360"/>
        </w:tabs>
      </w:pPr>
      <w:rPr>
        <w:rFonts w:ascii="Wingdings" w:hAnsi="Wingdings" w:cs="Wingdings" w:hint="default"/>
        <w:sz w:val="24"/>
        <w:szCs w:val="24"/>
      </w:rPr>
    </w:lvl>
  </w:abstractNum>
  <w:abstractNum w:abstractNumId="22">
    <w:nsid w:val="7A601789"/>
    <w:multiLevelType w:val="singleLevel"/>
    <w:tmpl w:val="4B40537A"/>
    <w:lvl w:ilvl="0">
      <w:start w:val="1"/>
      <w:numFmt w:val="bullet"/>
      <w:lvlText w:val=""/>
      <w:lvlJc w:val="left"/>
      <w:pPr>
        <w:tabs>
          <w:tab w:val="num" w:pos="360"/>
        </w:tabs>
      </w:pPr>
      <w:rPr>
        <w:rFonts w:ascii="Wingdings" w:hAnsi="Wingdings" w:cs="Wingdings" w:hint="default"/>
        <w:sz w:val="26"/>
        <w:szCs w:val="26"/>
      </w:rPr>
    </w:lvl>
  </w:abstractNum>
  <w:abstractNum w:abstractNumId="23">
    <w:nsid w:val="7F275A83"/>
    <w:multiLevelType w:val="singleLevel"/>
    <w:tmpl w:val="3DFEB174"/>
    <w:lvl w:ilvl="0">
      <w:start w:val="1"/>
      <w:numFmt w:val="decimal"/>
      <w:lvlText w:val="%1."/>
      <w:lvlJc w:val="left"/>
      <w:pPr>
        <w:tabs>
          <w:tab w:val="num" w:pos="1069"/>
        </w:tabs>
        <w:ind w:left="1069" w:hanging="360"/>
      </w:pPr>
      <w:rPr>
        <w:rFonts w:hint="default"/>
      </w:rPr>
    </w:lvl>
  </w:abstractNum>
  <w:num w:numId="1">
    <w:abstractNumId w:val="16"/>
  </w:num>
  <w:num w:numId="2">
    <w:abstractNumId w:val="4"/>
  </w:num>
  <w:num w:numId="3">
    <w:abstractNumId w:val="9"/>
  </w:num>
  <w:num w:numId="4">
    <w:abstractNumId w:val="15"/>
  </w:num>
  <w:num w:numId="5">
    <w:abstractNumId w:val="3"/>
  </w:num>
  <w:num w:numId="6">
    <w:abstractNumId w:val="21"/>
  </w:num>
  <w:num w:numId="7">
    <w:abstractNumId w:val="13"/>
  </w:num>
  <w:num w:numId="8">
    <w:abstractNumId w:val="14"/>
  </w:num>
  <w:num w:numId="9">
    <w:abstractNumId w:val="0"/>
  </w:num>
  <w:num w:numId="10">
    <w:abstractNumId w:val="8"/>
  </w:num>
  <w:num w:numId="11">
    <w:abstractNumId w:val="17"/>
  </w:num>
  <w:num w:numId="12">
    <w:abstractNumId w:val="2"/>
  </w:num>
  <w:num w:numId="13">
    <w:abstractNumId w:val="19"/>
  </w:num>
  <w:num w:numId="14">
    <w:abstractNumId w:val="12"/>
  </w:num>
  <w:num w:numId="15">
    <w:abstractNumId w:val="22"/>
  </w:num>
  <w:num w:numId="16">
    <w:abstractNumId w:val="5"/>
  </w:num>
  <w:num w:numId="17">
    <w:abstractNumId w:val="10"/>
  </w:num>
  <w:num w:numId="18">
    <w:abstractNumId w:val="20"/>
  </w:num>
  <w:num w:numId="19">
    <w:abstractNumId w:val="11"/>
  </w:num>
  <w:num w:numId="20">
    <w:abstractNumId w:val="1"/>
  </w:num>
  <w:num w:numId="21">
    <w:abstractNumId w:val="7"/>
  </w:num>
  <w:num w:numId="22">
    <w:abstractNumId w:val="6"/>
  </w:num>
  <w:num w:numId="23">
    <w:abstractNumId w:val="23"/>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308D"/>
    <w:rsid w:val="0022308D"/>
    <w:rsid w:val="004A2AB4"/>
    <w:rsid w:val="007A0BB6"/>
    <w:rsid w:val="008D532B"/>
    <w:rsid w:val="00DA7C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chartTrackingRefBased/>
  <w15:docId w15:val="{60621B81-8170-4D59-9B89-3C71AF859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rPr>
  </w:style>
  <w:style w:type="paragraph" w:styleId="2">
    <w:name w:val="heading 2"/>
    <w:basedOn w:val="a"/>
    <w:next w:val="a"/>
    <w:link w:val="20"/>
    <w:uiPriority w:val="99"/>
    <w:qFormat/>
    <w:pPr>
      <w:keepNext/>
      <w:spacing w:before="240" w:after="60"/>
      <w:outlineLvl w:val="1"/>
    </w:pPr>
    <w:rPr>
      <w:rFonts w:ascii="Arial" w:hAnsi="Arial" w:cs="Arial"/>
      <w:b/>
      <w:bCs/>
      <w:i/>
      <w:iCs/>
      <w:sz w:val="24"/>
      <w:szCs w:val="24"/>
    </w:rPr>
  </w:style>
  <w:style w:type="paragraph" w:styleId="3">
    <w:name w:val="heading 3"/>
    <w:basedOn w:val="a"/>
    <w:next w:val="a"/>
    <w:link w:val="30"/>
    <w:uiPriority w:val="99"/>
    <w:qFormat/>
    <w:pPr>
      <w:keepNext/>
      <w:spacing w:line="360" w:lineRule="auto"/>
      <w:ind w:firstLine="720"/>
      <w:jc w:val="center"/>
      <w:outlineLvl w:val="2"/>
    </w:pPr>
    <w:rPr>
      <w:sz w:val="26"/>
      <w:szCs w:val="26"/>
    </w:rPr>
  </w:style>
  <w:style w:type="paragraph" w:styleId="4">
    <w:name w:val="heading 4"/>
    <w:basedOn w:val="a"/>
    <w:next w:val="a"/>
    <w:link w:val="40"/>
    <w:uiPriority w:val="99"/>
    <w:qFormat/>
    <w:pPr>
      <w:keepNext/>
      <w:jc w:val="center"/>
      <w:outlineLvl w:val="3"/>
    </w:pPr>
    <w:rPr>
      <w:color w:val="000000"/>
      <w:sz w:val="24"/>
      <w:szCs w:val="24"/>
    </w:rPr>
  </w:style>
  <w:style w:type="paragraph" w:styleId="5">
    <w:name w:val="heading 5"/>
    <w:basedOn w:val="a"/>
    <w:next w:val="a"/>
    <w:link w:val="50"/>
    <w:uiPriority w:val="99"/>
    <w:qFormat/>
    <w:pPr>
      <w:keepNext/>
      <w:spacing w:line="360" w:lineRule="auto"/>
      <w:ind w:firstLine="720"/>
      <w:jc w:val="right"/>
      <w:outlineLvl w:val="4"/>
    </w:pPr>
    <w:rPr>
      <w:i/>
      <w:iCs/>
      <w:sz w:val="26"/>
      <w:szCs w:val="26"/>
    </w:rPr>
  </w:style>
  <w:style w:type="paragraph" w:styleId="6">
    <w:name w:val="heading 6"/>
    <w:basedOn w:val="a"/>
    <w:next w:val="a"/>
    <w:link w:val="60"/>
    <w:uiPriority w:val="99"/>
    <w:qFormat/>
    <w:pPr>
      <w:keepNext/>
      <w:jc w:val="center"/>
      <w:outlineLvl w:val="5"/>
    </w:pPr>
    <w:rPr>
      <w:color w:val="000000"/>
      <w:sz w:val="26"/>
      <w:szCs w:val="26"/>
    </w:rPr>
  </w:style>
  <w:style w:type="paragraph" w:styleId="7">
    <w:name w:val="heading 7"/>
    <w:basedOn w:val="a"/>
    <w:next w:val="a"/>
    <w:link w:val="70"/>
    <w:uiPriority w:val="99"/>
    <w:qFormat/>
    <w:pPr>
      <w:keepNext/>
      <w:spacing w:line="360" w:lineRule="auto"/>
      <w:jc w:val="both"/>
      <w:outlineLvl w:val="6"/>
    </w:pPr>
    <w:rPr>
      <w:sz w:val="26"/>
      <w:szCs w:val="26"/>
    </w:rPr>
  </w:style>
  <w:style w:type="paragraph" w:styleId="8">
    <w:name w:val="heading 8"/>
    <w:basedOn w:val="a"/>
    <w:next w:val="a"/>
    <w:link w:val="80"/>
    <w:uiPriority w:val="99"/>
    <w:qFormat/>
    <w:pPr>
      <w:keepNext/>
      <w:spacing w:line="360" w:lineRule="auto"/>
      <w:ind w:firstLine="709"/>
      <w:jc w:val="right"/>
      <w:outlineLvl w:val="7"/>
    </w:pPr>
    <w:rPr>
      <w:i/>
      <w:iCs/>
      <w:sz w:val="26"/>
      <w:szCs w:val="26"/>
    </w:rPr>
  </w:style>
  <w:style w:type="paragraph" w:styleId="9">
    <w:name w:val="heading 9"/>
    <w:basedOn w:val="a"/>
    <w:next w:val="a"/>
    <w:link w:val="90"/>
    <w:uiPriority w:val="99"/>
    <w:qFormat/>
    <w:pPr>
      <w:keepNext/>
      <w:spacing w:line="360" w:lineRule="auto"/>
      <w:ind w:firstLine="720"/>
      <w:jc w:val="both"/>
      <w:outlineLvl w:val="8"/>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21">
    <w:name w:val="Body Text 2"/>
    <w:basedOn w:val="a"/>
    <w:link w:val="22"/>
    <w:uiPriority w:val="99"/>
    <w:pPr>
      <w:spacing w:line="360" w:lineRule="auto"/>
      <w:ind w:firstLine="720"/>
      <w:jc w:val="both"/>
    </w:pPr>
    <w:rPr>
      <w:sz w:val="26"/>
      <w:szCs w:val="26"/>
    </w:rPr>
  </w:style>
  <w:style w:type="character" w:customStyle="1" w:styleId="22">
    <w:name w:val="Основной текст 2 Знак"/>
    <w:link w:val="21"/>
    <w:uiPriority w:val="99"/>
    <w:semiHidden/>
    <w:rPr>
      <w:sz w:val="20"/>
      <w:szCs w:val="20"/>
    </w:rPr>
  </w:style>
  <w:style w:type="paragraph" w:styleId="23">
    <w:name w:val="Body Text Indent 2"/>
    <w:basedOn w:val="a"/>
    <w:link w:val="24"/>
    <w:uiPriority w:val="99"/>
    <w:pPr>
      <w:spacing w:line="360" w:lineRule="auto"/>
      <w:ind w:firstLine="709"/>
      <w:jc w:val="both"/>
    </w:pPr>
    <w:rPr>
      <w:sz w:val="26"/>
      <w:szCs w:val="26"/>
    </w:rPr>
  </w:style>
  <w:style w:type="character" w:customStyle="1" w:styleId="24">
    <w:name w:val="Основной текст с отступом 2 Знак"/>
    <w:link w:val="23"/>
    <w:uiPriority w:val="99"/>
    <w:semiHidden/>
    <w:rPr>
      <w:sz w:val="20"/>
      <w:szCs w:val="20"/>
    </w:rPr>
  </w:style>
  <w:style w:type="paragraph" w:styleId="a3">
    <w:name w:val="Document Map"/>
    <w:basedOn w:val="a"/>
    <w:link w:val="a4"/>
    <w:uiPriority w:val="99"/>
    <w:semiHidden/>
    <w:pPr>
      <w:shd w:val="clear" w:color="auto" w:fill="000080"/>
    </w:pPr>
    <w:rPr>
      <w:rFonts w:ascii="Tahoma" w:hAnsi="Tahoma" w:cs="Tahoma"/>
    </w:rPr>
  </w:style>
  <w:style w:type="character" w:customStyle="1" w:styleId="a4">
    <w:name w:val="Схема документа Знак"/>
    <w:link w:val="a3"/>
    <w:uiPriority w:val="99"/>
    <w:semiHidden/>
    <w:rPr>
      <w:rFonts w:ascii="Tahoma" w:hAnsi="Tahoma" w:cs="Tahoma"/>
      <w:sz w:val="16"/>
      <w:szCs w:val="16"/>
    </w:rPr>
  </w:style>
  <w:style w:type="paragraph" w:styleId="a5">
    <w:name w:val="footnote text"/>
    <w:basedOn w:val="a"/>
    <w:link w:val="a6"/>
    <w:uiPriority w:val="99"/>
    <w:semiHidden/>
  </w:style>
  <w:style w:type="character" w:customStyle="1" w:styleId="a6">
    <w:name w:val="Текст сноски Знак"/>
    <w:link w:val="a5"/>
    <w:uiPriority w:val="99"/>
    <w:semiHidden/>
    <w:rPr>
      <w:sz w:val="20"/>
      <w:szCs w:val="20"/>
    </w:rPr>
  </w:style>
  <w:style w:type="character" w:styleId="a7">
    <w:name w:val="footnote reference"/>
    <w:uiPriority w:val="99"/>
    <w:semiHidden/>
    <w:rPr>
      <w:vertAlign w:val="superscript"/>
    </w:rPr>
  </w:style>
  <w:style w:type="paragraph" w:styleId="31">
    <w:name w:val="Body Text Indent 3"/>
    <w:basedOn w:val="a"/>
    <w:link w:val="32"/>
    <w:uiPriority w:val="99"/>
    <w:pPr>
      <w:spacing w:line="480" w:lineRule="auto"/>
      <w:ind w:firstLine="720"/>
    </w:pPr>
    <w:rPr>
      <w:sz w:val="26"/>
      <w:szCs w:val="26"/>
    </w:rPr>
  </w:style>
  <w:style w:type="character" w:customStyle="1" w:styleId="32">
    <w:name w:val="Основной текст с отступом 3 Знак"/>
    <w:link w:val="31"/>
    <w:uiPriority w:val="99"/>
    <w:semiHidden/>
    <w:rPr>
      <w:sz w:val="16"/>
      <w:szCs w:val="16"/>
    </w:rPr>
  </w:style>
  <w:style w:type="paragraph" w:styleId="a8">
    <w:name w:val="Body Text"/>
    <w:basedOn w:val="a"/>
    <w:link w:val="a9"/>
    <w:uiPriority w:val="99"/>
    <w:pPr>
      <w:spacing w:line="360" w:lineRule="auto"/>
      <w:jc w:val="both"/>
    </w:pPr>
    <w:rPr>
      <w:sz w:val="26"/>
      <w:szCs w:val="26"/>
    </w:rPr>
  </w:style>
  <w:style w:type="character" w:customStyle="1" w:styleId="a9">
    <w:name w:val="Основной текст Знак"/>
    <w:link w:val="a8"/>
    <w:uiPriority w:val="99"/>
    <w:semiHidden/>
    <w:rPr>
      <w:sz w:val="20"/>
      <w:szCs w:val="20"/>
    </w:rPr>
  </w:style>
  <w:style w:type="paragraph" w:styleId="aa">
    <w:name w:val="header"/>
    <w:basedOn w:val="a"/>
    <w:link w:val="ab"/>
    <w:uiPriority w:val="99"/>
    <w:pPr>
      <w:tabs>
        <w:tab w:val="center" w:pos="4153"/>
        <w:tab w:val="right" w:pos="8306"/>
      </w:tabs>
    </w:pPr>
  </w:style>
  <w:style w:type="character" w:customStyle="1" w:styleId="ab">
    <w:name w:val="Верхний колонтитул Знак"/>
    <w:link w:val="aa"/>
    <w:uiPriority w:val="99"/>
    <w:semiHidden/>
    <w:rPr>
      <w:sz w:val="20"/>
      <w:szCs w:val="20"/>
    </w:rPr>
  </w:style>
  <w:style w:type="character" w:styleId="ac">
    <w:name w:val="page number"/>
    <w:uiPriority w:val="99"/>
  </w:style>
  <w:style w:type="paragraph" w:styleId="ad">
    <w:name w:val="footer"/>
    <w:basedOn w:val="a"/>
    <w:link w:val="ae"/>
    <w:uiPriority w:val="99"/>
    <w:pPr>
      <w:tabs>
        <w:tab w:val="center" w:pos="4153"/>
        <w:tab w:val="right" w:pos="8306"/>
      </w:tabs>
    </w:pPr>
  </w:style>
  <w:style w:type="character" w:customStyle="1" w:styleId="ae">
    <w:name w:val="Нижний колонтитул Знак"/>
    <w:link w:val="ad"/>
    <w:uiPriority w:val="99"/>
    <w:semiHidden/>
    <w:rPr>
      <w:sz w:val="20"/>
      <w:szCs w:val="20"/>
    </w:rPr>
  </w:style>
  <w:style w:type="paragraph" w:styleId="11">
    <w:name w:val="toc 1"/>
    <w:basedOn w:val="a"/>
    <w:next w:val="a"/>
    <w:autoRedefine/>
    <w:uiPriority w:val="99"/>
    <w:semiHidden/>
    <w:pPr>
      <w:tabs>
        <w:tab w:val="right" w:leader="underscore" w:pos="10065"/>
      </w:tabs>
      <w:spacing w:before="120"/>
      <w:jc w:val="both"/>
    </w:pPr>
    <w:rPr>
      <w:b/>
      <w:bCs/>
      <w:i/>
      <w:iCs/>
      <w:sz w:val="26"/>
      <w:szCs w:val="26"/>
    </w:rPr>
  </w:style>
  <w:style w:type="paragraph" w:styleId="25">
    <w:name w:val="toc 2"/>
    <w:basedOn w:val="a"/>
    <w:next w:val="a"/>
    <w:autoRedefine/>
    <w:uiPriority w:val="99"/>
    <w:semiHidden/>
    <w:pPr>
      <w:spacing w:before="120"/>
      <w:ind w:left="200"/>
    </w:pPr>
    <w:rPr>
      <w:b/>
      <w:bCs/>
      <w:sz w:val="22"/>
      <w:szCs w:val="22"/>
    </w:rPr>
  </w:style>
  <w:style w:type="paragraph" w:styleId="33">
    <w:name w:val="toc 3"/>
    <w:basedOn w:val="a"/>
    <w:next w:val="a"/>
    <w:autoRedefine/>
    <w:uiPriority w:val="99"/>
    <w:semiHidden/>
    <w:pPr>
      <w:ind w:left="400"/>
    </w:pPr>
  </w:style>
  <w:style w:type="paragraph" w:styleId="41">
    <w:name w:val="toc 4"/>
    <w:basedOn w:val="a"/>
    <w:next w:val="a"/>
    <w:autoRedefine/>
    <w:uiPriority w:val="99"/>
    <w:semiHidden/>
    <w:pPr>
      <w:ind w:left="600"/>
    </w:pPr>
  </w:style>
  <w:style w:type="paragraph" w:styleId="51">
    <w:name w:val="toc 5"/>
    <w:basedOn w:val="a"/>
    <w:next w:val="a"/>
    <w:autoRedefine/>
    <w:uiPriority w:val="99"/>
    <w:semiHidden/>
    <w:pPr>
      <w:ind w:left="800"/>
    </w:pPr>
  </w:style>
  <w:style w:type="paragraph" w:styleId="61">
    <w:name w:val="toc 6"/>
    <w:basedOn w:val="a"/>
    <w:next w:val="a"/>
    <w:autoRedefine/>
    <w:uiPriority w:val="99"/>
    <w:semiHidden/>
    <w:pPr>
      <w:ind w:left="1000"/>
    </w:pPr>
  </w:style>
  <w:style w:type="paragraph" w:styleId="71">
    <w:name w:val="toc 7"/>
    <w:basedOn w:val="a"/>
    <w:next w:val="a"/>
    <w:autoRedefine/>
    <w:uiPriority w:val="99"/>
    <w:semiHidden/>
    <w:pPr>
      <w:ind w:left="1200"/>
    </w:pPr>
  </w:style>
  <w:style w:type="paragraph" w:styleId="81">
    <w:name w:val="toc 8"/>
    <w:basedOn w:val="a"/>
    <w:next w:val="a"/>
    <w:autoRedefine/>
    <w:uiPriority w:val="99"/>
    <w:semiHidden/>
    <w:pPr>
      <w:ind w:left="1400"/>
    </w:pPr>
  </w:style>
  <w:style w:type="paragraph" w:styleId="91">
    <w:name w:val="toc 9"/>
    <w:basedOn w:val="a"/>
    <w:next w:val="a"/>
    <w:autoRedefine/>
    <w:uiPriority w:val="99"/>
    <w:semiHidden/>
    <w:pPr>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8469</Words>
  <Characters>48275</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Ethan Frome</vt:lpstr>
    </vt:vector>
  </TitlesOfParts>
  <Company>Home</Company>
  <LinksUpToDate>false</LinksUpToDate>
  <CharactersWithSpaces>56631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admin</cp:lastModifiedBy>
  <cp:revision>2</cp:revision>
  <dcterms:created xsi:type="dcterms:W3CDTF">2014-02-17T16:08:00Z</dcterms:created>
  <dcterms:modified xsi:type="dcterms:W3CDTF">2014-02-17T16:08:00Z</dcterms:modified>
</cp:coreProperties>
</file>