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CE" w:rsidRPr="002D3323" w:rsidRDefault="004245CE" w:rsidP="004245CE">
      <w:pPr>
        <w:spacing w:before="120"/>
        <w:jc w:val="center"/>
        <w:rPr>
          <w:b/>
          <w:bCs/>
          <w:sz w:val="32"/>
          <w:szCs w:val="32"/>
        </w:rPr>
      </w:pPr>
      <w:r w:rsidRPr="002D3323">
        <w:rPr>
          <w:b/>
          <w:bCs/>
          <w:sz w:val="32"/>
          <w:szCs w:val="32"/>
        </w:rPr>
        <w:t>Клиринг как актуальное понятие</w:t>
      </w:r>
    </w:p>
    <w:p w:rsidR="004245CE" w:rsidRPr="002D3323" w:rsidRDefault="004245CE" w:rsidP="004245CE">
      <w:pPr>
        <w:spacing w:before="120"/>
        <w:ind w:firstLine="567"/>
        <w:jc w:val="both"/>
        <w:rPr>
          <w:sz w:val="28"/>
          <w:szCs w:val="28"/>
        </w:rPr>
      </w:pPr>
      <w:r w:rsidRPr="002D3323">
        <w:rPr>
          <w:sz w:val="28"/>
          <w:szCs w:val="28"/>
        </w:rPr>
        <w:t>Игорь Моряков, президент Закрытого Акционерного Общества «Депозитарно-Клиринговая Компания»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Одной из основных проблем, стоящих сегодня перед российским фондовым рынком, являются законодательные пробелы в организации и регулировании клиринговой деятельности. Без формирования законодательной базы в этой сфере очень трудно развивать новые финансовые продукты, невозможно повысить ликвидность на фондовом рынке, построить эффективную систему расчетов, что приводит к стагнации в развитии рынка. К сожалению, только путем внесения поправок в существующие нормативные акты эту проблему не решить, необходим самостоятельный закон о клиринге и клиринговой деятельности.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Сегодня регуляторы работают над четырьмя базовыми законопроектами, цель которых - изменить сложившуюся ситуацию в регулировании рынка. Один из таких законов - законопроект о клиринге и клиринговой деятельности. Вместе с тем не следует забывать, что и Закон о Центральном депозитарии, над которым параллельно идет работа, также затронет вопрос организации клиринга в свете деятельности такого депозитария. Целесообразно, чтобы эти два нормативных акта учитывали положения друг друга и не были противоречивыми.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Какое место в Законе о Центральном депозитарии занимают вопросы</w:t>
      </w:r>
      <w:r>
        <w:t xml:space="preserve"> </w:t>
      </w:r>
      <w:r w:rsidRPr="00514E7B">
        <w:t>клиринга? В утвержденной концепции данного закона говорится, что Центральный депозитарий будет расчетным депозитарием, а расчеты невозможны без клиринга. Таким образом, Центральный депозитарий будет вправе осуществлять указанные в законе виды клиринга в соответствии с законодательством о клиринге.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Закономерно возникает вопрос: о каких видах клиринга может идти речь в готовящемся документе?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Клиринг, который сегодня осуществляется в России, - это проверка и подтверждение взаимных обязательств. Речь в данном случае идет о расчетах сделок с ценными бумагами. То есть для проведения окончательных расчетов организация, осуществляющая клиринг, сверяет взаимные обязательства сторон и переводит ценные бумаги или деньги в зависимости от того, какие используются расчеты. Есть поручения с одной и с другой стороны, клиринговая организация сводит их попарно и определяет обязательства двух сторон. Операции неттинга в такой схеме клиринга не предусматриваются.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В этом смысле клиринг как определение взаимных обязательств и дальнейших расчетов по этим обязательствам -это естественная функция Центрального депозитария. Вполне вероятно, что именно этот вид клиринга будет оговорен законодателем в Законе о Центральном депозитарии</w:t>
      </w:r>
      <w:r>
        <w:t>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Вместе с тем в мировой практике на развитых фондовых рынках широко распространен централизованный клиринг с использованием ССР (central counter party- центральный контрагент). В этом случае центральный контрагент берет на себя обязательства по всем сделкам, становится фактически стороной по сделкам между участниками клиринга, в десятки раз сокращая их обязательства друг перед другом, что позволяет значительно повысить ликвидность средств участников и их клиентов.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В России, по крайней мере в ближайшей перспективе, такой вид клиринга невозможен. Тому есть несколько причин, в основном касающихся ограничений, заложенных в действующем законодательстве. В России невозможен контроль над активами, которые принадлежат клиентам, со стороны клиринговой организации, потому что, во-первых, активы участников клиринга, как правило, являются активами их клиентов, а во-вторых, они рассчитывают не собственные сделки, а клиентские. Следовательно, требуется сложная многоступенчатая система гарантий. В российском законодательстве нет юридических основ, которые бы позволяли блокировать</w:t>
      </w:r>
      <w:r>
        <w:t xml:space="preserve"> </w:t>
      </w:r>
      <w:r w:rsidRPr="00514E7B">
        <w:t>активы участников клиринга и, более того, распоряжаться ими. Поэтому центральную клиринговую организацию в том виде, в котором она сейчас существует на Западе, в России на данный момент создать невозможно.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Отсутствие полноценного централизованного клиринга на российском фондовом рынке порождает его основную проблему: участники не могут быть уверены, что заключенные ими сделки будут рассчитаны. Отсутствие гарантий выполнения своих обязательств одной из сторон сделки можно назвать основным риском российского рынка. Без ССР и без клиринга в форме неттинга достаточно сложно обеспечить гарантии обязательств участников по сделкам с ценными бумагами.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Поэтому основными направлениями законотворчества в области клиринга и клиринговой деятельности в России должны стать следующие: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1.</w:t>
      </w:r>
      <w:r>
        <w:t xml:space="preserve"> </w:t>
      </w:r>
      <w:r w:rsidRPr="00514E7B">
        <w:t>Необходимо ввести в практику понятие «коллатерализация активов» с целью использования их в качестве обеспечения по обязательствам, которые возникают у клиентов брокеров. Collateral - активы (ценные бумаги, денежные средства и другие активы), предлагаемые в качестве обеспечения исполнения обязательств по сделке (возврата кредита, поставки бумаг</w:t>
      </w:r>
      <w:r>
        <w:t xml:space="preserve"> </w:t>
      </w:r>
      <w:r w:rsidRPr="00514E7B">
        <w:t>и пр.), т. е. обеспечения расчетов.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2.</w:t>
      </w:r>
      <w:r>
        <w:t xml:space="preserve"> </w:t>
      </w:r>
      <w:r w:rsidRPr="00514E7B">
        <w:t>Брокер должен иметь право маневрировать клиентскими средствами в рамках единого пула по своему усмотрению для покрытия обязательств по сделкам своих клиентов. При этом в определенных случаях брокер может платить своему клиенту за использование его средств.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3. У центральной клиринговой организации (далее - клиринговая организация) должно быть право, аналогичное праву брокера в отношении его клиентов. Клиринговая организация должна иметь возможность использовать средства, которые брокер хранит на счетах депо в Центральном депозитарии (если Центральный депозитарий и клиринговая организация не совпадают), для покрытия клиентских обязательств или требовать у брокера внесения обеспечения по возникшим обязательствам. При этом клиринговая организация не должна брать на себя обязательства по сделкам, которые, по ее мнению, не могут быть рассчитаны, и включать их в клиринговый пул.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В том случае, если функции клиринговой организации и Центрального депозитария будут разделены, необходимо создать механизм их взаимодействия для обеспечения гарантий исполнения сделок. В противном случае у инфраструктуры не будет возможности покрыть рыночные риски.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4.</w:t>
      </w:r>
      <w:r>
        <w:t xml:space="preserve"> </w:t>
      </w:r>
      <w:r w:rsidRPr="00514E7B">
        <w:t>Необходимо ввести эффективный механизм подтверждения всеми заинтересованными сторонами сделки (брокером, кастодианом, инвестором) факта ее совершения и их согласия использовать активы на счетах в качестве обеспечения обязательств по совершенным сделкам.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5.</w:t>
      </w:r>
      <w:r>
        <w:t xml:space="preserve"> </w:t>
      </w:r>
      <w:r w:rsidRPr="00514E7B">
        <w:t>Не секрет, что отсутствие на момент расчетов ценных бумаг на счету</w:t>
      </w:r>
      <w:r>
        <w:t xml:space="preserve"> </w:t>
      </w:r>
      <w:r w:rsidRPr="00514E7B">
        <w:t>у одной из сторон сделки может привести не только к невозможности рассчитать эту сделку, но и к «цепной реакции», в результате которой может «зависнуть» целый ряд взаимосвязанных сделок. При неудачном стечении обстоятельств такая ситуация способна привести к системному кризису.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В связи с этим необходимо законодательно описать не только вопросы распоряжения активами, принадлежащими клиентам брокеров и участникам клиринговой организации, но и технологии кредитования ценными бумагами как на организованном рынке, так и при заключении сделок вне бирж. Этот общепризнанный механизм поддержания ликвидности и надежности расчетов в России в настоящее время отсутствует. Положительным моментом является то, что необходимость внедрения механизмов кредитования ценными бумагами понимают все участники рынка - от расчетных депозитариев и брокеров до торговых площадок и кастодиальных банков. С пониманием к этому вопросу относятся и регулирующие органы. На законодательно оформленной базе станет возможным достижение договоренностей между клиринговой организацией, расчетными депозитариями и банками, выступающими в роли кредиторов,</w:t>
      </w:r>
      <w:r>
        <w:t xml:space="preserve"> </w:t>
      </w:r>
      <w:r w:rsidRPr="00514E7B">
        <w:t>о списке ценных бумаг, которые могут использоваться в качестве обеспечения кредита под расчеты сделок.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6. Закон должен заложить возможность формирования гарантийных фондов. При этом нельзя забывать, что такие фонды не являются гарантией осуществления всех расчетов. Гарантией расчетов всех сделок являются исключительно активы участников и право клиринговой организации этими активами оперировать. Основная функция фондов заключается в том, чтобы защитить участников рынка</w:t>
      </w:r>
      <w:r>
        <w:t xml:space="preserve"> </w:t>
      </w:r>
      <w:r w:rsidRPr="00514E7B">
        <w:t>от ошибок клиринговой организации или форс-мажорных обстоятельств. Здесь необходимы очень жесткие механизмы контроля над использованием активов, формирующих такой фонд.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Так или иначе, речь идет о создании законодательных условий, при которых клиринговая организация будет иметь максимальные возможности для снижения рисков участников и расчета сделок. Право клиринговой организации свободно маневрировать активами, принадлежащими ее клиентам или заимствованными на рынке через инструменты кредитования, - необходимое условие для эффективного функционирования системы клиринга.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7. Значимой стороной процесса клиринга является институт «клиринговых брокеров». Западная практика доказывает, что без него невозможно снижение рисков до приемлемого уровня. Клиринговый брокер - это организация, которая предоставляет услуги по включению обязательств и требований участников рынка в клиринговый пул. При этом он не является стороной по сделкам, которые включаются в клиринговый пул. Клиринговый брокер - его гарант. В случае если клиент окажется неплатежеспособным, клиринговый брокер несет гарантийные обязательства перед клиринговой организацией. Наличие клиринговых брокеров, которые концентрируют активы участников рынка, снижает количество прямых участников клиринга и тем самым повышает эффективность управления рисками, в том числе путем переноса на них части рисков.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Кроме создания перечисленных базовых предпосылок для осуществления централизованного клиринга на российском рынке, в чем еще важность Закона о клиринге и клиринговой деятельности, на какие вопросы он должен ответить?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Банкротство. Нигде в настоящее время не прописаны особенности банкротства клиринговых организаций. А это очень важный вопрос, ведь в расчетах через них участвуют десятки финансовых институтов. Через клиринговую организацию проходят и ценные бумаги, и деньги. В связи с этим существуют определенные риски функционирования рынка в целом и значительной части его участников.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Капитализация. Существует точка зрения, что исполнение Центральным депозитарием функции клиринга (в роли ССР) потребует его значительной капитализации, якобы в связи с возложением на него рисков по гарантированному расчету сделок. Это означает необходимость значительных инвестиций со стороны учредителей такого депозитария.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С точки зрения участников рынка, у Центрального депозитария нет необходимости в значительной капитализации. Опыт крупнейших международных инфраструктурных объединений показывает, что все они являются объединениями участников рынка, членскими организациями. Для них сумма капитализации носит непринципиальный характер. У такой организации должно хватать денежных средств на развитие компании, реализацию ее бизнес-плана, а вопросы клиринга и гарантий расчетов должны лежать в рамках регулирования этого вида деятельности.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Иными словами, клиринговая организация, независимо от того, является ли она одновременно Центральным депозитарием или нет, не может и не имеет права гарантировать исполнение сделок своих участников своими средствами, а использует их активы в установленном порядке для обеспечения расчетов, повышения ликвидности и снижения рисков всей системы. Более того, совмещение функций депозитария и клиринговой организации позволяет повысит эффективность управления рисками благодаря сокращению информационных связей и более быстрому исполнению поручений в рамках единой системы расчетов и клиринга.</w:t>
      </w:r>
    </w:p>
    <w:p w:rsidR="004245CE" w:rsidRPr="00514E7B" w:rsidRDefault="004245CE" w:rsidP="004245CE">
      <w:pPr>
        <w:spacing w:before="120"/>
        <w:ind w:firstLine="567"/>
        <w:jc w:val="both"/>
      </w:pPr>
      <w:r w:rsidRPr="00514E7B">
        <w:t>Лицензирование. Камнем преткновения может стать механизм лицензирования клиринговой деятельности. По мнению профессиональных участников рынка ценных бумаг и саморегулируемых организаций, в таком лицензировании</w:t>
      </w:r>
      <w:r>
        <w:t xml:space="preserve"> </w:t>
      </w:r>
      <w:r w:rsidRPr="00514E7B">
        <w:t>нет необходимости. Если подробно и ясно описать в законе принципы клиринговой деятельности и требования к организациям, претендующим на ее выполнение, то вполне достаточно будет регистрации правил клиринговой деятельности каждой организации. Основным критерием для регистрации этих правил должно быть их четкое соответствие прописанным в законе нормам. Возможно, этот вопрос следует поднимать в том случае, если функции клиринговой организации и Центрального депозитария будут разделены, но на данном этапе необходимость этого сомнительна.</w:t>
      </w:r>
    </w:p>
    <w:p w:rsidR="004245CE" w:rsidRDefault="004245CE" w:rsidP="004245CE">
      <w:pPr>
        <w:spacing w:before="120"/>
        <w:ind w:firstLine="567"/>
        <w:jc w:val="both"/>
      </w:pPr>
      <w:r w:rsidRPr="00514E7B">
        <w:t>В настоящее время разработана общая концепция нового закона; подготовкой его проекта занимается Министерство финансов РФ, при котором была создана рабочая группа из представителей профессионального сообщества. В задачи рабочей группы входит координация действий по написанию проекта закона и выработка согласованной позиции по всем вопросам, вносимым в будущий нормативный акт. Есть надежда, что закончить работу над полноценным проектом удастся в течение полугода. Главное, чтобы работа над Законом о клиринге и клиринговой деятельности шла в тесной взаимосвязи с работой над другими законами в этой области, в частности с Законом о Центральном депозитарии. Это позволит избежать множества ошибок и нестыковок, которые могут помешать участникам рынка в будущем жить по новым законам.</w:t>
      </w:r>
    </w:p>
    <w:p w:rsidR="004245CE" w:rsidRPr="00B05F8E" w:rsidRDefault="004245CE" w:rsidP="004245CE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4245CE" w:rsidRDefault="004245CE" w:rsidP="004245CE">
      <w:pPr>
        <w:spacing w:before="120"/>
        <w:ind w:firstLine="567"/>
        <w:jc w:val="both"/>
      </w:pPr>
      <w:r>
        <w:t>Журнал «Рынок ценных бумаг» № 16,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5CE"/>
    <w:rsid w:val="002D3323"/>
    <w:rsid w:val="004245CE"/>
    <w:rsid w:val="00514E7B"/>
    <w:rsid w:val="00616072"/>
    <w:rsid w:val="008B35EE"/>
    <w:rsid w:val="008C2D96"/>
    <w:rsid w:val="00B05F8E"/>
    <w:rsid w:val="00B42C45"/>
    <w:rsid w:val="00B47B6A"/>
    <w:rsid w:val="00C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BEBA93-63E9-401B-A4E0-D912A63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8160</Words>
  <Characters>4652</Characters>
  <Application>Microsoft Office Word</Application>
  <DocSecurity>0</DocSecurity>
  <Lines>38</Lines>
  <Paragraphs>25</Paragraphs>
  <ScaleCrop>false</ScaleCrop>
  <Company>Home</Company>
  <LinksUpToDate>false</LinksUpToDate>
  <CharactersWithSpaces>12787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Клиринг как актуальное понятие</dc:title>
  <dc:subject/>
  <dc:creator>User</dc:creator>
  <cp:keywords/>
  <dc:description/>
  <cp:lastModifiedBy>admin</cp:lastModifiedBy>
  <cp:revision>2</cp:revision>
  <dcterms:created xsi:type="dcterms:W3CDTF">2014-01-25T08:58:00Z</dcterms:created>
  <dcterms:modified xsi:type="dcterms:W3CDTF">2014-01-25T08:58:00Z</dcterms:modified>
</cp:coreProperties>
</file>