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E2" w:rsidRPr="00113218" w:rsidRDefault="00E26346" w:rsidP="001F3EFF">
      <w:pPr>
        <w:spacing w:line="360" w:lineRule="auto"/>
        <w:ind w:firstLine="709"/>
        <w:jc w:val="center"/>
        <w:rPr>
          <w:b/>
          <w:bCs/>
          <w:sz w:val="28"/>
          <w:szCs w:val="28"/>
          <w:lang w:val="uk-UA"/>
        </w:rPr>
      </w:pPr>
      <w:r w:rsidRPr="00113218">
        <w:rPr>
          <w:b/>
          <w:bCs/>
          <w:sz w:val="28"/>
          <w:szCs w:val="28"/>
          <w:lang w:val="uk-UA"/>
        </w:rPr>
        <w:t>Зміст</w:t>
      </w:r>
    </w:p>
    <w:p w:rsidR="00E26346" w:rsidRPr="00113218" w:rsidRDefault="00E26346" w:rsidP="001F3EFF">
      <w:pPr>
        <w:spacing w:line="360" w:lineRule="auto"/>
        <w:ind w:firstLine="709"/>
        <w:jc w:val="both"/>
        <w:rPr>
          <w:sz w:val="28"/>
          <w:szCs w:val="28"/>
          <w:lang w:val="uk-UA"/>
        </w:rPr>
      </w:pPr>
    </w:p>
    <w:p w:rsidR="00E26346" w:rsidRPr="00113218" w:rsidRDefault="00E26346" w:rsidP="007B3D88">
      <w:pPr>
        <w:spacing w:line="360" w:lineRule="auto"/>
        <w:ind w:hanging="11"/>
        <w:rPr>
          <w:sz w:val="28"/>
          <w:szCs w:val="28"/>
          <w:lang w:val="uk-UA"/>
        </w:rPr>
      </w:pPr>
      <w:r w:rsidRPr="00113218">
        <w:rPr>
          <w:sz w:val="28"/>
          <w:szCs w:val="28"/>
          <w:lang w:val="uk-UA"/>
        </w:rPr>
        <w:t>Вступ</w:t>
      </w:r>
    </w:p>
    <w:p w:rsidR="00E26346" w:rsidRPr="00113218" w:rsidRDefault="006E24E8" w:rsidP="007B3D88">
      <w:pPr>
        <w:spacing w:line="360" w:lineRule="auto"/>
        <w:ind w:hanging="11"/>
        <w:rPr>
          <w:sz w:val="28"/>
          <w:szCs w:val="28"/>
          <w:lang w:val="uk-UA"/>
        </w:rPr>
      </w:pPr>
      <w:r w:rsidRPr="00113218">
        <w:rPr>
          <w:sz w:val="28"/>
          <w:szCs w:val="28"/>
          <w:lang w:val="uk-UA"/>
        </w:rPr>
        <w:t>І. ПОКАЗНИКИ ЕКОНОМІЧНОГО РОЗВИТКУ РЕГІОНУ</w:t>
      </w:r>
    </w:p>
    <w:p w:rsidR="006E24E8" w:rsidRPr="00113218" w:rsidRDefault="006E24E8" w:rsidP="007B3D88">
      <w:pPr>
        <w:spacing w:line="360" w:lineRule="auto"/>
        <w:ind w:hanging="11"/>
        <w:rPr>
          <w:sz w:val="28"/>
          <w:szCs w:val="28"/>
          <w:lang w:val="uk-UA"/>
        </w:rPr>
      </w:pPr>
      <w:r w:rsidRPr="00113218">
        <w:rPr>
          <w:sz w:val="28"/>
          <w:szCs w:val="28"/>
          <w:lang w:val="uk-UA"/>
        </w:rPr>
        <w:t>1.1. Промисловість</w:t>
      </w:r>
    </w:p>
    <w:p w:rsidR="006E24E8" w:rsidRPr="00113218" w:rsidRDefault="006E24E8" w:rsidP="007B3D88">
      <w:pPr>
        <w:spacing w:line="360" w:lineRule="auto"/>
        <w:ind w:hanging="11"/>
        <w:rPr>
          <w:sz w:val="28"/>
          <w:szCs w:val="28"/>
          <w:lang w:val="uk-UA"/>
        </w:rPr>
      </w:pPr>
      <w:r w:rsidRPr="00113218">
        <w:rPr>
          <w:sz w:val="28"/>
          <w:szCs w:val="28"/>
          <w:lang w:val="uk-UA"/>
        </w:rPr>
        <w:t>1.2. Торгівля і послуги</w:t>
      </w:r>
    </w:p>
    <w:p w:rsidR="006E24E8" w:rsidRPr="00113218" w:rsidRDefault="006E24E8" w:rsidP="007B3D88">
      <w:pPr>
        <w:spacing w:line="360" w:lineRule="auto"/>
        <w:ind w:hanging="11"/>
        <w:rPr>
          <w:sz w:val="28"/>
          <w:szCs w:val="28"/>
          <w:lang w:val="uk-UA"/>
        </w:rPr>
      </w:pPr>
      <w:r w:rsidRPr="00113218">
        <w:rPr>
          <w:sz w:val="28"/>
          <w:szCs w:val="28"/>
          <w:lang w:val="uk-UA"/>
        </w:rPr>
        <w:t>1.3. Фінанси</w:t>
      </w:r>
    </w:p>
    <w:p w:rsidR="006E24E8" w:rsidRPr="00113218" w:rsidRDefault="006E24E8" w:rsidP="007B3D88">
      <w:pPr>
        <w:spacing w:line="360" w:lineRule="auto"/>
        <w:ind w:hanging="11"/>
        <w:rPr>
          <w:sz w:val="28"/>
          <w:szCs w:val="28"/>
          <w:lang w:val="uk-UA"/>
        </w:rPr>
      </w:pPr>
      <w:r w:rsidRPr="00113218">
        <w:rPr>
          <w:sz w:val="28"/>
          <w:szCs w:val="28"/>
          <w:lang w:val="uk-UA"/>
        </w:rPr>
        <w:t>1.4. Доходи населення</w:t>
      </w:r>
    </w:p>
    <w:p w:rsidR="006E24E8" w:rsidRPr="00113218" w:rsidRDefault="006E24E8" w:rsidP="007B3D88">
      <w:pPr>
        <w:spacing w:line="360" w:lineRule="auto"/>
        <w:ind w:hanging="11"/>
        <w:rPr>
          <w:sz w:val="28"/>
          <w:szCs w:val="28"/>
          <w:lang w:val="uk-UA"/>
        </w:rPr>
      </w:pPr>
      <w:r w:rsidRPr="00113218">
        <w:rPr>
          <w:sz w:val="28"/>
          <w:szCs w:val="28"/>
          <w:lang w:val="uk-UA"/>
        </w:rPr>
        <w:t>1.5. Житлово-комунальне господарство</w:t>
      </w:r>
    </w:p>
    <w:p w:rsidR="006E24E8" w:rsidRPr="00113218" w:rsidRDefault="006E24E8" w:rsidP="007B3D88">
      <w:pPr>
        <w:spacing w:line="360" w:lineRule="auto"/>
        <w:ind w:hanging="11"/>
        <w:rPr>
          <w:sz w:val="28"/>
          <w:szCs w:val="28"/>
          <w:lang w:val="uk-UA"/>
        </w:rPr>
      </w:pPr>
      <w:r w:rsidRPr="00113218">
        <w:rPr>
          <w:sz w:val="28"/>
          <w:szCs w:val="28"/>
          <w:lang w:val="uk-UA"/>
        </w:rPr>
        <w:t>1.6.</w:t>
      </w:r>
      <w:r w:rsidR="001F3EFF" w:rsidRPr="00113218">
        <w:rPr>
          <w:sz w:val="28"/>
          <w:szCs w:val="28"/>
          <w:lang w:val="uk-UA"/>
        </w:rPr>
        <w:t xml:space="preserve"> </w:t>
      </w:r>
      <w:r w:rsidRPr="00113218">
        <w:rPr>
          <w:sz w:val="28"/>
          <w:szCs w:val="28"/>
          <w:lang w:val="uk-UA"/>
        </w:rPr>
        <w:t>Розвиток підприємництва</w:t>
      </w:r>
    </w:p>
    <w:p w:rsidR="006E24E8" w:rsidRPr="00113218" w:rsidRDefault="006E24E8" w:rsidP="007B3D88">
      <w:pPr>
        <w:spacing w:line="360" w:lineRule="auto"/>
        <w:ind w:hanging="11"/>
        <w:rPr>
          <w:sz w:val="28"/>
          <w:szCs w:val="28"/>
          <w:lang w:val="uk-UA"/>
        </w:rPr>
      </w:pPr>
      <w:r w:rsidRPr="00113218">
        <w:rPr>
          <w:sz w:val="28"/>
          <w:szCs w:val="28"/>
          <w:lang w:val="uk-UA"/>
        </w:rPr>
        <w:t>ІІ. ДОХОДИ</w:t>
      </w:r>
    </w:p>
    <w:p w:rsidR="006E24E8" w:rsidRPr="00113218" w:rsidRDefault="006E24E8" w:rsidP="007B3D88">
      <w:pPr>
        <w:spacing w:line="360" w:lineRule="auto"/>
        <w:ind w:hanging="11"/>
        <w:rPr>
          <w:sz w:val="28"/>
          <w:szCs w:val="28"/>
          <w:lang w:val="uk-UA"/>
        </w:rPr>
      </w:pPr>
      <w:r w:rsidRPr="00113218">
        <w:rPr>
          <w:sz w:val="28"/>
          <w:szCs w:val="28"/>
          <w:lang w:val="uk-UA"/>
        </w:rPr>
        <w:t>ІІІ. ВИДАТКИ</w:t>
      </w:r>
    </w:p>
    <w:p w:rsidR="006E24E8" w:rsidRPr="00113218" w:rsidRDefault="006E24E8" w:rsidP="007B3D88">
      <w:pPr>
        <w:spacing w:line="360" w:lineRule="auto"/>
        <w:ind w:hanging="11"/>
        <w:rPr>
          <w:sz w:val="28"/>
          <w:szCs w:val="28"/>
          <w:lang w:val="uk-UA"/>
        </w:rPr>
      </w:pPr>
      <w:r w:rsidRPr="00113218">
        <w:rPr>
          <w:sz w:val="28"/>
          <w:szCs w:val="28"/>
          <w:lang w:val="uk-UA"/>
        </w:rPr>
        <w:t>Висновки</w:t>
      </w:r>
    </w:p>
    <w:p w:rsidR="006E24E8" w:rsidRPr="00113218" w:rsidRDefault="006E24E8" w:rsidP="007B3D88">
      <w:pPr>
        <w:spacing w:line="360" w:lineRule="auto"/>
        <w:ind w:hanging="11"/>
        <w:rPr>
          <w:sz w:val="28"/>
          <w:szCs w:val="28"/>
          <w:lang w:val="uk-UA"/>
        </w:rPr>
      </w:pPr>
      <w:r w:rsidRPr="00113218">
        <w:rPr>
          <w:sz w:val="28"/>
          <w:szCs w:val="28"/>
          <w:lang w:val="uk-UA"/>
        </w:rPr>
        <w:t>Список використаної літератури</w:t>
      </w:r>
    </w:p>
    <w:p w:rsidR="001F3EFF" w:rsidRPr="00113218" w:rsidRDefault="006E24E8" w:rsidP="007B3D88">
      <w:pPr>
        <w:spacing w:line="360" w:lineRule="auto"/>
        <w:ind w:hanging="11"/>
        <w:rPr>
          <w:sz w:val="28"/>
          <w:szCs w:val="28"/>
          <w:lang w:val="uk-UA"/>
        </w:rPr>
      </w:pPr>
      <w:r w:rsidRPr="00113218">
        <w:rPr>
          <w:sz w:val="28"/>
          <w:szCs w:val="28"/>
          <w:lang w:val="uk-UA"/>
        </w:rPr>
        <w:t>Додатки</w:t>
      </w:r>
    </w:p>
    <w:p w:rsidR="00E26346" w:rsidRPr="00113218" w:rsidRDefault="001F3EFF" w:rsidP="001F3EFF">
      <w:pPr>
        <w:spacing w:line="360" w:lineRule="auto"/>
        <w:ind w:left="720" w:hanging="11"/>
        <w:jc w:val="center"/>
        <w:rPr>
          <w:b/>
          <w:bCs/>
          <w:sz w:val="28"/>
          <w:szCs w:val="28"/>
          <w:lang w:val="uk-UA"/>
        </w:rPr>
      </w:pPr>
      <w:r w:rsidRPr="00113218">
        <w:rPr>
          <w:sz w:val="28"/>
          <w:szCs w:val="28"/>
          <w:lang w:val="uk-UA"/>
        </w:rPr>
        <w:br w:type="page"/>
      </w:r>
      <w:r w:rsidR="00E26346" w:rsidRPr="00113218">
        <w:rPr>
          <w:b/>
          <w:bCs/>
          <w:sz w:val="28"/>
          <w:szCs w:val="28"/>
          <w:lang w:val="uk-UA"/>
        </w:rPr>
        <w:t>Вступ</w:t>
      </w:r>
    </w:p>
    <w:p w:rsidR="00E26346" w:rsidRPr="00113218" w:rsidRDefault="00E26346" w:rsidP="001F3EFF">
      <w:pPr>
        <w:spacing w:line="360" w:lineRule="auto"/>
        <w:ind w:firstLine="709"/>
        <w:jc w:val="both"/>
        <w:rPr>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До місцевих бюджетів </w:t>
      </w:r>
      <w:r w:rsidR="00544B5D" w:rsidRPr="00113218">
        <w:rPr>
          <w:sz w:val="28"/>
          <w:szCs w:val="28"/>
          <w:lang w:val="uk-UA"/>
        </w:rPr>
        <w:t xml:space="preserve">Снятинського </w:t>
      </w:r>
      <w:r w:rsidRPr="00113218">
        <w:rPr>
          <w:sz w:val="28"/>
          <w:szCs w:val="28"/>
          <w:lang w:val="uk-UA"/>
        </w:rPr>
        <w:t>району</w:t>
      </w:r>
      <w:r w:rsidR="001F3EFF" w:rsidRPr="00113218">
        <w:rPr>
          <w:sz w:val="28"/>
          <w:szCs w:val="28"/>
          <w:lang w:val="uk-UA"/>
        </w:rPr>
        <w:t xml:space="preserve"> </w:t>
      </w:r>
      <w:r w:rsidRPr="00113218">
        <w:rPr>
          <w:sz w:val="28"/>
          <w:szCs w:val="28"/>
          <w:lang w:val="uk-UA"/>
        </w:rPr>
        <w:t>за</w:t>
      </w:r>
      <w:r w:rsidR="001F3EFF" w:rsidRPr="00113218">
        <w:rPr>
          <w:sz w:val="28"/>
          <w:szCs w:val="28"/>
          <w:lang w:val="uk-UA"/>
        </w:rPr>
        <w:t xml:space="preserve"> </w:t>
      </w:r>
      <w:r w:rsidRPr="00113218">
        <w:rPr>
          <w:sz w:val="28"/>
          <w:szCs w:val="28"/>
          <w:lang w:val="uk-UA"/>
        </w:rPr>
        <w:t>2008 рік надійшло доходів загального та спеціального фондів в сумі</w:t>
      </w:r>
      <w:r w:rsidR="001F3EFF" w:rsidRPr="00113218">
        <w:rPr>
          <w:sz w:val="28"/>
          <w:szCs w:val="28"/>
          <w:lang w:val="uk-UA"/>
        </w:rPr>
        <w:t xml:space="preserve"> </w:t>
      </w:r>
      <w:r w:rsidRPr="00113218">
        <w:rPr>
          <w:sz w:val="28"/>
          <w:szCs w:val="28"/>
          <w:lang w:val="uk-UA"/>
        </w:rPr>
        <w:t>11277,4 тис.грн. або 107 відсотків</w:t>
      </w:r>
      <w:r w:rsidR="001F3EFF" w:rsidRPr="00113218">
        <w:rPr>
          <w:sz w:val="28"/>
          <w:szCs w:val="28"/>
          <w:lang w:val="uk-UA"/>
        </w:rPr>
        <w:t xml:space="preserve"> </w:t>
      </w:r>
      <w:r w:rsidRPr="00113218">
        <w:rPr>
          <w:sz w:val="28"/>
          <w:szCs w:val="28"/>
          <w:lang w:val="uk-UA"/>
        </w:rPr>
        <w:t xml:space="preserve">уточненого плану на рік, в тому числі до загального фонду – 9429,6 тис.грн. або відповідно 103 відсотки. </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Надходження доходів, що враховуються при визначенні міжбюджетних трансфертів у звітному періоді склали – 8435,1 тис.грн. або 102 відсотки до уточнених показників, затверджених місцевими радами та 117 відсотків до доведених Міністерством фінансів України. </w:t>
      </w:r>
    </w:p>
    <w:p w:rsidR="00F46327" w:rsidRPr="00113218" w:rsidRDefault="00F46327" w:rsidP="001F3EFF">
      <w:pPr>
        <w:spacing w:line="360" w:lineRule="auto"/>
        <w:ind w:firstLine="709"/>
        <w:jc w:val="both"/>
        <w:rPr>
          <w:sz w:val="28"/>
          <w:szCs w:val="28"/>
          <w:lang w:val="uk-UA"/>
        </w:rPr>
      </w:pPr>
      <w:r w:rsidRPr="00113218">
        <w:rPr>
          <w:sz w:val="28"/>
          <w:szCs w:val="28"/>
          <w:lang w:val="uk-UA"/>
        </w:rPr>
        <w:t>В розрізі видів бюджетів уточнені планові показники по доходах</w:t>
      </w:r>
      <w:r w:rsidR="001F3EFF" w:rsidRPr="00113218">
        <w:rPr>
          <w:sz w:val="28"/>
          <w:szCs w:val="28"/>
          <w:lang w:val="uk-UA"/>
        </w:rPr>
        <w:t xml:space="preserve"> </w:t>
      </w:r>
      <w:r w:rsidRPr="00113218">
        <w:rPr>
          <w:sz w:val="28"/>
          <w:szCs w:val="28"/>
          <w:lang w:val="uk-UA"/>
        </w:rPr>
        <w:t xml:space="preserve">виконано всіма бюджетами. </w:t>
      </w:r>
    </w:p>
    <w:p w:rsidR="00F46327" w:rsidRPr="00113218" w:rsidRDefault="00F46327" w:rsidP="001F3EFF">
      <w:pPr>
        <w:spacing w:line="360" w:lineRule="auto"/>
        <w:ind w:firstLine="709"/>
        <w:jc w:val="both"/>
        <w:rPr>
          <w:sz w:val="28"/>
          <w:szCs w:val="28"/>
          <w:lang w:val="uk-UA"/>
        </w:rPr>
      </w:pPr>
      <w:r w:rsidRPr="00113218">
        <w:rPr>
          <w:sz w:val="28"/>
          <w:szCs w:val="28"/>
          <w:lang w:val="uk-UA"/>
        </w:rPr>
        <w:t>В порівнянні з відповідним періодом 2007 року надходження загального фонду збільшились на 2093,3 тис.грн. або 29 відсотків.</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Видаткова частина бюджету району по загадьному фонду виконана на 99,8 % до уточненого плану 63184,4 тис.грн., касові видатки складають 63030,4 тис.грн. Передано коштів з загального фонду до спеціального фону (бюджету розвитку) 945,5 тис.грн. </w:t>
      </w:r>
    </w:p>
    <w:p w:rsidR="001F3EFF" w:rsidRPr="00113218" w:rsidRDefault="00F46327" w:rsidP="001F3EFF">
      <w:pPr>
        <w:spacing w:line="360" w:lineRule="auto"/>
        <w:ind w:firstLine="709"/>
        <w:jc w:val="both"/>
        <w:rPr>
          <w:sz w:val="28"/>
          <w:szCs w:val="28"/>
          <w:lang w:val="uk-UA"/>
        </w:rPr>
      </w:pPr>
      <w:r w:rsidRPr="00113218">
        <w:rPr>
          <w:sz w:val="28"/>
          <w:szCs w:val="28"/>
          <w:lang w:val="uk-UA"/>
        </w:rPr>
        <w:t xml:space="preserve">Видаткова частина бюджету району по спеціальному фонду виконана на 98,3 % при уточненому плані 2292,0 тис.грн., касові видатки складають 2253,2 тис.грн. </w:t>
      </w:r>
    </w:p>
    <w:p w:rsidR="00F46327" w:rsidRPr="00113218" w:rsidRDefault="001F3EFF" w:rsidP="001F3EFF">
      <w:pPr>
        <w:spacing w:line="360" w:lineRule="auto"/>
        <w:ind w:firstLine="709"/>
        <w:jc w:val="center"/>
        <w:rPr>
          <w:b/>
          <w:bCs/>
          <w:sz w:val="28"/>
          <w:szCs w:val="28"/>
          <w:lang w:val="uk-UA"/>
        </w:rPr>
      </w:pPr>
      <w:r w:rsidRPr="00113218">
        <w:rPr>
          <w:sz w:val="28"/>
          <w:szCs w:val="28"/>
          <w:lang w:val="uk-UA"/>
        </w:rPr>
        <w:br w:type="page"/>
      </w:r>
      <w:r w:rsidR="00F46327" w:rsidRPr="00113218">
        <w:rPr>
          <w:b/>
          <w:bCs/>
          <w:sz w:val="28"/>
          <w:szCs w:val="28"/>
          <w:lang w:val="uk-UA"/>
        </w:rPr>
        <w:t>І. ПОКАЗНИК</w:t>
      </w:r>
      <w:r w:rsidRPr="00113218">
        <w:rPr>
          <w:b/>
          <w:bCs/>
          <w:sz w:val="28"/>
          <w:szCs w:val="28"/>
          <w:lang w:val="uk-UA"/>
        </w:rPr>
        <w:t>И ЕКОНОМІЧНОГО РОЗВИТКУ РЕГІОНУ</w:t>
      </w:r>
    </w:p>
    <w:p w:rsidR="00F46327" w:rsidRPr="00113218" w:rsidRDefault="00F46327" w:rsidP="001F3EFF">
      <w:pPr>
        <w:spacing w:line="360" w:lineRule="auto"/>
        <w:ind w:firstLine="709"/>
        <w:jc w:val="center"/>
        <w:rPr>
          <w:b/>
          <w:bCs/>
          <w:sz w:val="28"/>
          <w:szCs w:val="28"/>
          <w:lang w:val="uk-UA"/>
        </w:rPr>
      </w:pPr>
    </w:p>
    <w:p w:rsidR="00F46327" w:rsidRPr="00113218" w:rsidRDefault="00F46327" w:rsidP="001F3EFF">
      <w:pPr>
        <w:spacing w:line="360" w:lineRule="auto"/>
        <w:ind w:firstLine="709"/>
        <w:jc w:val="center"/>
        <w:rPr>
          <w:b/>
          <w:bCs/>
          <w:sz w:val="28"/>
          <w:szCs w:val="28"/>
          <w:lang w:val="uk-UA"/>
        </w:rPr>
      </w:pPr>
      <w:r w:rsidRPr="00113218">
        <w:rPr>
          <w:b/>
          <w:bCs/>
          <w:sz w:val="28"/>
          <w:szCs w:val="28"/>
          <w:lang w:val="uk-UA"/>
        </w:rPr>
        <w:t>1.1. Промисловість</w:t>
      </w:r>
    </w:p>
    <w:p w:rsidR="00F46327" w:rsidRPr="00113218" w:rsidRDefault="00F46327" w:rsidP="001F3EFF">
      <w:pPr>
        <w:spacing w:line="360" w:lineRule="auto"/>
        <w:ind w:firstLine="709"/>
        <w:jc w:val="both"/>
        <w:rPr>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Промисловий комплекс району</w:t>
      </w:r>
      <w:r w:rsidR="001F3EFF" w:rsidRPr="00113218">
        <w:rPr>
          <w:sz w:val="28"/>
          <w:szCs w:val="28"/>
          <w:lang w:val="uk-UA"/>
        </w:rPr>
        <w:t xml:space="preserve"> </w:t>
      </w:r>
      <w:r w:rsidRPr="00113218">
        <w:rPr>
          <w:sz w:val="28"/>
          <w:szCs w:val="28"/>
          <w:lang w:val="uk-UA"/>
        </w:rPr>
        <w:t xml:space="preserve">є визначальним у сфері матеріального виробництва. </w:t>
      </w:r>
    </w:p>
    <w:p w:rsidR="00F46327" w:rsidRPr="00113218" w:rsidRDefault="00F46327" w:rsidP="001F3EFF">
      <w:pPr>
        <w:spacing w:line="360" w:lineRule="auto"/>
        <w:ind w:firstLine="709"/>
        <w:jc w:val="both"/>
        <w:rPr>
          <w:sz w:val="28"/>
          <w:szCs w:val="28"/>
          <w:lang w:val="uk-UA"/>
        </w:rPr>
      </w:pPr>
      <w:r w:rsidRPr="00113218">
        <w:rPr>
          <w:sz w:val="28"/>
          <w:szCs w:val="28"/>
          <w:lang w:val="uk-UA"/>
        </w:rPr>
        <w:t>Упродовж 2008 року збережено</w:t>
      </w:r>
      <w:r w:rsidR="001F3EFF" w:rsidRPr="00113218">
        <w:rPr>
          <w:sz w:val="28"/>
          <w:szCs w:val="28"/>
          <w:lang w:val="uk-UA"/>
        </w:rPr>
        <w:t xml:space="preserve"> </w:t>
      </w:r>
      <w:r w:rsidRPr="00113218">
        <w:rPr>
          <w:sz w:val="28"/>
          <w:szCs w:val="28"/>
          <w:lang w:val="uk-UA"/>
        </w:rPr>
        <w:t>позитивну динаміку зростання обсягів виробництва промислової продукції. Якщо в 2006 році</w:t>
      </w:r>
      <w:r w:rsidR="001F3EFF" w:rsidRPr="00113218">
        <w:rPr>
          <w:sz w:val="28"/>
          <w:szCs w:val="28"/>
          <w:lang w:val="uk-UA"/>
        </w:rPr>
        <w:t xml:space="preserve"> </w:t>
      </w:r>
      <w:r w:rsidRPr="00113218">
        <w:rPr>
          <w:sz w:val="28"/>
          <w:szCs w:val="28"/>
          <w:lang w:val="uk-UA"/>
        </w:rPr>
        <w:t>обсяг промислової продукції становив 48,1</w:t>
      </w:r>
      <w:r w:rsidR="001F3EFF" w:rsidRPr="00113218">
        <w:rPr>
          <w:sz w:val="28"/>
          <w:szCs w:val="28"/>
          <w:lang w:val="uk-UA"/>
        </w:rPr>
        <w:t xml:space="preserve"> </w:t>
      </w:r>
      <w:r w:rsidRPr="00113218">
        <w:rPr>
          <w:sz w:val="28"/>
          <w:szCs w:val="28"/>
          <w:lang w:val="uk-UA"/>
        </w:rPr>
        <w:t>млн.грн. а темп росту до попереднього року 128,6%,</w:t>
      </w:r>
      <w:r w:rsidR="001F3EFF" w:rsidRPr="00113218">
        <w:rPr>
          <w:sz w:val="28"/>
          <w:szCs w:val="28"/>
          <w:lang w:val="uk-UA"/>
        </w:rPr>
        <w:t xml:space="preserve"> </w:t>
      </w:r>
      <w:r w:rsidRPr="00113218">
        <w:rPr>
          <w:sz w:val="28"/>
          <w:szCs w:val="28"/>
          <w:lang w:val="uk-UA"/>
        </w:rPr>
        <w:t>в 2007р. – відповідно 74,5 млн.грн. і 135,3% то в 2008 році промислової продукції</w:t>
      </w:r>
      <w:r w:rsidR="001F3EFF" w:rsidRPr="00113218">
        <w:rPr>
          <w:sz w:val="28"/>
          <w:szCs w:val="28"/>
          <w:lang w:val="uk-UA"/>
        </w:rPr>
        <w:t xml:space="preserve"> </w:t>
      </w:r>
      <w:r w:rsidRPr="00113218">
        <w:rPr>
          <w:sz w:val="28"/>
          <w:szCs w:val="28"/>
          <w:lang w:val="uk-UA"/>
        </w:rPr>
        <w:t>випущено на суму 100,6 млн.грн.. а темп росту становить</w:t>
      </w:r>
      <w:r w:rsidR="001F3EFF" w:rsidRPr="00113218">
        <w:rPr>
          <w:sz w:val="28"/>
          <w:szCs w:val="28"/>
          <w:lang w:val="uk-UA"/>
        </w:rPr>
        <w:t xml:space="preserve"> </w:t>
      </w:r>
      <w:r w:rsidRPr="00113218">
        <w:rPr>
          <w:sz w:val="28"/>
          <w:szCs w:val="28"/>
          <w:lang w:val="uk-UA"/>
        </w:rPr>
        <w:t>139,3 % при прогнозованих 106%.</w:t>
      </w:r>
    </w:p>
    <w:p w:rsidR="00F46327" w:rsidRPr="00113218" w:rsidRDefault="00F46327" w:rsidP="001F3EFF">
      <w:pPr>
        <w:spacing w:line="360" w:lineRule="auto"/>
        <w:ind w:firstLine="709"/>
        <w:jc w:val="both"/>
        <w:rPr>
          <w:sz w:val="28"/>
          <w:szCs w:val="28"/>
          <w:lang w:val="uk-UA"/>
        </w:rPr>
      </w:pPr>
      <w:r w:rsidRPr="00113218">
        <w:rPr>
          <w:sz w:val="28"/>
          <w:szCs w:val="28"/>
          <w:lang w:val="uk-UA"/>
        </w:rPr>
        <w:t>Значне зростання обсягів виробництва відбулося на:</w:t>
      </w:r>
    </w:p>
    <w:p w:rsidR="00F46327" w:rsidRPr="00113218" w:rsidRDefault="00F46327" w:rsidP="001F3EFF">
      <w:pPr>
        <w:spacing w:line="360" w:lineRule="auto"/>
        <w:ind w:firstLine="709"/>
        <w:jc w:val="both"/>
        <w:rPr>
          <w:sz w:val="28"/>
          <w:szCs w:val="28"/>
          <w:lang w:val="uk-UA"/>
        </w:rPr>
      </w:pPr>
      <w:r w:rsidRPr="00113218">
        <w:rPr>
          <w:sz w:val="28"/>
          <w:szCs w:val="28"/>
          <w:lang w:val="uk-UA"/>
        </w:rPr>
        <w:t>Державному</w:t>
      </w:r>
      <w:r w:rsidR="001F3EFF" w:rsidRPr="00113218">
        <w:rPr>
          <w:sz w:val="28"/>
          <w:szCs w:val="28"/>
          <w:lang w:val="uk-UA"/>
        </w:rPr>
        <w:t xml:space="preserve"> </w:t>
      </w:r>
      <w:r w:rsidRPr="00113218">
        <w:rPr>
          <w:sz w:val="28"/>
          <w:szCs w:val="28"/>
          <w:lang w:val="uk-UA"/>
        </w:rPr>
        <w:t>підприємстві</w:t>
      </w:r>
      <w:r w:rsidR="001F3EFF" w:rsidRPr="00113218">
        <w:rPr>
          <w:sz w:val="28"/>
          <w:szCs w:val="28"/>
          <w:lang w:val="uk-UA"/>
        </w:rPr>
        <w:t xml:space="preserve"> </w:t>
      </w:r>
      <w:r w:rsidRPr="00113218">
        <w:rPr>
          <w:sz w:val="28"/>
          <w:szCs w:val="28"/>
          <w:lang w:val="uk-UA"/>
        </w:rPr>
        <w:t>Залучанський спиртзавод (А.Далібожик) – завдяки приєднанню Підгайчицького спиртзаводу</w:t>
      </w:r>
      <w:r w:rsidR="001F3EFF" w:rsidRPr="00113218">
        <w:rPr>
          <w:sz w:val="28"/>
          <w:szCs w:val="28"/>
          <w:lang w:val="uk-UA"/>
        </w:rPr>
        <w:t xml:space="preserve"> </w:t>
      </w:r>
      <w:r w:rsidRPr="00113218">
        <w:rPr>
          <w:sz w:val="28"/>
          <w:szCs w:val="28"/>
          <w:lang w:val="uk-UA"/>
        </w:rPr>
        <w:t>обсяги виробництва продукції збільшилися на 49,5%.</w:t>
      </w:r>
      <w:r w:rsidR="001F3EFF" w:rsidRPr="00113218">
        <w:rPr>
          <w:sz w:val="28"/>
          <w:szCs w:val="28"/>
          <w:lang w:val="uk-UA"/>
        </w:rPr>
        <w:t xml:space="preserve"> </w:t>
      </w:r>
      <w:r w:rsidRPr="00113218">
        <w:rPr>
          <w:sz w:val="28"/>
          <w:szCs w:val="28"/>
          <w:lang w:val="uk-UA"/>
        </w:rPr>
        <w:t>і становлять</w:t>
      </w:r>
      <w:r w:rsidR="001F3EFF" w:rsidRPr="00113218">
        <w:rPr>
          <w:sz w:val="28"/>
          <w:szCs w:val="28"/>
          <w:lang w:val="uk-UA"/>
        </w:rPr>
        <w:t xml:space="preserve"> </w:t>
      </w:r>
      <w:r w:rsidRPr="00113218">
        <w:rPr>
          <w:sz w:val="28"/>
          <w:szCs w:val="28"/>
          <w:lang w:val="uk-UA"/>
        </w:rPr>
        <w:t>29,1 млн.грн.</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 Постійно нарощують</w:t>
      </w:r>
      <w:r w:rsidR="001F3EFF" w:rsidRPr="00113218">
        <w:rPr>
          <w:sz w:val="28"/>
          <w:szCs w:val="28"/>
          <w:lang w:val="uk-UA"/>
        </w:rPr>
        <w:t xml:space="preserve"> </w:t>
      </w:r>
      <w:r w:rsidRPr="00113218">
        <w:rPr>
          <w:sz w:val="28"/>
          <w:szCs w:val="28"/>
          <w:lang w:val="uk-UA"/>
        </w:rPr>
        <w:t>обсяги виробництва</w:t>
      </w:r>
      <w:r w:rsidR="001F3EFF" w:rsidRPr="00113218">
        <w:rPr>
          <w:sz w:val="28"/>
          <w:szCs w:val="28"/>
          <w:lang w:val="uk-UA"/>
        </w:rPr>
        <w:t xml:space="preserve"> </w:t>
      </w:r>
      <w:r w:rsidRPr="00113218">
        <w:rPr>
          <w:sz w:val="28"/>
          <w:szCs w:val="28"/>
          <w:lang w:val="uk-UA"/>
        </w:rPr>
        <w:t>продукції в ТзОВ „Варто” (Н.Дегтяревська). На даний час</w:t>
      </w:r>
      <w:r w:rsidR="001F3EFF" w:rsidRPr="00113218">
        <w:rPr>
          <w:sz w:val="28"/>
          <w:szCs w:val="28"/>
          <w:lang w:val="uk-UA"/>
        </w:rPr>
        <w:t xml:space="preserve"> </w:t>
      </w:r>
      <w:r w:rsidRPr="00113218">
        <w:rPr>
          <w:sz w:val="28"/>
          <w:szCs w:val="28"/>
          <w:lang w:val="uk-UA"/>
        </w:rPr>
        <w:t>працює на повну потужність 30 пташників. Придбано комплексне обладнання забійного цеху, обладнання розбори, охолодження м’ясопродукції. Проводиться будівництво та реконструкція виробничих приміщень, буріння водних свердловин. Запроваджено безперервний забій птиці і відповідно безперебійне забезпечення покупців м’ясом птиці, що дало змогу збільшити на 30,7 % до 2007 року</w:t>
      </w:r>
      <w:r w:rsidR="001F3EFF" w:rsidRPr="00113218">
        <w:rPr>
          <w:sz w:val="28"/>
          <w:szCs w:val="28"/>
          <w:lang w:val="uk-UA"/>
        </w:rPr>
        <w:t xml:space="preserve"> </w:t>
      </w:r>
      <w:r w:rsidRPr="00113218">
        <w:rPr>
          <w:sz w:val="28"/>
          <w:szCs w:val="28"/>
          <w:lang w:val="uk-UA"/>
        </w:rPr>
        <w:t>обсяги виробництва продукції, загальною сумою 34,7 млн.грн..</w:t>
      </w:r>
      <w:r w:rsidR="001F3EFF" w:rsidRPr="00113218">
        <w:rPr>
          <w:sz w:val="28"/>
          <w:szCs w:val="28"/>
          <w:lang w:val="uk-UA"/>
        </w:rPr>
        <w:t xml:space="preserve"> </w:t>
      </w:r>
      <w:r w:rsidRPr="00113218">
        <w:rPr>
          <w:sz w:val="28"/>
          <w:szCs w:val="28"/>
          <w:lang w:val="uk-UA"/>
        </w:rPr>
        <w:t>та завоювати нові ринки збуту. За один рік роботи в новій галузі ( вирощування гусей ) зуміли добитися високих показників на ЗАТ „Птахофабрика „Снятинська - Нова” (Є.Петричка). 15 приміщень для вирощування гусей дали змогу</w:t>
      </w:r>
      <w:r w:rsidR="001F3EFF" w:rsidRPr="00113218">
        <w:rPr>
          <w:sz w:val="28"/>
          <w:szCs w:val="28"/>
          <w:lang w:val="uk-UA"/>
        </w:rPr>
        <w:t xml:space="preserve"> </w:t>
      </w:r>
      <w:r w:rsidRPr="00113218">
        <w:rPr>
          <w:sz w:val="28"/>
          <w:szCs w:val="28"/>
          <w:lang w:val="uk-UA"/>
        </w:rPr>
        <w:t>утримання</w:t>
      </w:r>
      <w:r w:rsidR="001F3EFF" w:rsidRPr="00113218">
        <w:rPr>
          <w:sz w:val="28"/>
          <w:szCs w:val="28"/>
          <w:lang w:val="uk-UA"/>
        </w:rPr>
        <w:t xml:space="preserve"> </w:t>
      </w:r>
      <w:r w:rsidRPr="00113218">
        <w:rPr>
          <w:sz w:val="28"/>
          <w:szCs w:val="28"/>
          <w:lang w:val="uk-UA"/>
        </w:rPr>
        <w:t>70 тисяч голів одноразової посадки. Введено в дію консервний цех по переробці печінки. Всього в 2008 році вироблено м”ясопродуктів на суму 13,6</w:t>
      </w:r>
      <w:r w:rsidR="001F3EFF" w:rsidRPr="00113218">
        <w:rPr>
          <w:sz w:val="28"/>
          <w:szCs w:val="28"/>
          <w:lang w:val="uk-UA"/>
        </w:rPr>
        <w:t xml:space="preserve"> </w:t>
      </w:r>
      <w:r w:rsidRPr="00113218">
        <w:rPr>
          <w:sz w:val="28"/>
          <w:szCs w:val="28"/>
          <w:lang w:val="uk-UA"/>
        </w:rPr>
        <w:t xml:space="preserve">млн.грн. </w:t>
      </w:r>
    </w:p>
    <w:p w:rsidR="00F46327" w:rsidRPr="00113218" w:rsidRDefault="007B3D88" w:rsidP="001F3EFF">
      <w:pPr>
        <w:spacing w:line="360" w:lineRule="auto"/>
        <w:ind w:firstLine="709"/>
        <w:jc w:val="center"/>
        <w:rPr>
          <w:b/>
          <w:bCs/>
          <w:sz w:val="28"/>
          <w:szCs w:val="28"/>
          <w:lang w:val="uk-UA"/>
        </w:rPr>
      </w:pPr>
      <w:r>
        <w:rPr>
          <w:b/>
          <w:bCs/>
          <w:sz w:val="28"/>
          <w:szCs w:val="28"/>
          <w:lang w:val="uk-UA"/>
        </w:rPr>
        <w:br w:type="page"/>
      </w:r>
      <w:r w:rsidR="00F46327" w:rsidRPr="00113218">
        <w:rPr>
          <w:b/>
          <w:bCs/>
          <w:sz w:val="28"/>
          <w:szCs w:val="28"/>
          <w:lang w:val="uk-UA"/>
        </w:rPr>
        <w:t>1.2. Торгівля і послуги</w:t>
      </w:r>
    </w:p>
    <w:p w:rsidR="001F3EFF" w:rsidRPr="00113218" w:rsidRDefault="001F3EFF"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Аналіз функціонування споживчого ринку</w:t>
      </w:r>
      <w:r w:rsidR="001F3EFF" w:rsidRPr="00113218">
        <w:rPr>
          <w:sz w:val="28"/>
          <w:szCs w:val="28"/>
          <w:lang w:val="uk-UA"/>
        </w:rPr>
        <w:t xml:space="preserve"> </w:t>
      </w:r>
      <w:r w:rsidRPr="00113218">
        <w:rPr>
          <w:sz w:val="28"/>
          <w:szCs w:val="28"/>
          <w:lang w:val="uk-UA"/>
        </w:rPr>
        <w:t>району</w:t>
      </w:r>
      <w:r w:rsidR="001F3EFF" w:rsidRPr="00113218">
        <w:rPr>
          <w:sz w:val="28"/>
          <w:szCs w:val="28"/>
          <w:lang w:val="uk-UA"/>
        </w:rPr>
        <w:t xml:space="preserve"> </w:t>
      </w:r>
      <w:r w:rsidRPr="00113218">
        <w:rPr>
          <w:sz w:val="28"/>
          <w:szCs w:val="28"/>
          <w:lang w:val="uk-UA"/>
        </w:rPr>
        <w:t>показав, що в звітному періоді намітилась</w:t>
      </w:r>
      <w:r w:rsidR="001F3EFF" w:rsidRPr="00113218">
        <w:rPr>
          <w:sz w:val="28"/>
          <w:szCs w:val="28"/>
          <w:lang w:val="uk-UA"/>
        </w:rPr>
        <w:t xml:space="preserve"> </w:t>
      </w:r>
      <w:r w:rsidRPr="00113218">
        <w:rPr>
          <w:sz w:val="28"/>
          <w:szCs w:val="28"/>
          <w:lang w:val="uk-UA"/>
        </w:rPr>
        <w:t>позитивна тенденція щодо зростання обсягів роздрібного товарообігу підприємств торгівлі та ресторанного господарства. Оборот роздрібної торгівлі збільшився проти 2007 року</w:t>
      </w:r>
      <w:r w:rsidR="001F3EFF" w:rsidRPr="00113218">
        <w:rPr>
          <w:sz w:val="28"/>
          <w:szCs w:val="28"/>
          <w:lang w:val="uk-UA"/>
        </w:rPr>
        <w:t xml:space="preserve"> на 21,6 % і склав 82 млн..грн. </w:t>
      </w:r>
      <w:r w:rsidRPr="00113218">
        <w:rPr>
          <w:sz w:val="28"/>
          <w:szCs w:val="28"/>
          <w:lang w:val="uk-UA"/>
        </w:rPr>
        <w:t>В розрахунку на одного жителя товарооборот становить 1219грн., і в порівнянні з відповідним періодом минулого року зріс</w:t>
      </w:r>
      <w:r w:rsidR="001F3EFF" w:rsidRPr="00113218">
        <w:rPr>
          <w:sz w:val="28"/>
          <w:szCs w:val="28"/>
          <w:lang w:val="uk-UA"/>
        </w:rPr>
        <w:t xml:space="preserve"> </w:t>
      </w:r>
      <w:r w:rsidRPr="00113218">
        <w:rPr>
          <w:sz w:val="28"/>
          <w:szCs w:val="28"/>
          <w:lang w:val="uk-UA"/>
        </w:rPr>
        <w:t>на 278грн</w:t>
      </w:r>
      <w:r w:rsidR="001F3EFF" w:rsidRPr="00113218">
        <w:rPr>
          <w:sz w:val="28"/>
          <w:szCs w:val="28"/>
          <w:lang w:val="uk-UA"/>
        </w:rPr>
        <w:t xml:space="preserve">. </w:t>
      </w:r>
      <w:r w:rsidRPr="00113218">
        <w:rPr>
          <w:sz w:val="28"/>
          <w:szCs w:val="28"/>
          <w:lang w:val="uk-UA"/>
        </w:rPr>
        <w:t>В 2008 року</w:t>
      </w:r>
      <w:r w:rsidR="001F3EFF" w:rsidRPr="00113218">
        <w:rPr>
          <w:sz w:val="28"/>
          <w:szCs w:val="28"/>
          <w:lang w:val="uk-UA"/>
        </w:rPr>
        <w:t xml:space="preserve"> </w:t>
      </w:r>
      <w:r w:rsidRPr="00113218">
        <w:rPr>
          <w:sz w:val="28"/>
          <w:szCs w:val="28"/>
          <w:lang w:val="uk-UA"/>
        </w:rPr>
        <w:t>в районі</w:t>
      </w:r>
      <w:r w:rsidR="001F3EFF" w:rsidRPr="00113218">
        <w:rPr>
          <w:sz w:val="28"/>
          <w:szCs w:val="28"/>
          <w:lang w:val="uk-UA"/>
        </w:rPr>
        <w:t xml:space="preserve"> </w:t>
      </w:r>
      <w:r w:rsidRPr="00113218">
        <w:rPr>
          <w:sz w:val="28"/>
          <w:szCs w:val="28"/>
          <w:lang w:val="uk-UA"/>
        </w:rPr>
        <w:t>введено в дію</w:t>
      </w:r>
      <w:r w:rsidR="001F3EFF" w:rsidRPr="00113218">
        <w:rPr>
          <w:sz w:val="28"/>
          <w:szCs w:val="28"/>
          <w:lang w:val="uk-UA"/>
        </w:rPr>
        <w:t xml:space="preserve"> </w:t>
      </w:r>
      <w:r w:rsidRPr="00113218">
        <w:rPr>
          <w:sz w:val="28"/>
          <w:szCs w:val="28"/>
          <w:lang w:val="uk-UA"/>
        </w:rPr>
        <w:t>9 нових торговельних підприємств загальною площею біля 3,3</w:t>
      </w:r>
      <w:r w:rsidR="001F3EFF" w:rsidRPr="00113218">
        <w:rPr>
          <w:sz w:val="28"/>
          <w:szCs w:val="28"/>
          <w:lang w:val="uk-UA"/>
        </w:rPr>
        <w:t xml:space="preserve"> </w:t>
      </w:r>
      <w:r w:rsidRPr="00113218">
        <w:rPr>
          <w:sz w:val="28"/>
          <w:szCs w:val="28"/>
          <w:lang w:val="uk-UA"/>
        </w:rPr>
        <w:t>тис.</w:t>
      </w:r>
      <w:r w:rsidR="001F3EFF" w:rsidRPr="00113218">
        <w:rPr>
          <w:sz w:val="28"/>
          <w:szCs w:val="28"/>
          <w:lang w:val="uk-UA"/>
        </w:rPr>
        <w:t xml:space="preserve"> </w:t>
      </w:r>
      <w:r w:rsidRPr="00113218">
        <w:rPr>
          <w:sz w:val="28"/>
          <w:szCs w:val="28"/>
          <w:lang w:val="uk-UA"/>
        </w:rPr>
        <w:t>м</w:t>
      </w:r>
      <w:r w:rsidRPr="00113218">
        <w:rPr>
          <w:sz w:val="28"/>
          <w:szCs w:val="28"/>
          <w:vertAlign w:val="superscript"/>
          <w:lang w:val="uk-UA"/>
        </w:rPr>
        <w:t>2</w:t>
      </w:r>
      <w:r w:rsidRPr="00113218">
        <w:rPr>
          <w:sz w:val="28"/>
          <w:szCs w:val="28"/>
          <w:lang w:val="uk-UA"/>
        </w:rPr>
        <w:t>., в яких створено понад</w:t>
      </w:r>
      <w:r w:rsidR="001F3EFF" w:rsidRPr="00113218">
        <w:rPr>
          <w:sz w:val="28"/>
          <w:szCs w:val="28"/>
          <w:lang w:val="uk-UA"/>
        </w:rPr>
        <w:t xml:space="preserve"> </w:t>
      </w:r>
      <w:r w:rsidRPr="00113218">
        <w:rPr>
          <w:sz w:val="28"/>
          <w:szCs w:val="28"/>
          <w:lang w:val="uk-UA"/>
        </w:rPr>
        <w:t>65 робочих місць.</w:t>
      </w:r>
      <w:r w:rsidR="001F3EFF" w:rsidRPr="00113218">
        <w:rPr>
          <w:sz w:val="28"/>
          <w:szCs w:val="28"/>
          <w:lang w:val="uk-UA"/>
        </w:rPr>
        <w:t xml:space="preserve"> </w:t>
      </w:r>
      <w:r w:rsidRPr="00113218">
        <w:rPr>
          <w:sz w:val="28"/>
          <w:szCs w:val="28"/>
          <w:lang w:val="uk-UA"/>
        </w:rPr>
        <w:t xml:space="preserve">Значне місце у задоволенні потреб населення у товарах належить ринкам. На території району функціонує 7 ринків, на яких облаштовано 1301 торгове місце. На виконання заходів, затверджених райдержадміністрацією щодо приведення діяльності ринків у відповідність до вимог, передбачених Правилами торгівлі на ринках в 2008 році модернізацію та переоснащення матеріальної бази направлено понад 30 тис.грн.. коштів власних доходів. </w:t>
      </w:r>
    </w:p>
    <w:p w:rsidR="00F46327" w:rsidRPr="00113218" w:rsidRDefault="00F46327"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center"/>
        <w:rPr>
          <w:b/>
          <w:bCs/>
          <w:sz w:val="28"/>
          <w:szCs w:val="28"/>
          <w:lang w:val="uk-UA"/>
        </w:rPr>
      </w:pPr>
      <w:r w:rsidRPr="00113218">
        <w:rPr>
          <w:b/>
          <w:bCs/>
          <w:sz w:val="28"/>
          <w:szCs w:val="28"/>
          <w:lang w:val="uk-UA"/>
        </w:rPr>
        <w:t>1.3. Фінанси</w:t>
      </w:r>
    </w:p>
    <w:p w:rsidR="00F46327" w:rsidRPr="00113218" w:rsidRDefault="00F46327"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Програмним завданням на 2008</w:t>
      </w:r>
      <w:r w:rsidR="001F3EFF" w:rsidRPr="00113218">
        <w:rPr>
          <w:sz w:val="28"/>
          <w:szCs w:val="28"/>
          <w:lang w:val="uk-UA"/>
        </w:rPr>
        <w:t xml:space="preserve"> </w:t>
      </w:r>
      <w:r w:rsidRPr="00113218">
        <w:rPr>
          <w:sz w:val="28"/>
          <w:szCs w:val="28"/>
          <w:lang w:val="uk-UA"/>
        </w:rPr>
        <w:t>рік</w:t>
      </w:r>
      <w:r w:rsidR="001F3EFF" w:rsidRPr="00113218">
        <w:rPr>
          <w:sz w:val="28"/>
          <w:szCs w:val="28"/>
          <w:lang w:val="uk-UA"/>
        </w:rPr>
        <w:t xml:space="preserve"> </w:t>
      </w:r>
      <w:r w:rsidRPr="00113218">
        <w:rPr>
          <w:sz w:val="28"/>
          <w:szCs w:val="28"/>
          <w:lang w:val="uk-UA"/>
        </w:rPr>
        <w:t>було</w:t>
      </w:r>
      <w:r w:rsidR="001F3EFF" w:rsidRPr="00113218">
        <w:rPr>
          <w:sz w:val="28"/>
          <w:szCs w:val="28"/>
          <w:lang w:val="uk-UA"/>
        </w:rPr>
        <w:t xml:space="preserve"> </w:t>
      </w:r>
      <w:r w:rsidRPr="00113218">
        <w:rPr>
          <w:sz w:val="28"/>
          <w:szCs w:val="28"/>
          <w:lang w:val="uk-UA"/>
        </w:rPr>
        <w:t>нарощення прибуткового фінансового результату</w:t>
      </w:r>
      <w:r w:rsidR="001F3EFF" w:rsidRPr="00113218">
        <w:rPr>
          <w:sz w:val="28"/>
          <w:szCs w:val="28"/>
          <w:lang w:val="uk-UA"/>
        </w:rPr>
        <w:t xml:space="preserve"> </w:t>
      </w:r>
      <w:r w:rsidRPr="00113218">
        <w:rPr>
          <w:sz w:val="28"/>
          <w:szCs w:val="28"/>
          <w:lang w:val="uk-UA"/>
        </w:rPr>
        <w:t>та зменшення питомої ваги збиткових підприємств. За результатами 11 місяців фінансовий результат підприємств основного кола склав 2787,4 тис.грн.. Прибуток отримали 23 підприємства в сумі 3428,3 тис.грн., , що становить 74,2%. Збитково спрацювали 8 підприємств. Сума збитків становить 640,9 тис.грн., 25,8%. Темп зростання прибутків прибуткових підприємств до відповідного періоду минулого року становить 118%, збитки зменшились і складають 99,7%.Основною причиною нерентабельної роботи підприємств є зменшення обсягів (УТОС, АТЗТ “Будівельник”) та припинення виробничої діяльності ( ЗАТ “Джурівський завод “Ватра”, ВАТ “Прикарпаттютюн”); неповне відшкодування наданих послуг затвердженими тарифами (КП “Водоканал”).</w:t>
      </w:r>
    </w:p>
    <w:p w:rsidR="00F46327" w:rsidRPr="00113218" w:rsidRDefault="00F46327"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center"/>
        <w:rPr>
          <w:b/>
          <w:bCs/>
          <w:sz w:val="28"/>
          <w:szCs w:val="28"/>
          <w:lang w:val="uk-UA"/>
        </w:rPr>
      </w:pPr>
      <w:r w:rsidRPr="00113218">
        <w:rPr>
          <w:b/>
          <w:bCs/>
          <w:sz w:val="28"/>
          <w:szCs w:val="28"/>
          <w:lang w:val="uk-UA"/>
        </w:rPr>
        <w:t>1.4. Доходи населення</w:t>
      </w:r>
    </w:p>
    <w:p w:rsidR="00F46327" w:rsidRPr="00113218" w:rsidRDefault="00F46327"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Річне програмне завдання щодо створення додаткових робочих місць (650 )</w:t>
      </w:r>
      <w:r w:rsidR="001F3EFF" w:rsidRPr="00113218">
        <w:rPr>
          <w:sz w:val="28"/>
          <w:szCs w:val="28"/>
          <w:lang w:val="uk-UA"/>
        </w:rPr>
        <w:t xml:space="preserve"> </w:t>
      </w:r>
      <w:r w:rsidRPr="00113218">
        <w:rPr>
          <w:sz w:val="28"/>
          <w:szCs w:val="28"/>
          <w:lang w:val="uk-UA"/>
        </w:rPr>
        <w:t>в 2008 році виконано на 161,8 % і за рахунок різних джерел фінансування на підприємствах і організаціях всіх форм власності введено в дію 1052 нових робочих місця. З них – 32 створено за рахунок надання дотацій роботодавцям.</w:t>
      </w:r>
      <w:r w:rsidR="001F3EFF" w:rsidRPr="00113218">
        <w:rPr>
          <w:sz w:val="28"/>
          <w:szCs w:val="28"/>
          <w:lang w:val="uk-UA"/>
        </w:rPr>
        <w:t xml:space="preserve"> </w:t>
      </w:r>
      <w:r w:rsidRPr="00113218">
        <w:rPr>
          <w:sz w:val="28"/>
          <w:szCs w:val="28"/>
          <w:lang w:val="uk-UA"/>
        </w:rPr>
        <w:t>Середньомісячна заробітна плата одного працівника, зайнятого в економіці району , у листопаді</w:t>
      </w:r>
      <w:r w:rsidR="001F3EFF" w:rsidRPr="00113218">
        <w:rPr>
          <w:sz w:val="28"/>
          <w:szCs w:val="28"/>
          <w:lang w:val="uk-UA"/>
        </w:rPr>
        <w:t xml:space="preserve"> </w:t>
      </w:r>
      <w:r w:rsidRPr="00113218">
        <w:rPr>
          <w:sz w:val="28"/>
          <w:szCs w:val="28"/>
          <w:lang w:val="uk-UA"/>
        </w:rPr>
        <w:t>2008 року склала 682,02</w:t>
      </w:r>
      <w:r w:rsidR="001F3EFF" w:rsidRPr="00113218">
        <w:rPr>
          <w:sz w:val="28"/>
          <w:szCs w:val="28"/>
          <w:lang w:val="uk-UA"/>
        </w:rPr>
        <w:t xml:space="preserve"> </w:t>
      </w:r>
      <w:r w:rsidRPr="00113218">
        <w:rPr>
          <w:sz w:val="28"/>
          <w:szCs w:val="28"/>
          <w:lang w:val="uk-UA"/>
        </w:rPr>
        <w:t>грн.,</w:t>
      </w:r>
      <w:r w:rsidR="001F3EFF" w:rsidRPr="00113218">
        <w:rPr>
          <w:sz w:val="28"/>
          <w:szCs w:val="28"/>
          <w:lang w:val="uk-UA"/>
        </w:rPr>
        <w:t xml:space="preserve"> </w:t>
      </w:r>
      <w:r w:rsidRPr="00113218">
        <w:rPr>
          <w:sz w:val="28"/>
          <w:szCs w:val="28"/>
          <w:lang w:val="uk-UA"/>
        </w:rPr>
        <w:t>і зросла до відповідного періоду минулого року на 119,59 грн.., або 21 %.</w:t>
      </w:r>
    </w:p>
    <w:p w:rsidR="001F3EFF" w:rsidRPr="00113218" w:rsidRDefault="00F46327" w:rsidP="001F3EFF">
      <w:pPr>
        <w:spacing w:line="360" w:lineRule="auto"/>
        <w:ind w:firstLine="709"/>
        <w:jc w:val="both"/>
        <w:rPr>
          <w:sz w:val="28"/>
          <w:szCs w:val="28"/>
          <w:lang w:val="uk-UA"/>
        </w:rPr>
      </w:pPr>
      <w:r w:rsidRPr="00113218">
        <w:rPr>
          <w:sz w:val="28"/>
          <w:szCs w:val="28"/>
          <w:lang w:val="uk-UA"/>
        </w:rPr>
        <w:t>Порівняно з січнем 2007 року</w:t>
      </w:r>
      <w:r w:rsidR="001F3EFF" w:rsidRPr="00113218">
        <w:rPr>
          <w:sz w:val="28"/>
          <w:szCs w:val="28"/>
          <w:lang w:val="uk-UA"/>
        </w:rPr>
        <w:t xml:space="preserve"> </w:t>
      </w:r>
      <w:r w:rsidRPr="00113218">
        <w:rPr>
          <w:sz w:val="28"/>
          <w:szCs w:val="28"/>
          <w:lang w:val="uk-UA"/>
        </w:rPr>
        <w:t>ріст становить</w:t>
      </w:r>
      <w:r w:rsidR="001F3EFF" w:rsidRPr="00113218">
        <w:rPr>
          <w:sz w:val="28"/>
          <w:szCs w:val="28"/>
          <w:lang w:val="uk-UA"/>
        </w:rPr>
        <w:t xml:space="preserve"> </w:t>
      </w:r>
      <w:r w:rsidRPr="00113218">
        <w:rPr>
          <w:sz w:val="28"/>
          <w:szCs w:val="28"/>
          <w:lang w:val="uk-UA"/>
        </w:rPr>
        <w:t>28 %. Такий розмір заробітної плати у 1,8 рази перевищив законодавчо встановлений рівень мінімальної заробітної плати (375</w:t>
      </w:r>
      <w:r w:rsidR="001F3EFF" w:rsidRPr="00113218">
        <w:rPr>
          <w:sz w:val="28"/>
          <w:szCs w:val="28"/>
          <w:lang w:val="uk-UA"/>
        </w:rPr>
        <w:t xml:space="preserve"> </w:t>
      </w:r>
      <w:r w:rsidRPr="00113218">
        <w:rPr>
          <w:sz w:val="28"/>
          <w:szCs w:val="28"/>
          <w:lang w:val="uk-UA"/>
        </w:rPr>
        <w:t>грн.) та в 1,35</w:t>
      </w:r>
      <w:r w:rsidR="001F3EFF" w:rsidRPr="00113218">
        <w:rPr>
          <w:sz w:val="28"/>
          <w:szCs w:val="28"/>
          <w:lang w:val="uk-UA"/>
        </w:rPr>
        <w:t xml:space="preserve"> </w:t>
      </w:r>
      <w:r w:rsidRPr="00113218">
        <w:rPr>
          <w:sz w:val="28"/>
          <w:szCs w:val="28"/>
          <w:lang w:val="uk-UA"/>
        </w:rPr>
        <w:t>рази – величину прожиткового мінімуму для працездатної особи (505</w:t>
      </w:r>
      <w:r w:rsidR="001F3EFF" w:rsidRPr="00113218">
        <w:rPr>
          <w:sz w:val="28"/>
          <w:szCs w:val="28"/>
          <w:lang w:val="uk-UA"/>
        </w:rPr>
        <w:t xml:space="preserve"> </w:t>
      </w:r>
      <w:r w:rsidRPr="00113218">
        <w:rPr>
          <w:sz w:val="28"/>
          <w:szCs w:val="28"/>
          <w:lang w:val="uk-UA"/>
        </w:rPr>
        <w:t>грн.)</w:t>
      </w:r>
      <w:r w:rsidR="001F3EFF" w:rsidRPr="00113218">
        <w:rPr>
          <w:sz w:val="28"/>
          <w:szCs w:val="28"/>
          <w:lang w:val="uk-UA"/>
        </w:rPr>
        <w:t xml:space="preserve"> </w:t>
      </w:r>
    </w:p>
    <w:p w:rsidR="00F46327" w:rsidRPr="00113218" w:rsidRDefault="00F46327" w:rsidP="001F3EFF">
      <w:pPr>
        <w:spacing w:line="360" w:lineRule="auto"/>
        <w:ind w:firstLine="709"/>
        <w:jc w:val="both"/>
        <w:rPr>
          <w:sz w:val="28"/>
          <w:szCs w:val="28"/>
          <w:lang w:val="uk-UA"/>
        </w:rPr>
      </w:pPr>
      <w:r w:rsidRPr="00113218">
        <w:rPr>
          <w:sz w:val="28"/>
          <w:szCs w:val="28"/>
          <w:lang w:val="uk-UA"/>
        </w:rPr>
        <w:t>Середньомісячна заробітна плата у січні - листопаді</w:t>
      </w:r>
      <w:r w:rsidR="001F3EFF" w:rsidRPr="00113218">
        <w:rPr>
          <w:sz w:val="28"/>
          <w:szCs w:val="28"/>
          <w:lang w:val="uk-UA"/>
        </w:rPr>
        <w:t xml:space="preserve"> </w:t>
      </w:r>
      <w:r w:rsidRPr="00113218">
        <w:rPr>
          <w:sz w:val="28"/>
          <w:szCs w:val="28"/>
          <w:lang w:val="uk-UA"/>
        </w:rPr>
        <w:t>звітного</w:t>
      </w:r>
      <w:r w:rsidR="001F3EFF" w:rsidRPr="00113218">
        <w:rPr>
          <w:sz w:val="28"/>
          <w:szCs w:val="28"/>
          <w:lang w:val="uk-UA"/>
        </w:rPr>
        <w:t xml:space="preserve"> </w:t>
      </w:r>
      <w:r w:rsidRPr="00113218">
        <w:rPr>
          <w:sz w:val="28"/>
          <w:szCs w:val="28"/>
          <w:lang w:val="uk-UA"/>
        </w:rPr>
        <w:t>року склала 653,08 грн., при запланованому річному програмному показнику</w:t>
      </w:r>
      <w:r w:rsidR="001F3EFF" w:rsidRPr="00113218">
        <w:rPr>
          <w:sz w:val="28"/>
          <w:szCs w:val="28"/>
          <w:lang w:val="uk-UA"/>
        </w:rPr>
        <w:t xml:space="preserve"> </w:t>
      </w:r>
      <w:r w:rsidRPr="00113218">
        <w:rPr>
          <w:sz w:val="28"/>
          <w:szCs w:val="28"/>
          <w:lang w:val="uk-UA"/>
        </w:rPr>
        <w:t>685 грн. Менше встановленого прожиткового мінімуму</w:t>
      </w:r>
      <w:r w:rsidR="001F3EFF" w:rsidRPr="00113218">
        <w:rPr>
          <w:sz w:val="28"/>
          <w:szCs w:val="28"/>
          <w:lang w:val="uk-UA"/>
        </w:rPr>
        <w:t xml:space="preserve"> </w:t>
      </w:r>
      <w:r w:rsidRPr="00113218">
        <w:rPr>
          <w:sz w:val="28"/>
          <w:szCs w:val="28"/>
          <w:lang w:val="uk-UA"/>
        </w:rPr>
        <w:t>одержують заробітну плату працівники торгівлі, ресторанного, лісового</w:t>
      </w:r>
      <w:r w:rsidR="001F3EFF" w:rsidRPr="00113218">
        <w:rPr>
          <w:sz w:val="28"/>
          <w:szCs w:val="28"/>
          <w:lang w:val="uk-UA"/>
        </w:rPr>
        <w:t xml:space="preserve"> </w:t>
      </w:r>
      <w:r w:rsidRPr="00113218">
        <w:rPr>
          <w:sz w:val="28"/>
          <w:szCs w:val="28"/>
          <w:lang w:val="uk-UA"/>
        </w:rPr>
        <w:t>господарства і транспорту.</w:t>
      </w:r>
      <w:r w:rsidR="001F3EFF" w:rsidRPr="00113218">
        <w:rPr>
          <w:sz w:val="28"/>
          <w:szCs w:val="28"/>
          <w:lang w:val="uk-UA"/>
        </w:rPr>
        <w:t xml:space="preserve"> </w:t>
      </w:r>
      <w:r w:rsidRPr="00113218">
        <w:rPr>
          <w:sz w:val="28"/>
          <w:szCs w:val="28"/>
          <w:lang w:val="uk-UA"/>
        </w:rPr>
        <w:t>Заборгованість з виплати заробітної плати на 1.01.2008 р. склала 21 тис.грн.. по економічно-активних підприємствах ( 20,3 тис.грн.. громадська організація “Спорткомплекс</w:t>
      </w:r>
      <w:r w:rsidR="001F3EFF" w:rsidRPr="00113218">
        <w:rPr>
          <w:sz w:val="28"/>
          <w:szCs w:val="28"/>
          <w:lang w:val="uk-UA"/>
        </w:rPr>
        <w:t xml:space="preserve"> </w:t>
      </w:r>
      <w:r w:rsidRPr="00113218">
        <w:rPr>
          <w:sz w:val="28"/>
          <w:szCs w:val="28"/>
          <w:lang w:val="uk-UA"/>
        </w:rPr>
        <w:t>“Колос” та 0,7 тис.грн.. – ЗАТ “Джурівський завод “Ватра”) і 4 тис.грн.. по</w:t>
      </w:r>
      <w:r w:rsidR="001F3EFF" w:rsidRPr="00113218">
        <w:rPr>
          <w:sz w:val="28"/>
          <w:szCs w:val="28"/>
          <w:lang w:val="uk-UA"/>
        </w:rPr>
        <w:t xml:space="preserve"> </w:t>
      </w:r>
      <w:r w:rsidRPr="00113218">
        <w:rPr>
          <w:sz w:val="28"/>
          <w:szCs w:val="28"/>
          <w:lang w:val="uk-UA"/>
        </w:rPr>
        <w:t>підприємствах –банкрутах ( ДКП “Снятинтеплоенерго”).</w:t>
      </w:r>
    </w:p>
    <w:p w:rsidR="00F46327" w:rsidRPr="00113218" w:rsidRDefault="00F46327" w:rsidP="001F3EFF">
      <w:pPr>
        <w:spacing w:line="360" w:lineRule="auto"/>
        <w:ind w:firstLine="709"/>
        <w:jc w:val="both"/>
        <w:rPr>
          <w:sz w:val="28"/>
          <w:szCs w:val="28"/>
          <w:lang w:val="uk-UA"/>
        </w:rPr>
      </w:pPr>
    </w:p>
    <w:p w:rsidR="00F46327" w:rsidRPr="00113218" w:rsidRDefault="00F46327" w:rsidP="001F3EFF">
      <w:pPr>
        <w:spacing w:line="360" w:lineRule="auto"/>
        <w:ind w:firstLine="709"/>
        <w:jc w:val="center"/>
        <w:rPr>
          <w:b/>
          <w:bCs/>
          <w:sz w:val="28"/>
          <w:szCs w:val="28"/>
          <w:lang w:val="uk-UA"/>
        </w:rPr>
      </w:pPr>
      <w:r w:rsidRPr="00113218">
        <w:rPr>
          <w:b/>
          <w:bCs/>
          <w:sz w:val="28"/>
          <w:szCs w:val="28"/>
          <w:lang w:val="uk-UA"/>
        </w:rPr>
        <w:t>1.5.</w:t>
      </w:r>
      <w:r w:rsidR="001F3EFF" w:rsidRPr="00113218">
        <w:rPr>
          <w:b/>
          <w:bCs/>
          <w:sz w:val="28"/>
          <w:szCs w:val="28"/>
          <w:lang w:val="uk-UA"/>
        </w:rPr>
        <w:t xml:space="preserve"> </w:t>
      </w:r>
      <w:r w:rsidRPr="00113218">
        <w:rPr>
          <w:b/>
          <w:bCs/>
          <w:sz w:val="28"/>
          <w:szCs w:val="28"/>
          <w:lang w:val="uk-UA"/>
        </w:rPr>
        <w:t>Житлово комунальне господарство</w:t>
      </w:r>
    </w:p>
    <w:p w:rsidR="00F46327" w:rsidRPr="00113218" w:rsidRDefault="00F46327"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both"/>
        <w:rPr>
          <w:rStyle w:val="txt1"/>
          <w:sz w:val="28"/>
          <w:szCs w:val="28"/>
          <w:lang w:val="uk-UA"/>
        </w:rPr>
      </w:pPr>
      <w:r w:rsidRPr="00113218">
        <w:rPr>
          <w:rStyle w:val="txt1"/>
          <w:sz w:val="28"/>
          <w:szCs w:val="28"/>
          <w:bdr w:val="none" w:sz="0" w:space="0" w:color="auto"/>
          <w:lang w:val="uk-UA"/>
        </w:rPr>
        <w:t>Згідно з напрямками Загальнодержавної, обласної та районної програм реформування та розвитку житлово-комунального господарства на період до 2010 року здійснюються заходи, спрямовані на забезпечення сталого розвитку житлово-комунального господарства, підвищення ефективності та надійності його функціонування для задоволення потреб населення і господарського комплексу району</w:t>
      </w:r>
      <w:r w:rsidR="001F3EFF" w:rsidRPr="00113218">
        <w:rPr>
          <w:rStyle w:val="txt1"/>
          <w:sz w:val="28"/>
          <w:szCs w:val="28"/>
          <w:bdr w:val="none" w:sz="0" w:space="0" w:color="auto"/>
          <w:lang w:val="uk-UA"/>
        </w:rPr>
        <w:t xml:space="preserve"> </w:t>
      </w:r>
      <w:r w:rsidRPr="00113218">
        <w:rPr>
          <w:rStyle w:val="txt1"/>
          <w:sz w:val="28"/>
          <w:szCs w:val="28"/>
          <w:bdr w:val="none" w:sz="0" w:space="0" w:color="auto"/>
          <w:lang w:val="uk-UA"/>
        </w:rPr>
        <w:t>в житлово-комунальних послугах відповідно до встановлених нормативів.</w:t>
      </w:r>
      <w:r w:rsidR="001F3EFF" w:rsidRPr="00113218">
        <w:rPr>
          <w:rStyle w:val="txt1"/>
          <w:sz w:val="28"/>
          <w:szCs w:val="28"/>
          <w:bdr w:val="none" w:sz="0" w:space="0" w:color="auto"/>
          <w:lang w:val="uk-UA"/>
        </w:rPr>
        <w:t xml:space="preserve"> </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Однією з проблем є забезпечення міста Снятина водопостачанням та водовідведенням через аварійний стан водопровідних мереж. </w:t>
      </w:r>
    </w:p>
    <w:p w:rsidR="00F46327" w:rsidRPr="00113218" w:rsidRDefault="00F46327" w:rsidP="001F3EFF">
      <w:pPr>
        <w:spacing w:line="360" w:lineRule="auto"/>
        <w:ind w:firstLine="709"/>
        <w:jc w:val="both"/>
        <w:rPr>
          <w:sz w:val="28"/>
          <w:szCs w:val="28"/>
          <w:lang w:val="uk-UA"/>
        </w:rPr>
      </w:pPr>
      <w:r w:rsidRPr="00113218">
        <w:rPr>
          <w:sz w:val="28"/>
          <w:szCs w:val="28"/>
          <w:lang w:val="uk-UA"/>
        </w:rPr>
        <w:t>За рахунок коштів районного бюджету (40 тис.грн.)</w:t>
      </w:r>
      <w:r w:rsidR="001F3EFF" w:rsidRPr="00113218">
        <w:rPr>
          <w:sz w:val="28"/>
          <w:szCs w:val="28"/>
          <w:lang w:val="uk-UA"/>
        </w:rPr>
        <w:t xml:space="preserve"> </w:t>
      </w:r>
      <w:r w:rsidRPr="00113218">
        <w:rPr>
          <w:sz w:val="28"/>
          <w:szCs w:val="28"/>
          <w:lang w:val="uk-UA"/>
        </w:rPr>
        <w:t>виготовлено проектно - кошторисну документацію на реконструкцію водопровідної мережі в м.Снятині. Кошти</w:t>
      </w:r>
      <w:r w:rsidR="001F3EFF" w:rsidRPr="00113218">
        <w:rPr>
          <w:sz w:val="28"/>
          <w:szCs w:val="28"/>
          <w:lang w:val="uk-UA"/>
        </w:rPr>
        <w:t xml:space="preserve"> </w:t>
      </w:r>
      <w:r w:rsidRPr="00113218">
        <w:rPr>
          <w:sz w:val="28"/>
          <w:szCs w:val="28"/>
          <w:lang w:val="uk-UA"/>
        </w:rPr>
        <w:t>в</w:t>
      </w:r>
      <w:r w:rsidR="001F3EFF" w:rsidRPr="00113218">
        <w:rPr>
          <w:sz w:val="28"/>
          <w:szCs w:val="28"/>
          <w:lang w:val="uk-UA"/>
        </w:rPr>
        <w:t xml:space="preserve"> </w:t>
      </w:r>
      <w:r w:rsidRPr="00113218">
        <w:rPr>
          <w:sz w:val="28"/>
          <w:szCs w:val="28"/>
          <w:lang w:val="uk-UA"/>
        </w:rPr>
        <w:t>сумі 2078 тис..грн. для проведення ремонтних робіт будуть</w:t>
      </w:r>
      <w:r w:rsidR="001F3EFF" w:rsidRPr="00113218">
        <w:rPr>
          <w:sz w:val="28"/>
          <w:szCs w:val="28"/>
          <w:lang w:val="uk-UA"/>
        </w:rPr>
        <w:t xml:space="preserve"> </w:t>
      </w:r>
      <w:r w:rsidRPr="00113218">
        <w:rPr>
          <w:sz w:val="28"/>
          <w:szCs w:val="28"/>
          <w:lang w:val="uk-UA"/>
        </w:rPr>
        <w:t>виділено з державного бюджету</w:t>
      </w:r>
      <w:r w:rsidR="001F3EFF" w:rsidRPr="00113218">
        <w:rPr>
          <w:sz w:val="28"/>
          <w:szCs w:val="28"/>
          <w:lang w:val="uk-UA"/>
        </w:rPr>
        <w:t xml:space="preserve"> </w:t>
      </w:r>
      <w:r w:rsidRPr="00113218">
        <w:rPr>
          <w:sz w:val="28"/>
          <w:szCs w:val="28"/>
          <w:lang w:val="uk-UA"/>
        </w:rPr>
        <w:t xml:space="preserve">в 2007 році. </w:t>
      </w:r>
    </w:p>
    <w:p w:rsidR="00113218" w:rsidRDefault="00F46327" w:rsidP="001F3EFF">
      <w:pPr>
        <w:spacing w:line="360" w:lineRule="auto"/>
        <w:ind w:firstLine="709"/>
        <w:jc w:val="both"/>
        <w:rPr>
          <w:sz w:val="28"/>
          <w:szCs w:val="28"/>
          <w:lang w:val="uk-UA"/>
        </w:rPr>
      </w:pPr>
      <w:r w:rsidRPr="00113218">
        <w:rPr>
          <w:sz w:val="28"/>
          <w:szCs w:val="28"/>
          <w:lang w:val="uk-UA"/>
        </w:rPr>
        <w:t>Для покращення якості питної води та послуг з водопостачання , Заболотівським ККП, за рахунок коштів районного бюджету (11,4 тис.грн..)</w:t>
      </w:r>
      <w:r w:rsidR="001F3EFF" w:rsidRPr="00113218">
        <w:rPr>
          <w:sz w:val="28"/>
          <w:szCs w:val="28"/>
          <w:lang w:val="uk-UA"/>
        </w:rPr>
        <w:t xml:space="preserve"> </w:t>
      </w:r>
      <w:r w:rsidRPr="00113218">
        <w:rPr>
          <w:sz w:val="28"/>
          <w:szCs w:val="28"/>
          <w:lang w:val="uk-UA"/>
        </w:rPr>
        <w:t xml:space="preserve">виготовлено проектно-кошторисну документацію на реконструкцію центрального водогону, довжиною 900 м.пог., що </w:t>
      </w:r>
      <w:r w:rsidR="00113218">
        <w:rPr>
          <w:sz w:val="28"/>
          <w:szCs w:val="28"/>
          <w:lang w:val="uk-UA"/>
        </w:rPr>
        <w:t>знаходиться в аварійному стані.</w:t>
      </w:r>
    </w:p>
    <w:p w:rsidR="00F46327" w:rsidRPr="00113218" w:rsidRDefault="00F46327" w:rsidP="001F3EFF">
      <w:pPr>
        <w:spacing w:line="360" w:lineRule="auto"/>
        <w:ind w:firstLine="709"/>
        <w:jc w:val="both"/>
        <w:rPr>
          <w:sz w:val="28"/>
          <w:szCs w:val="28"/>
          <w:lang w:val="uk-UA"/>
        </w:rPr>
      </w:pPr>
      <w:r w:rsidRPr="00113218">
        <w:rPr>
          <w:sz w:val="28"/>
          <w:szCs w:val="28"/>
          <w:lang w:val="uk-UA"/>
        </w:rPr>
        <w:t>Вартість ремонтних робіт згідно</w:t>
      </w:r>
      <w:r w:rsidR="001F3EFF" w:rsidRPr="00113218">
        <w:rPr>
          <w:sz w:val="28"/>
          <w:szCs w:val="28"/>
          <w:lang w:val="uk-UA"/>
        </w:rPr>
        <w:t xml:space="preserve"> </w:t>
      </w:r>
      <w:r w:rsidRPr="00113218">
        <w:rPr>
          <w:sz w:val="28"/>
          <w:szCs w:val="28"/>
          <w:lang w:val="uk-UA"/>
        </w:rPr>
        <w:t>кошторисної документації становить 841,6 тис.грн.</w:t>
      </w:r>
      <w:r w:rsidR="001F3EFF" w:rsidRPr="00113218">
        <w:rPr>
          <w:sz w:val="28"/>
          <w:szCs w:val="28"/>
          <w:lang w:val="uk-UA"/>
        </w:rPr>
        <w:t xml:space="preserve"> </w:t>
      </w:r>
      <w:r w:rsidRPr="00113218">
        <w:rPr>
          <w:sz w:val="28"/>
          <w:szCs w:val="28"/>
          <w:lang w:val="uk-UA"/>
        </w:rPr>
        <w:t xml:space="preserve">За рахунок коштів обласного фонду охорони навколишнього природного середовища придбано автомашину сміттєвоз КО – 413(ГАЗ-3307) вартістю 102 тис.грн. </w:t>
      </w:r>
    </w:p>
    <w:p w:rsidR="00F46327" w:rsidRPr="00113218" w:rsidRDefault="00F46327" w:rsidP="001F3EFF">
      <w:pPr>
        <w:spacing w:line="360" w:lineRule="auto"/>
        <w:ind w:firstLine="709"/>
        <w:jc w:val="both"/>
        <w:rPr>
          <w:rStyle w:val="txt1"/>
          <w:sz w:val="28"/>
          <w:szCs w:val="28"/>
          <w:lang w:val="uk-UA"/>
        </w:rPr>
      </w:pPr>
      <w:r w:rsidRPr="00113218">
        <w:rPr>
          <w:rStyle w:val="txt1"/>
          <w:sz w:val="28"/>
          <w:szCs w:val="28"/>
          <w:bdr w:val="none" w:sz="0" w:space="0" w:color="auto"/>
          <w:lang w:val="uk-UA"/>
        </w:rPr>
        <w:t>Рівень проплати населенням житлово-комунальних послуг в 2008 році становить 111%.</w:t>
      </w:r>
    </w:p>
    <w:p w:rsidR="00F46327" w:rsidRPr="00113218" w:rsidRDefault="00F46327" w:rsidP="001F3EFF">
      <w:pPr>
        <w:spacing w:line="360" w:lineRule="auto"/>
        <w:ind w:firstLine="709"/>
        <w:jc w:val="both"/>
        <w:rPr>
          <w:sz w:val="28"/>
          <w:szCs w:val="28"/>
          <w:lang w:val="uk-UA"/>
        </w:rPr>
      </w:pPr>
      <w:r w:rsidRPr="00113218">
        <w:rPr>
          <w:rStyle w:val="txt1"/>
          <w:sz w:val="28"/>
          <w:szCs w:val="28"/>
          <w:bdr w:val="none" w:sz="0" w:space="0" w:color="auto"/>
          <w:lang w:val="uk-UA"/>
        </w:rPr>
        <w:t xml:space="preserve">Однак, </w:t>
      </w:r>
      <w:r w:rsidR="00544B5D" w:rsidRPr="00113218">
        <w:rPr>
          <w:rStyle w:val="txt1"/>
          <w:sz w:val="28"/>
          <w:szCs w:val="28"/>
          <w:bdr w:val="none" w:sz="0" w:space="0" w:color="auto"/>
          <w:lang w:val="uk-UA"/>
        </w:rPr>
        <w:t xml:space="preserve">з </w:t>
      </w:r>
      <w:r w:rsidRPr="00113218">
        <w:rPr>
          <w:sz w:val="28"/>
          <w:szCs w:val="28"/>
          <w:lang w:val="uk-UA"/>
        </w:rPr>
        <w:t>невідповідністю тарифів фактичній вартості житлово-комунальних послуг, залишається складним фінансовий стан підприємств житлово-комунального господарства.</w:t>
      </w:r>
      <w:r w:rsidR="00113218">
        <w:rPr>
          <w:sz w:val="28"/>
          <w:szCs w:val="28"/>
          <w:lang w:val="uk-UA"/>
        </w:rPr>
        <w:t xml:space="preserve"> </w:t>
      </w:r>
      <w:r w:rsidRPr="00113218">
        <w:rPr>
          <w:sz w:val="28"/>
          <w:szCs w:val="28"/>
          <w:lang w:val="uk-UA"/>
        </w:rPr>
        <w:t>Так за підсумками 11 місяців рівень відшкодування тарифів на послуги з водопостачання та водовідведення по КП “Водоканал” складав 73,2 та 98 відсотків</w:t>
      </w:r>
      <w:r w:rsidR="001F3EFF" w:rsidRPr="00113218">
        <w:rPr>
          <w:sz w:val="28"/>
          <w:szCs w:val="28"/>
          <w:lang w:val="uk-UA"/>
        </w:rPr>
        <w:t xml:space="preserve"> </w:t>
      </w:r>
      <w:r w:rsidRPr="00113218">
        <w:rPr>
          <w:sz w:val="28"/>
          <w:szCs w:val="28"/>
          <w:lang w:val="uk-UA"/>
        </w:rPr>
        <w:t>відповідно. Рівень відшкодування на дані послуги по Заболотівському ККП склав</w:t>
      </w:r>
      <w:r w:rsidR="001F3EFF" w:rsidRPr="00113218">
        <w:rPr>
          <w:sz w:val="28"/>
          <w:szCs w:val="28"/>
          <w:lang w:val="uk-UA"/>
        </w:rPr>
        <w:t xml:space="preserve"> </w:t>
      </w:r>
      <w:r w:rsidRPr="00113218">
        <w:rPr>
          <w:sz w:val="28"/>
          <w:szCs w:val="28"/>
          <w:lang w:val="uk-UA"/>
        </w:rPr>
        <w:t>відповідно</w:t>
      </w:r>
      <w:r w:rsidR="001F3EFF" w:rsidRPr="00113218">
        <w:rPr>
          <w:sz w:val="28"/>
          <w:szCs w:val="28"/>
          <w:lang w:val="uk-UA"/>
        </w:rPr>
        <w:t xml:space="preserve"> </w:t>
      </w:r>
      <w:r w:rsidRPr="00113218">
        <w:rPr>
          <w:sz w:val="28"/>
          <w:szCs w:val="28"/>
          <w:lang w:val="uk-UA"/>
        </w:rPr>
        <w:t>85 та 80,9</w:t>
      </w:r>
      <w:r w:rsidR="001F3EFF" w:rsidRPr="00113218">
        <w:rPr>
          <w:sz w:val="28"/>
          <w:szCs w:val="28"/>
          <w:lang w:val="uk-UA"/>
        </w:rPr>
        <w:t xml:space="preserve"> </w:t>
      </w:r>
      <w:r w:rsidRPr="00113218">
        <w:rPr>
          <w:sz w:val="28"/>
          <w:szCs w:val="28"/>
          <w:lang w:val="uk-UA"/>
        </w:rPr>
        <w:t>відсотки</w:t>
      </w:r>
    </w:p>
    <w:p w:rsidR="00F46327" w:rsidRPr="00113218" w:rsidRDefault="007B3D88" w:rsidP="001F3EFF">
      <w:pPr>
        <w:spacing w:line="360" w:lineRule="auto"/>
        <w:ind w:firstLine="709"/>
        <w:jc w:val="center"/>
        <w:rPr>
          <w:b/>
          <w:bCs/>
          <w:sz w:val="28"/>
          <w:szCs w:val="28"/>
          <w:lang w:val="uk-UA"/>
        </w:rPr>
      </w:pPr>
      <w:r>
        <w:rPr>
          <w:b/>
          <w:bCs/>
          <w:sz w:val="28"/>
          <w:szCs w:val="28"/>
          <w:lang w:val="uk-UA"/>
        </w:rPr>
        <w:br w:type="page"/>
      </w:r>
      <w:r w:rsidR="00F46327" w:rsidRPr="00113218">
        <w:rPr>
          <w:b/>
          <w:bCs/>
          <w:sz w:val="28"/>
          <w:szCs w:val="28"/>
          <w:lang w:val="uk-UA"/>
        </w:rPr>
        <w:t>1.6. Розвиток підприємництва</w:t>
      </w:r>
    </w:p>
    <w:p w:rsidR="001F3EFF" w:rsidRPr="00113218" w:rsidRDefault="001F3EFF"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До державного реєстру</w:t>
      </w:r>
      <w:r w:rsidR="001F3EFF" w:rsidRPr="00113218">
        <w:rPr>
          <w:sz w:val="28"/>
          <w:szCs w:val="28"/>
          <w:lang w:val="uk-UA"/>
        </w:rPr>
        <w:t xml:space="preserve"> </w:t>
      </w:r>
      <w:r w:rsidRPr="00113218">
        <w:rPr>
          <w:sz w:val="28"/>
          <w:szCs w:val="28"/>
          <w:lang w:val="uk-UA"/>
        </w:rPr>
        <w:t>внесено 242</w:t>
      </w:r>
      <w:r w:rsidR="001F3EFF" w:rsidRPr="00113218">
        <w:rPr>
          <w:sz w:val="28"/>
          <w:szCs w:val="28"/>
          <w:lang w:val="uk-UA"/>
        </w:rPr>
        <w:t xml:space="preserve"> </w:t>
      </w:r>
      <w:r w:rsidRPr="00113218">
        <w:rPr>
          <w:sz w:val="28"/>
          <w:szCs w:val="28"/>
          <w:lang w:val="uk-UA"/>
        </w:rPr>
        <w:t>суб”єкти</w:t>
      </w:r>
      <w:r w:rsidR="001F3EFF" w:rsidRPr="00113218">
        <w:rPr>
          <w:sz w:val="28"/>
          <w:szCs w:val="28"/>
          <w:lang w:val="uk-UA"/>
        </w:rPr>
        <w:t xml:space="preserve"> </w:t>
      </w:r>
      <w:r w:rsidRPr="00113218">
        <w:rPr>
          <w:sz w:val="28"/>
          <w:szCs w:val="28"/>
          <w:lang w:val="uk-UA"/>
        </w:rPr>
        <w:t>малого бізнесу юридичних</w:t>
      </w:r>
      <w:r w:rsidR="001F3EFF" w:rsidRPr="00113218">
        <w:rPr>
          <w:sz w:val="28"/>
          <w:szCs w:val="28"/>
          <w:lang w:val="uk-UA"/>
        </w:rPr>
        <w:t xml:space="preserve"> </w:t>
      </w:r>
      <w:r w:rsidRPr="00113218">
        <w:rPr>
          <w:sz w:val="28"/>
          <w:szCs w:val="28"/>
          <w:lang w:val="uk-UA"/>
        </w:rPr>
        <w:t>осіб, з яких 200 – діючих підприємств, по 6 – провадиться процедура банкрутства, 36 – в стані ліквідації, а також</w:t>
      </w:r>
      <w:r w:rsidR="001F3EFF" w:rsidRPr="00113218">
        <w:rPr>
          <w:sz w:val="28"/>
          <w:szCs w:val="28"/>
          <w:lang w:val="uk-UA"/>
        </w:rPr>
        <w:t xml:space="preserve"> </w:t>
      </w:r>
      <w:r w:rsidRPr="00113218">
        <w:rPr>
          <w:sz w:val="28"/>
          <w:szCs w:val="28"/>
          <w:lang w:val="uk-UA"/>
        </w:rPr>
        <w:t>1727 – фізичних осіб. З розрахунку на 10 тисяч населення припадає</w:t>
      </w:r>
      <w:r w:rsidR="001F3EFF" w:rsidRPr="00113218">
        <w:rPr>
          <w:sz w:val="28"/>
          <w:szCs w:val="28"/>
          <w:lang w:val="uk-UA"/>
        </w:rPr>
        <w:t xml:space="preserve"> </w:t>
      </w:r>
      <w:r w:rsidRPr="00113218">
        <w:rPr>
          <w:sz w:val="28"/>
          <w:szCs w:val="28"/>
          <w:lang w:val="uk-UA"/>
        </w:rPr>
        <w:t>36</w:t>
      </w:r>
      <w:r w:rsidR="001F3EFF" w:rsidRPr="00113218">
        <w:rPr>
          <w:sz w:val="28"/>
          <w:szCs w:val="28"/>
          <w:lang w:val="uk-UA"/>
        </w:rPr>
        <w:t xml:space="preserve"> </w:t>
      </w:r>
      <w:r w:rsidRPr="00113218">
        <w:rPr>
          <w:sz w:val="28"/>
          <w:szCs w:val="28"/>
          <w:lang w:val="uk-UA"/>
        </w:rPr>
        <w:t>юридичних</w:t>
      </w:r>
      <w:r w:rsidR="001F3EFF" w:rsidRPr="00113218">
        <w:rPr>
          <w:sz w:val="28"/>
          <w:szCs w:val="28"/>
          <w:lang w:val="uk-UA"/>
        </w:rPr>
        <w:t xml:space="preserve"> </w:t>
      </w:r>
      <w:r w:rsidRPr="00113218">
        <w:rPr>
          <w:sz w:val="28"/>
          <w:szCs w:val="28"/>
          <w:lang w:val="uk-UA"/>
        </w:rPr>
        <w:t>та 257</w:t>
      </w:r>
      <w:r w:rsidR="001F3EFF" w:rsidRPr="00113218">
        <w:rPr>
          <w:sz w:val="28"/>
          <w:szCs w:val="28"/>
          <w:lang w:val="uk-UA"/>
        </w:rPr>
        <w:t xml:space="preserve"> </w:t>
      </w:r>
      <w:r w:rsidRPr="00113218">
        <w:rPr>
          <w:sz w:val="28"/>
          <w:szCs w:val="28"/>
          <w:lang w:val="uk-UA"/>
        </w:rPr>
        <w:t xml:space="preserve">СПД фізичних осіб. </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В 2008 році державну реєстрацію здійснили 412 нових суб”єктів господарювання, що на 68 % більше ніж в 2007 році, в т.ч. 18 юридичних та 394 фізичних. </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За результатами проведеного аналізу фінансово-господарської діяльності за 9 місяців 2008р. обсяг реалізованих робіт зріс на 9,2 млн.грн.. і становив 24,3 млн.грн.. </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Надходження від суб”єктів малого підприємництва в 2008 році складають 4151,7 тис.грн., що становить 20,4 % в загальній сумі надходжень. </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 Налагоджено роботу щодо запровадження видачі документів дозвільного характеру за принципом організаційної єдності.</w:t>
      </w:r>
      <w:r w:rsidR="001F3EFF" w:rsidRPr="00113218">
        <w:rPr>
          <w:sz w:val="28"/>
          <w:szCs w:val="28"/>
          <w:lang w:val="uk-UA"/>
        </w:rPr>
        <w:t xml:space="preserve"> </w:t>
      </w:r>
      <w:r w:rsidRPr="00113218">
        <w:rPr>
          <w:sz w:val="28"/>
          <w:szCs w:val="28"/>
          <w:lang w:val="uk-UA"/>
        </w:rPr>
        <w:t>З часу створення Дозвільного центру надано</w:t>
      </w:r>
      <w:r w:rsidR="001F3EFF" w:rsidRPr="00113218">
        <w:rPr>
          <w:sz w:val="28"/>
          <w:szCs w:val="28"/>
          <w:lang w:val="uk-UA"/>
        </w:rPr>
        <w:t xml:space="preserve"> </w:t>
      </w:r>
      <w:r w:rsidRPr="00113218">
        <w:rPr>
          <w:sz w:val="28"/>
          <w:szCs w:val="28"/>
          <w:lang w:val="uk-UA"/>
        </w:rPr>
        <w:t>125 консультацій</w:t>
      </w:r>
      <w:r w:rsidR="001F3EFF" w:rsidRPr="00113218">
        <w:rPr>
          <w:sz w:val="28"/>
          <w:szCs w:val="28"/>
          <w:lang w:val="uk-UA"/>
        </w:rPr>
        <w:t xml:space="preserve"> </w:t>
      </w:r>
      <w:r w:rsidRPr="00113218">
        <w:rPr>
          <w:sz w:val="28"/>
          <w:szCs w:val="28"/>
          <w:lang w:val="uk-UA"/>
        </w:rPr>
        <w:t>та видано 52</w:t>
      </w:r>
      <w:r w:rsidR="001F3EFF" w:rsidRPr="00113218">
        <w:rPr>
          <w:sz w:val="28"/>
          <w:szCs w:val="28"/>
          <w:lang w:val="uk-UA"/>
        </w:rPr>
        <w:t xml:space="preserve"> </w:t>
      </w:r>
      <w:r w:rsidRPr="00113218">
        <w:rPr>
          <w:sz w:val="28"/>
          <w:szCs w:val="28"/>
          <w:lang w:val="uk-UA"/>
        </w:rPr>
        <w:t>документи</w:t>
      </w:r>
      <w:r w:rsidR="001F3EFF" w:rsidRPr="00113218">
        <w:rPr>
          <w:sz w:val="28"/>
          <w:szCs w:val="28"/>
          <w:lang w:val="uk-UA"/>
        </w:rPr>
        <w:t xml:space="preserve"> </w:t>
      </w:r>
      <w:r w:rsidRPr="00113218">
        <w:rPr>
          <w:sz w:val="28"/>
          <w:szCs w:val="28"/>
          <w:lang w:val="uk-UA"/>
        </w:rPr>
        <w:t>дозвільного характеру.</w:t>
      </w:r>
    </w:p>
    <w:p w:rsidR="001F3EFF" w:rsidRPr="00113218" w:rsidRDefault="00F46327" w:rsidP="001F3EFF">
      <w:pPr>
        <w:spacing w:line="360" w:lineRule="auto"/>
        <w:ind w:firstLine="709"/>
        <w:jc w:val="both"/>
        <w:rPr>
          <w:sz w:val="28"/>
          <w:szCs w:val="28"/>
          <w:lang w:val="uk-UA"/>
        </w:rPr>
      </w:pPr>
      <w:r w:rsidRPr="00113218">
        <w:rPr>
          <w:sz w:val="28"/>
          <w:szCs w:val="28"/>
          <w:lang w:val="uk-UA"/>
        </w:rPr>
        <w:t>На виконання заходів</w:t>
      </w:r>
      <w:r w:rsidR="001F3EFF" w:rsidRPr="00113218">
        <w:rPr>
          <w:sz w:val="28"/>
          <w:szCs w:val="28"/>
          <w:lang w:val="uk-UA"/>
        </w:rPr>
        <w:t xml:space="preserve"> </w:t>
      </w:r>
      <w:r w:rsidRPr="00113218">
        <w:rPr>
          <w:sz w:val="28"/>
          <w:szCs w:val="28"/>
          <w:lang w:val="uk-UA"/>
        </w:rPr>
        <w:t>програми підтримки малого підприємництва в 2008 році з районного бюджету було виділено 12,8 тис.грн. З них – 6 тис.грн.. на технічне забезпечення Дозвільного центру та 6 тис.грн.. на фінансову підтримку Бізнес-центру.</w:t>
      </w:r>
      <w:r w:rsidR="001F3EFF" w:rsidRPr="00113218">
        <w:rPr>
          <w:sz w:val="28"/>
          <w:szCs w:val="28"/>
          <w:lang w:val="uk-UA"/>
        </w:rPr>
        <w:t xml:space="preserve"> </w:t>
      </w:r>
    </w:p>
    <w:p w:rsidR="00F46327" w:rsidRPr="00113218" w:rsidRDefault="001F3EFF" w:rsidP="001F3EFF">
      <w:pPr>
        <w:spacing w:line="360" w:lineRule="auto"/>
        <w:ind w:firstLine="709"/>
        <w:jc w:val="center"/>
        <w:rPr>
          <w:b/>
          <w:bCs/>
          <w:sz w:val="28"/>
          <w:szCs w:val="28"/>
          <w:lang w:val="uk-UA"/>
        </w:rPr>
      </w:pPr>
      <w:r w:rsidRPr="00113218">
        <w:rPr>
          <w:sz w:val="28"/>
          <w:szCs w:val="28"/>
          <w:lang w:val="uk-UA"/>
        </w:rPr>
        <w:br w:type="page"/>
      </w:r>
      <w:r w:rsidR="00F46327" w:rsidRPr="00113218">
        <w:rPr>
          <w:b/>
          <w:bCs/>
          <w:sz w:val="28"/>
          <w:szCs w:val="28"/>
          <w:lang w:val="uk-UA"/>
        </w:rPr>
        <w:t>ІІ. ДОХОДИ</w:t>
      </w:r>
    </w:p>
    <w:p w:rsidR="00F46327" w:rsidRPr="00113218" w:rsidRDefault="00F46327" w:rsidP="001F3EFF">
      <w:pPr>
        <w:spacing w:line="360" w:lineRule="auto"/>
        <w:ind w:firstLine="709"/>
        <w:jc w:val="both"/>
        <w:rPr>
          <w:b/>
          <w:bCs/>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До місцевих бюджетів району</w:t>
      </w:r>
      <w:r w:rsidR="001F3EFF" w:rsidRPr="00113218">
        <w:rPr>
          <w:sz w:val="28"/>
          <w:szCs w:val="28"/>
          <w:lang w:val="uk-UA"/>
        </w:rPr>
        <w:t xml:space="preserve"> </w:t>
      </w:r>
      <w:r w:rsidRPr="00113218">
        <w:rPr>
          <w:sz w:val="28"/>
          <w:szCs w:val="28"/>
          <w:lang w:val="uk-UA"/>
        </w:rPr>
        <w:t>за</w:t>
      </w:r>
      <w:r w:rsidR="001F3EFF" w:rsidRPr="00113218">
        <w:rPr>
          <w:sz w:val="28"/>
          <w:szCs w:val="28"/>
          <w:lang w:val="uk-UA"/>
        </w:rPr>
        <w:t xml:space="preserve"> </w:t>
      </w:r>
      <w:r w:rsidRPr="00113218">
        <w:rPr>
          <w:sz w:val="28"/>
          <w:szCs w:val="28"/>
          <w:lang w:val="uk-UA"/>
        </w:rPr>
        <w:t>2008 рік надійшло доходів загального та спеціального фондів в сумі</w:t>
      </w:r>
      <w:r w:rsidR="001F3EFF" w:rsidRPr="00113218">
        <w:rPr>
          <w:sz w:val="28"/>
          <w:szCs w:val="28"/>
          <w:lang w:val="uk-UA"/>
        </w:rPr>
        <w:t xml:space="preserve"> </w:t>
      </w:r>
      <w:r w:rsidRPr="00113218">
        <w:rPr>
          <w:sz w:val="28"/>
          <w:szCs w:val="28"/>
          <w:lang w:val="uk-UA"/>
        </w:rPr>
        <w:t>11277,4 тис.грн. або 107 відсотків</w:t>
      </w:r>
      <w:r w:rsidR="001F3EFF" w:rsidRPr="00113218">
        <w:rPr>
          <w:sz w:val="28"/>
          <w:szCs w:val="28"/>
          <w:lang w:val="uk-UA"/>
        </w:rPr>
        <w:t xml:space="preserve"> </w:t>
      </w:r>
      <w:r w:rsidRPr="00113218">
        <w:rPr>
          <w:sz w:val="28"/>
          <w:szCs w:val="28"/>
          <w:lang w:val="uk-UA"/>
        </w:rPr>
        <w:t xml:space="preserve">уточненого плану на рік, в тому числі до загального фонду – 9429,6 тис.грн. або відповідно 103 відсотки. </w:t>
      </w:r>
    </w:p>
    <w:p w:rsidR="00F46327" w:rsidRPr="00113218" w:rsidRDefault="00F46327" w:rsidP="001F3EFF">
      <w:pPr>
        <w:spacing w:line="360" w:lineRule="auto"/>
        <w:ind w:firstLine="709"/>
        <w:jc w:val="both"/>
        <w:rPr>
          <w:sz w:val="28"/>
          <w:szCs w:val="28"/>
          <w:lang w:val="uk-UA"/>
        </w:rPr>
      </w:pPr>
      <w:r w:rsidRPr="00113218">
        <w:rPr>
          <w:sz w:val="28"/>
          <w:szCs w:val="28"/>
          <w:lang w:val="uk-UA"/>
        </w:rPr>
        <w:t xml:space="preserve">Надходження доходів, що враховуються при визначенні міжбюджетних трансфертів у звітному періоді склали – 8435,1 тис.грн. або 102 відсотки до уточнених показників, затверджених місцевими радами та 117 відсотків до доведених Міністерством фінансів України. </w:t>
      </w:r>
    </w:p>
    <w:p w:rsidR="00F46327" w:rsidRPr="00113218" w:rsidRDefault="00F46327" w:rsidP="001F3EFF">
      <w:pPr>
        <w:spacing w:line="360" w:lineRule="auto"/>
        <w:ind w:firstLine="709"/>
        <w:jc w:val="both"/>
        <w:rPr>
          <w:sz w:val="28"/>
          <w:szCs w:val="28"/>
          <w:lang w:val="uk-UA"/>
        </w:rPr>
      </w:pPr>
      <w:r w:rsidRPr="00113218">
        <w:rPr>
          <w:sz w:val="28"/>
          <w:szCs w:val="28"/>
          <w:lang w:val="uk-UA"/>
        </w:rPr>
        <w:t>В розрізі видів бюджетів уточнені планові показники по доходах</w:t>
      </w:r>
      <w:r w:rsidR="001F3EFF" w:rsidRPr="00113218">
        <w:rPr>
          <w:sz w:val="28"/>
          <w:szCs w:val="28"/>
          <w:lang w:val="uk-UA"/>
        </w:rPr>
        <w:t xml:space="preserve"> </w:t>
      </w:r>
      <w:r w:rsidRPr="00113218">
        <w:rPr>
          <w:sz w:val="28"/>
          <w:szCs w:val="28"/>
          <w:lang w:val="uk-UA"/>
        </w:rPr>
        <w:t xml:space="preserve">виконано всіма бюджетами. </w:t>
      </w:r>
    </w:p>
    <w:p w:rsidR="00F46327" w:rsidRPr="00113218" w:rsidRDefault="00F46327" w:rsidP="001F3EFF">
      <w:pPr>
        <w:spacing w:line="360" w:lineRule="auto"/>
        <w:ind w:firstLine="709"/>
        <w:jc w:val="both"/>
        <w:rPr>
          <w:sz w:val="28"/>
          <w:szCs w:val="28"/>
          <w:lang w:val="uk-UA"/>
        </w:rPr>
      </w:pPr>
      <w:r w:rsidRPr="00113218">
        <w:rPr>
          <w:sz w:val="28"/>
          <w:szCs w:val="28"/>
          <w:lang w:val="uk-UA"/>
        </w:rPr>
        <w:t>В порівнянні з відповідним періодом 2007 року надходження загального фонду збільшились на 2093,3 тис.грн. або 29 відсотків</w:t>
      </w:r>
    </w:p>
    <w:p w:rsidR="00F46327" w:rsidRPr="00113218" w:rsidRDefault="00F46327" w:rsidP="001F3EFF">
      <w:pPr>
        <w:spacing w:line="360" w:lineRule="auto"/>
        <w:ind w:firstLine="709"/>
        <w:jc w:val="both"/>
        <w:rPr>
          <w:sz w:val="28"/>
          <w:szCs w:val="28"/>
          <w:lang w:val="uk-UA"/>
        </w:rPr>
      </w:pPr>
      <w:r w:rsidRPr="00113218">
        <w:rPr>
          <w:sz w:val="28"/>
          <w:szCs w:val="28"/>
          <w:lang w:val="uk-UA"/>
        </w:rPr>
        <w:t>Основним бюджетоутворюючим джерелом місцевих бюджетів залишається податок з доходів фізичних осіб, питома вага надходжень якого в обсязі доходів загального фонду склала 69,9 відсотків. За січень – грудень 2008 року місцевими бюджетами району отримано 6592,4 цього податку, або 102 відсотки до уточненого плану на рік. В порівнянні з відповідним минулорічним показником надходження даного податку зросли на 1780,0 тис.грн.</w:t>
      </w:r>
    </w:p>
    <w:p w:rsidR="00F46327" w:rsidRPr="00113218" w:rsidRDefault="00F46327" w:rsidP="001F3EFF">
      <w:pPr>
        <w:spacing w:line="360" w:lineRule="auto"/>
        <w:ind w:firstLine="709"/>
        <w:jc w:val="both"/>
        <w:rPr>
          <w:sz w:val="28"/>
          <w:szCs w:val="28"/>
          <w:lang w:val="uk-UA"/>
        </w:rPr>
      </w:pPr>
      <w:r w:rsidRPr="00113218">
        <w:rPr>
          <w:sz w:val="28"/>
          <w:szCs w:val="28"/>
          <w:lang w:val="uk-UA"/>
        </w:rPr>
        <w:t>В розрізі платників податків найбільші суми податку з доходів фізичних осіб перерахували:</w:t>
      </w:r>
    </w:p>
    <w:p w:rsidR="00F46327" w:rsidRPr="00113218" w:rsidRDefault="00F46327" w:rsidP="001F3EFF">
      <w:pPr>
        <w:spacing w:line="360" w:lineRule="auto"/>
        <w:ind w:firstLine="709"/>
        <w:jc w:val="both"/>
        <w:rPr>
          <w:sz w:val="28"/>
          <w:szCs w:val="28"/>
          <w:lang w:val="uk-UA"/>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2487"/>
        <w:gridCol w:w="3641"/>
      </w:tblGrid>
      <w:tr w:rsidR="00F46327" w:rsidRPr="006811EA" w:rsidTr="006811EA">
        <w:tc>
          <w:tcPr>
            <w:tcW w:w="1798"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 xml:space="preserve">Назва платника </w:t>
            </w:r>
          </w:p>
        </w:tc>
        <w:tc>
          <w:tcPr>
            <w:tcW w:w="1299"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Сплачено, тис.грн. (100% )</w:t>
            </w:r>
          </w:p>
        </w:tc>
        <w:tc>
          <w:tcPr>
            <w:tcW w:w="1902"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Питома вага в загальній сумі надходжень</w:t>
            </w:r>
          </w:p>
        </w:tc>
      </w:tr>
      <w:tr w:rsidR="00F46327" w:rsidRPr="006811EA" w:rsidTr="006811EA">
        <w:tc>
          <w:tcPr>
            <w:tcW w:w="1798"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ЗАТ „Снятинський цегельний завод”</w:t>
            </w:r>
          </w:p>
        </w:tc>
        <w:tc>
          <w:tcPr>
            <w:tcW w:w="1299"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451,3</w:t>
            </w:r>
          </w:p>
        </w:tc>
        <w:tc>
          <w:tcPr>
            <w:tcW w:w="1902"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7%</w:t>
            </w:r>
          </w:p>
        </w:tc>
      </w:tr>
      <w:tr w:rsidR="00F46327" w:rsidRPr="006811EA" w:rsidTr="006811EA">
        <w:tc>
          <w:tcPr>
            <w:tcW w:w="1798"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Залучанський спиртзавод</w:t>
            </w:r>
          </w:p>
        </w:tc>
        <w:tc>
          <w:tcPr>
            <w:tcW w:w="1299"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212,8</w:t>
            </w:r>
          </w:p>
        </w:tc>
        <w:tc>
          <w:tcPr>
            <w:tcW w:w="1902"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3%</w:t>
            </w:r>
          </w:p>
        </w:tc>
      </w:tr>
      <w:tr w:rsidR="00F46327" w:rsidRPr="006811EA" w:rsidTr="006811EA">
        <w:tc>
          <w:tcPr>
            <w:tcW w:w="1798"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ЗАТ "Птахофабрика Снятинська Нова</w:t>
            </w:r>
          </w:p>
        </w:tc>
        <w:tc>
          <w:tcPr>
            <w:tcW w:w="1299"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721,4</w:t>
            </w:r>
          </w:p>
        </w:tc>
        <w:tc>
          <w:tcPr>
            <w:tcW w:w="1902"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11%</w:t>
            </w:r>
          </w:p>
        </w:tc>
      </w:tr>
      <w:tr w:rsidR="00F46327" w:rsidRPr="006811EA" w:rsidTr="006811EA">
        <w:tc>
          <w:tcPr>
            <w:tcW w:w="1798"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ТОВ ВКФ „Варто”</w:t>
            </w:r>
          </w:p>
        </w:tc>
        <w:tc>
          <w:tcPr>
            <w:tcW w:w="1299"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432,8</w:t>
            </w:r>
          </w:p>
        </w:tc>
        <w:tc>
          <w:tcPr>
            <w:tcW w:w="1902" w:type="pct"/>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7%</w:t>
            </w:r>
          </w:p>
        </w:tc>
      </w:tr>
    </w:tbl>
    <w:p w:rsidR="00F46327" w:rsidRPr="00113218" w:rsidRDefault="00F46327" w:rsidP="001F3EFF">
      <w:pPr>
        <w:spacing w:line="360" w:lineRule="auto"/>
        <w:ind w:firstLine="709"/>
        <w:jc w:val="both"/>
        <w:rPr>
          <w:sz w:val="28"/>
          <w:szCs w:val="28"/>
          <w:lang w:val="uk-UA"/>
        </w:rPr>
      </w:pPr>
    </w:p>
    <w:p w:rsidR="00024F4B" w:rsidRPr="00113218" w:rsidRDefault="00A22F36" w:rsidP="001F3EFF">
      <w:pPr>
        <w:spacing w:line="360" w:lineRule="auto"/>
        <w:ind w:firstLine="720"/>
        <w:jc w:val="center"/>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30.25pt">
            <v:imagedata r:id="rId7" o:title=""/>
          </v:shape>
        </w:pict>
      </w:r>
    </w:p>
    <w:p w:rsidR="001F3EFF" w:rsidRPr="00113218" w:rsidRDefault="001F3EFF" w:rsidP="001F3EFF">
      <w:pPr>
        <w:spacing w:line="360" w:lineRule="auto"/>
        <w:ind w:firstLine="720"/>
        <w:jc w:val="center"/>
        <w:rPr>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Протягом 2008 року працівниками податкової інспекції проведено ряд перевірок по податку з доходів фізичних осіб в результаті було виявлено ряд порушень по нарахуванню та перерахуванню податку з доходів фізичних осіб та донараховано до бюджету даного податку в сумі</w:t>
      </w:r>
      <w:r w:rsidR="001F3EFF" w:rsidRPr="00113218">
        <w:rPr>
          <w:sz w:val="28"/>
          <w:szCs w:val="28"/>
          <w:lang w:val="uk-UA"/>
        </w:rPr>
        <w:t xml:space="preserve"> </w:t>
      </w:r>
      <w:r w:rsidRPr="00113218">
        <w:rPr>
          <w:sz w:val="28"/>
          <w:szCs w:val="28"/>
          <w:lang w:val="uk-UA"/>
        </w:rPr>
        <w:t>93,0 тис.грн.</w:t>
      </w:r>
    </w:p>
    <w:p w:rsidR="00F46327" w:rsidRPr="00113218" w:rsidRDefault="00F46327" w:rsidP="001F3EFF">
      <w:pPr>
        <w:spacing w:line="360" w:lineRule="auto"/>
        <w:ind w:firstLine="709"/>
        <w:jc w:val="both"/>
        <w:rPr>
          <w:sz w:val="28"/>
          <w:szCs w:val="28"/>
          <w:lang w:val="uk-UA"/>
        </w:rPr>
      </w:pPr>
      <w:r w:rsidRPr="00113218">
        <w:rPr>
          <w:sz w:val="28"/>
          <w:szCs w:val="28"/>
          <w:lang w:val="uk-UA"/>
        </w:rPr>
        <w:t>Заборгованість</w:t>
      </w:r>
      <w:r w:rsidR="001F3EFF" w:rsidRPr="00113218">
        <w:rPr>
          <w:sz w:val="28"/>
          <w:szCs w:val="28"/>
          <w:lang w:val="uk-UA"/>
        </w:rPr>
        <w:t xml:space="preserve"> </w:t>
      </w:r>
      <w:r w:rsidRPr="00113218">
        <w:rPr>
          <w:sz w:val="28"/>
          <w:szCs w:val="28"/>
          <w:lang w:val="uk-UA"/>
        </w:rPr>
        <w:t>із заробітної плати працівникам економічно активних підприємств і організацій області станом на 1 січня</w:t>
      </w:r>
      <w:r w:rsidR="001F3EFF" w:rsidRPr="00113218">
        <w:rPr>
          <w:sz w:val="28"/>
          <w:szCs w:val="28"/>
          <w:lang w:val="uk-UA"/>
        </w:rPr>
        <w:t xml:space="preserve"> </w:t>
      </w:r>
      <w:r w:rsidRPr="00113218">
        <w:rPr>
          <w:sz w:val="28"/>
          <w:szCs w:val="28"/>
          <w:lang w:val="uk-UA"/>
        </w:rPr>
        <w:t>2009 року складає 21,0 тис.грн.</w:t>
      </w:r>
    </w:p>
    <w:p w:rsidR="00F46327" w:rsidRPr="00113218" w:rsidRDefault="00F46327" w:rsidP="001F3EFF">
      <w:pPr>
        <w:spacing w:line="360" w:lineRule="auto"/>
        <w:ind w:firstLine="709"/>
        <w:jc w:val="both"/>
        <w:rPr>
          <w:sz w:val="28"/>
          <w:szCs w:val="28"/>
          <w:lang w:val="uk-UA"/>
        </w:rPr>
      </w:pPr>
      <w:r w:rsidRPr="00113218">
        <w:rPr>
          <w:sz w:val="28"/>
          <w:szCs w:val="28"/>
          <w:lang w:val="uk-UA"/>
        </w:rPr>
        <w:t>Наступним по обсягу надходження є поступлення</w:t>
      </w:r>
      <w:r w:rsidR="001F3EFF" w:rsidRPr="00113218">
        <w:rPr>
          <w:sz w:val="28"/>
          <w:szCs w:val="28"/>
          <w:lang w:val="uk-UA"/>
        </w:rPr>
        <w:t xml:space="preserve"> </w:t>
      </w:r>
      <w:r w:rsidRPr="00113218">
        <w:rPr>
          <w:sz w:val="28"/>
          <w:szCs w:val="28"/>
          <w:lang w:val="uk-UA"/>
        </w:rPr>
        <w:t>єдиного податку - 11 відсотків , якого за звітний період надійшло 1001,8 тис.грн., що більше на</w:t>
      </w:r>
      <w:r w:rsidR="001F3EFF" w:rsidRPr="00113218">
        <w:rPr>
          <w:sz w:val="28"/>
          <w:szCs w:val="28"/>
          <w:lang w:val="uk-UA"/>
        </w:rPr>
        <w:t xml:space="preserve"> </w:t>
      </w:r>
      <w:r w:rsidRPr="00113218">
        <w:rPr>
          <w:sz w:val="28"/>
          <w:szCs w:val="28"/>
          <w:lang w:val="uk-UA"/>
        </w:rPr>
        <w:t>90,6 тис.грн. або 10</w:t>
      </w:r>
      <w:r w:rsidR="001F3EFF" w:rsidRPr="00113218">
        <w:rPr>
          <w:sz w:val="28"/>
          <w:szCs w:val="28"/>
          <w:lang w:val="uk-UA"/>
        </w:rPr>
        <w:t xml:space="preserve"> </w:t>
      </w:r>
      <w:r w:rsidRPr="00113218">
        <w:rPr>
          <w:sz w:val="28"/>
          <w:szCs w:val="28"/>
          <w:lang w:val="uk-UA"/>
        </w:rPr>
        <w:t>відсотків проти надходжень відповідного періоду минулого року.</w:t>
      </w:r>
    </w:p>
    <w:p w:rsidR="00F46327" w:rsidRPr="00113218" w:rsidRDefault="00F46327" w:rsidP="001F3EFF">
      <w:pPr>
        <w:spacing w:line="360" w:lineRule="auto"/>
        <w:ind w:firstLine="709"/>
        <w:jc w:val="both"/>
        <w:rPr>
          <w:sz w:val="28"/>
          <w:szCs w:val="28"/>
          <w:lang w:val="uk-UA"/>
        </w:rPr>
      </w:pPr>
      <w:r w:rsidRPr="00113218">
        <w:rPr>
          <w:sz w:val="28"/>
          <w:szCs w:val="28"/>
          <w:lang w:val="uk-UA"/>
        </w:rPr>
        <w:t>За звітний період плати за землю надійшло 594,8 тис. грн., що становить 108 відсотків до уточненого річного плану, або перевиконано на 44,9 тис.грн.</w:t>
      </w:r>
      <w:r w:rsidR="00113218">
        <w:rPr>
          <w:sz w:val="28"/>
          <w:szCs w:val="28"/>
          <w:lang w:val="uk-UA"/>
        </w:rPr>
        <w:t xml:space="preserve"> </w:t>
      </w:r>
      <w:r w:rsidRPr="00113218">
        <w:rPr>
          <w:sz w:val="28"/>
          <w:szCs w:val="28"/>
          <w:lang w:val="uk-UA"/>
        </w:rPr>
        <w:t xml:space="preserve">Одним із додаткових джерел наповнення місцевих бюджетів є поступлення місцевих податків та зборів. Уточнені планові показники по їх надходженню виконанні на 108 відсотків, або перевиконано на 16,6 тис.грн. </w:t>
      </w:r>
    </w:p>
    <w:p w:rsidR="00F46327" w:rsidRPr="00113218" w:rsidRDefault="00F46327" w:rsidP="001F3EFF">
      <w:pPr>
        <w:spacing w:line="360" w:lineRule="auto"/>
        <w:ind w:firstLine="709"/>
        <w:jc w:val="both"/>
        <w:rPr>
          <w:sz w:val="28"/>
          <w:szCs w:val="28"/>
          <w:lang w:val="uk-UA"/>
        </w:rPr>
      </w:pPr>
      <w:r w:rsidRPr="00113218">
        <w:rPr>
          <w:sz w:val="28"/>
          <w:szCs w:val="28"/>
          <w:lang w:val="uk-UA"/>
        </w:rPr>
        <w:t>В розрізі цих податків найбільша питома вага припадає на ринковий збір – 53 відсотків , фактично надійшло 123,5 тис.грн.</w:t>
      </w:r>
    </w:p>
    <w:p w:rsidR="00544B5D" w:rsidRPr="00113218" w:rsidRDefault="00544B5D" w:rsidP="001F3EFF">
      <w:pPr>
        <w:spacing w:line="360" w:lineRule="auto"/>
        <w:ind w:firstLine="709"/>
        <w:jc w:val="both"/>
        <w:rPr>
          <w:sz w:val="28"/>
          <w:szCs w:val="28"/>
          <w:lang w:val="uk-UA"/>
        </w:rPr>
      </w:pPr>
    </w:p>
    <w:tbl>
      <w:tblPr>
        <w:tblW w:w="0" w:type="auto"/>
        <w:jc w:val="center"/>
        <w:tblLook w:val="0000" w:firstRow="0" w:lastRow="0" w:firstColumn="0" w:lastColumn="0" w:noHBand="0" w:noVBand="0"/>
      </w:tblPr>
      <w:tblGrid>
        <w:gridCol w:w="3348"/>
        <w:gridCol w:w="1016"/>
        <w:gridCol w:w="1486"/>
        <w:gridCol w:w="1324"/>
        <w:gridCol w:w="1187"/>
        <w:gridCol w:w="1209"/>
      </w:tblGrid>
      <w:tr w:rsidR="00F46327" w:rsidRPr="00113218" w:rsidTr="007B3D88">
        <w:trPr>
          <w:trHeight w:val="398"/>
          <w:jc w:val="center"/>
        </w:trPr>
        <w:tc>
          <w:tcPr>
            <w:tcW w:w="0" w:type="auto"/>
            <w:tcBorders>
              <w:top w:val="single" w:sz="4" w:space="0" w:color="auto"/>
              <w:left w:val="single" w:sz="4"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Назва платежу</w:t>
            </w:r>
          </w:p>
        </w:tc>
        <w:tc>
          <w:tcPr>
            <w:tcW w:w="0" w:type="auto"/>
            <w:tcBorders>
              <w:top w:val="single" w:sz="4" w:space="0" w:color="auto"/>
              <w:left w:val="single" w:sz="8"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КФКД</w:t>
            </w:r>
          </w:p>
        </w:tc>
        <w:tc>
          <w:tcPr>
            <w:tcW w:w="0" w:type="auto"/>
            <w:tcBorders>
              <w:top w:val="single" w:sz="4" w:space="0" w:color="auto"/>
              <w:left w:val="single" w:sz="8" w:space="0" w:color="auto"/>
              <w:bottom w:val="single" w:sz="4" w:space="0" w:color="auto"/>
              <w:right w:val="single" w:sz="4" w:space="0" w:color="auto"/>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Уточнений план на рік</w:t>
            </w:r>
          </w:p>
        </w:tc>
        <w:tc>
          <w:tcPr>
            <w:tcW w:w="0" w:type="auto"/>
            <w:tcBorders>
              <w:top w:val="single" w:sz="4" w:space="0" w:color="auto"/>
              <w:left w:val="nil"/>
              <w:bottom w:val="single" w:sz="4" w:space="0" w:color="auto"/>
              <w:right w:val="single" w:sz="4" w:space="0" w:color="auto"/>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Виконання за рік</w:t>
            </w:r>
          </w:p>
        </w:tc>
        <w:tc>
          <w:tcPr>
            <w:tcW w:w="0" w:type="auto"/>
            <w:tcBorders>
              <w:top w:val="single" w:sz="4" w:space="0" w:color="auto"/>
              <w:left w:val="nil"/>
              <w:bottom w:val="single" w:sz="4" w:space="0" w:color="auto"/>
              <w:right w:val="single" w:sz="4" w:space="0" w:color="auto"/>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 виконання</w:t>
            </w:r>
          </w:p>
        </w:tc>
        <w:tc>
          <w:tcPr>
            <w:tcW w:w="0" w:type="auto"/>
            <w:tcBorders>
              <w:top w:val="single" w:sz="4" w:space="0" w:color="auto"/>
              <w:left w:val="nil"/>
              <w:bottom w:val="single" w:sz="4" w:space="0" w:color="auto"/>
              <w:right w:val="single" w:sz="4" w:space="0" w:color="auto"/>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Відхилення</w:t>
            </w:r>
          </w:p>
        </w:tc>
      </w:tr>
      <w:tr w:rsidR="00F46327" w:rsidRPr="00113218" w:rsidTr="007B3D88">
        <w:trPr>
          <w:trHeight w:val="296"/>
          <w:jc w:val="center"/>
        </w:trPr>
        <w:tc>
          <w:tcPr>
            <w:tcW w:w="0" w:type="auto"/>
            <w:tcBorders>
              <w:top w:val="nil"/>
              <w:left w:val="single" w:sz="8"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Податок з реклами</w:t>
            </w:r>
          </w:p>
        </w:tc>
        <w:tc>
          <w:tcPr>
            <w:tcW w:w="0" w:type="auto"/>
            <w:tcBorders>
              <w:top w:val="nil"/>
              <w:left w:val="single" w:sz="8" w:space="0" w:color="auto"/>
              <w:bottom w:val="single" w:sz="4" w:space="0" w:color="auto"/>
              <w:right w:val="nil"/>
            </w:tcBorders>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16010100</w:t>
            </w:r>
          </w:p>
        </w:tc>
        <w:tc>
          <w:tcPr>
            <w:tcW w:w="0" w:type="auto"/>
            <w:tcBorders>
              <w:top w:val="nil"/>
              <w:left w:val="single" w:sz="8" w:space="0" w:color="auto"/>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0,9</w:t>
            </w:r>
          </w:p>
        </w:tc>
        <w:tc>
          <w:tcPr>
            <w:tcW w:w="0" w:type="auto"/>
            <w:tcBorders>
              <w:top w:val="nil"/>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p>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8"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0,9</w:t>
            </w:r>
          </w:p>
          <w:p w:rsidR="00F46327" w:rsidRPr="00113218" w:rsidRDefault="00F46327" w:rsidP="007B3D88">
            <w:pPr>
              <w:spacing w:line="360" w:lineRule="auto"/>
              <w:jc w:val="both"/>
              <w:rPr>
                <w:sz w:val="20"/>
                <w:szCs w:val="20"/>
                <w:lang w:val="uk-UA"/>
              </w:rPr>
            </w:pPr>
          </w:p>
        </w:tc>
      </w:tr>
      <w:tr w:rsidR="00F46327" w:rsidRPr="00113218" w:rsidTr="007B3D88">
        <w:trPr>
          <w:trHeight w:val="194"/>
          <w:jc w:val="center"/>
        </w:trPr>
        <w:tc>
          <w:tcPr>
            <w:tcW w:w="0" w:type="auto"/>
            <w:tcBorders>
              <w:top w:val="nil"/>
              <w:left w:val="single" w:sz="8"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Комунальний податок</w:t>
            </w:r>
          </w:p>
        </w:tc>
        <w:tc>
          <w:tcPr>
            <w:tcW w:w="0" w:type="auto"/>
            <w:tcBorders>
              <w:top w:val="nil"/>
              <w:left w:val="single" w:sz="8" w:space="0" w:color="auto"/>
              <w:bottom w:val="single" w:sz="4" w:space="0" w:color="auto"/>
              <w:right w:val="nil"/>
            </w:tcBorders>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16010200</w:t>
            </w:r>
          </w:p>
        </w:tc>
        <w:tc>
          <w:tcPr>
            <w:tcW w:w="0" w:type="auto"/>
            <w:tcBorders>
              <w:top w:val="nil"/>
              <w:left w:val="single" w:sz="8" w:space="0" w:color="auto"/>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51,3</w:t>
            </w:r>
          </w:p>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50,3</w:t>
            </w:r>
          </w:p>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98%</w:t>
            </w:r>
          </w:p>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8"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-1,0</w:t>
            </w:r>
          </w:p>
          <w:p w:rsidR="00F46327" w:rsidRPr="00113218" w:rsidRDefault="00F46327" w:rsidP="007B3D88">
            <w:pPr>
              <w:spacing w:line="360" w:lineRule="auto"/>
              <w:jc w:val="both"/>
              <w:rPr>
                <w:sz w:val="20"/>
                <w:szCs w:val="20"/>
                <w:lang w:val="uk-UA"/>
              </w:rPr>
            </w:pPr>
          </w:p>
        </w:tc>
      </w:tr>
      <w:tr w:rsidR="00F46327" w:rsidRPr="00113218" w:rsidTr="007B3D88">
        <w:trPr>
          <w:trHeight w:val="600"/>
          <w:jc w:val="center"/>
        </w:trPr>
        <w:tc>
          <w:tcPr>
            <w:tcW w:w="0" w:type="auto"/>
            <w:tcBorders>
              <w:top w:val="nil"/>
              <w:left w:val="single" w:sz="8"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Збір за припаркування автотранспорту</w:t>
            </w:r>
          </w:p>
        </w:tc>
        <w:tc>
          <w:tcPr>
            <w:tcW w:w="0" w:type="auto"/>
            <w:tcBorders>
              <w:top w:val="nil"/>
              <w:left w:val="single" w:sz="8" w:space="0" w:color="auto"/>
              <w:bottom w:val="single" w:sz="4" w:space="0" w:color="auto"/>
              <w:right w:val="nil"/>
            </w:tcBorders>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16010400</w:t>
            </w:r>
          </w:p>
        </w:tc>
        <w:tc>
          <w:tcPr>
            <w:tcW w:w="0" w:type="auto"/>
            <w:tcBorders>
              <w:top w:val="nil"/>
              <w:left w:val="single" w:sz="8" w:space="0" w:color="auto"/>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9,5</w:t>
            </w:r>
          </w:p>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12,3</w:t>
            </w:r>
          </w:p>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129%</w:t>
            </w:r>
          </w:p>
          <w:p w:rsidR="00F46327" w:rsidRPr="00113218" w:rsidRDefault="00F46327" w:rsidP="007B3D88">
            <w:pPr>
              <w:spacing w:line="360" w:lineRule="auto"/>
              <w:jc w:val="both"/>
              <w:rPr>
                <w:sz w:val="20"/>
                <w:szCs w:val="20"/>
                <w:lang w:val="uk-UA"/>
              </w:rPr>
            </w:pPr>
          </w:p>
        </w:tc>
        <w:tc>
          <w:tcPr>
            <w:tcW w:w="0" w:type="auto"/>
            <w:tcBorders>
              <w:top w:val="nil"/>
              <w:left w:val="nil"/>
              <w:bottom w:val="single" w:sz="4" w:space="0" w:color="auto"/>
              <w:right w:val="single" w:sz="8"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-829</w:t>
            </w:r>
          </w:p>
          <w:p w:rsidR="00F46327" w:rsidRPr="00113218" w:rsidRDefault="00F46327" w:rsidP="007B3D88">
            <w:pPr>
              <w:spacing w:line="360" w:lineRule="auto"/>
              <w:jc w:val="both"/>
              <w:rPr>
                <w:sz w:val="20"/>
                <w:szCs w:val="20"/>
                <w:lang w:val="uk-UA"/>
              </w:rPr>
            </w:pPr>
          </w:p>
        </w:tc>
      </w:tr>
      <w:tr w:rsidR="00F46327" w:rsidRPr="00113218" w:rsidTr="007B3D88">
        <w:trPr>
          <w:trHeight w:val="378"/>
          <w:jc w:val="center"/>
        </w:trPr>
        <w:tc>
          <w:tcPr>
            <w:tcW w:w="0" w:type="auto"/>
            <w:tcBorders>
              <w:top w:val="single" w:sz="4" w:space="0" w:color="auto"/>
              <w:left w:val="single" w:sz="4"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Ринковий збір</w:t>
            </w:r>
          </w:p>
        </w:tc>
        <w:tc>
          <w:tcPr>
            <w:tcW w:w="0" w:type="auto"/>
            <w:tcBorders>
              <w:top w:val="single" w:sz="4" w:space="0" w:color="auto"/>
              <w:left w:val="single" w:sz="8" w:space="0" w:color="auto"/>
              <w:bottom w:val="single" w:sz="4" w:space="0" w:color="auto"/>
              <w:right w:val="nil"/>
            </w:tcBorders>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16010500</w:t>
            </w:r>
          </w:p>
        </w:tc>
        <w:tc>
          <w:tcPr>
            <w:tcW w:w="0" w:type="auto"/>
            <w:tcBorders>
              <w:top w:val="single" w:sz="4" w:space="0" w:color="auto"/>
              <w:left w:val="single" w:sz="8" w:space="0" w:color="auto"/>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121,0</w:t>
            </w:r>
          </w:p>
          <w:p w:rsidR="00F46327" w:rsidRPr="00113218" w:rsidRDefault="00F46327" w:rsidP="007B3D88">
            <w:pPr>
              <w:spacing w:line="360" w:lineRule="auto"/>
              <w:jc w:val="both"/>
              <w:rPr>
                <w:sz w:val="20"/>
                <w:szCs w:val="20"/>
                <w:lang w:val="uk-UA"/>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123,5</w:t>
            </w:r>
          </w:p>
          <w:p w:rsidR="00F46327" w:rsidRPr="00113218" w:rsidRDefault="00F46327" w:rsidP="007B3D88">
            <w:pPr>
              <w:spacing w:line="360" w:lineRule="auto"/>
              <w:jc w:val="both"/>
              <w:rPr>
                <w:sz w:val="20"/>
                <w:szCs w:val="20"/>
                <w:lang w:val="uk-UA"/>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102%</w:t>
            </w:r>
          </w:p>
          <w:p w:rsidR="00F46327" w:rsidRPr="00113218" w:rsidRDefault="00F46327" w:rsidP="007B3D88">
            <w:pPr>
              <w:spacing w:line="360" w:lineRule="auto"/>
              <w:jc w:val="both"/>
              <w:rPr>
                <w:sz w:val="20"/>
                <w:szCs w:val="20"/>
                <w:lang w:val="uk-UA"/>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2,5</w:t>
            </w:r>
          </w:p>
          <w:p w:rsidR="00F46327" w:rsidRPr="00113218" w:rsidRDefault="00F46327" w:rsidP="007B3D88">
            <w:pPr>
              <w:spacing w:line="360" w:lineRule="auto"/>
              <w:jc w:val="both"/>
              <w:rPr>
                <w:sz w:val="20"/>
                <w:szCs w:val="20"/>
                <w:lang w:val="uk-UA"/>
              </w:rPr>
            </w:pPr>
          </w:p>
        </w:tc>
      </w:tr>
      <w:tr w:rsidR="00F46327" w:rsidRPr="00113218" w:rsidTr="007B3D88">
        <w:trPr>
          <w:trHeight w:val="785"/>
          <w:jc w:val="center"/>
        </w:trPr>
        <w:tc>
          <w:tcPr>
            <w:tcW w:w="0" w:type="auto"/>
            <w:tcBorders>
              <w:top w:val="single" w:sz="4" w:space="0" w:color="auto"/>
              <w:left w:val="single" w:sz="4"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Збір за право проведення місцевих аукціонів, конкурсного розпродажу і лотерей</w:t>
            </w:r>
          </w:p>
        </w:tc>
        <w:tc>
          <w:tcPr>
            <w:tcW w:w="0" w:type="auto"/>
            <w:tcBorders>
              <w:top w:val="single" w:sz="4" w:space="0" w:color="auto"/>
              <w:left w:val="single" w:sz="8" w:space="0" w:color="auto"/>
              <w:bottom w:val="single" w:sz="4" w:space="0" w:color="auto"/>
              <w:right w:val="nil"/>
            </w:tcBorders>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16011300</w:t>
            </w:r>
          </w:p>
        </w:tc>
        <w:tc>
          <w:tcPr>
            <w:tcW w:w="0" w:type="auto"/>
            <w:tcBorders>
              <w:top w:val="single" w:sz="4" w:space="0" w:color="auto"/>
              <w:left w:val="single" w:sz="8" w:space="0" w:color="auto"/>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0</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0,1</w:t>
            </w:r>
          </w:p>
          <w:p w:rsidR="00F46327" w:rsidRPr="00113218" w:rsidRDefault="00F46327" w:rsidP="007B3D88">
            <w:pPr>
              <w:spacing w:line="360" w:lineRule="auto"/>
              <w:jc w:val="both"/>
              <w:rPr>
                <w:sz w:val="20"/>
                <w:szCs w:val="20"/>
                <w:lang w:val="uk-UA"/>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0,1</w:t>
            </w:r>
          </w:p>
          <w:p w:rsidR="00F46327" w:rsidRPr="00113218" w:rsidRDefault="00F46327" w:rsidP="007B3D88">
            <w:pPr>
              <w:spacing w:line="360" w:lineRule="auto"/>
              <w:jc w:val="both"/>
              <w:rPr>
                <w:sz w:val="20"/>
                <w:szCs w:val="20"/>
                <w:lang w:val="uk-UA"/>
              </w:rPr>
            </w:pPr>
          </w:p>
        </w:tc>
      </w:tr>
      <w:tr w:rsidR="00F46327" w:rsidRPr="00113218" w:rsidTr="007B3D88">
        <w:trPr>
          <w:trHeight w:val="347"/>
          <w:jc w:val="center"/>
        </w:trPr>
        <w:tc>
          <w:tcPr>
            <w:tcW w:w="0" w:type="auto"/>
            <w:tcBorders>
              <w:top w:val="single" w:sz="4" w:space="0" w:color="auto"/>
              <w:left w:val="single" w:sz="4" w:space="0" w:color="auto"/>
              <w:bottom w:val="single" w:sz="4" w:space="0" w:color="auto"/>
              <w:right w:val="nil"/>
            </w:tcBorders>
            <w:vAlign w:val="center"/>
          </w:tcPr>
          <w:p w:rsidR="00F46327" w:rsidRPr="00113218" w:rsidRDefault="00F46327" w:rsidP="007B3D88">
            <w:pPr>
              <w:spacing w:line="360" w:lineRule="auto"/>
              <w:jc w:val="both"/>
              <w:rPr>
                <w:sz w:val="20"/>
                <w:szCs w:val="20"/>
                <w:lang w:val="uk-UA"/>
              </w:rPr>
            </w:pPr>
            <w:r w:rsidRPr="00113218">
              <w:rPr>
                <w:sz w:val="20"/>
                <w:szCs w:val="20"/>
                <w:lang w:val="uk-UA"/>
              </w:rPr>
              <w:t>Збір за видачу дозволу на розміщення об'єктів торгівлі та сфери послуг</w:t>
            </w:r>
          </w:p>
        </w:tc>
        <w:tc>
          <w:tcPr>
            <w:tcW w:w="0" w:type="auto"/>
            <w:tcBorders>
              <w:top w:val="single" w:sz="4" w:space="0" w:color="auto"/>
              <w:left w:val="single" w:sz="8" w:space="0" w:color="auto"/>
              <w:bottom w:val="single" w:sz="4" w:space="0" w:color="auto"/>
              <w:right w:val="nil"/>
            </w:tcBorders>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16011500</w:t>
            </w:r>
          </w:p>
        </w:tc>
        <w:tc>
          <w:tcPr>
            <w:tcW w:w="0" w:type="auto"/>
            <w:tcBorders>
              <w:top w:val="single" w:sz="4" w:space="0" w:color="auto"/>
              <w:left w:val="single" w:sz="8" w:space="0" w:color="auto"/>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36,5</w:t>
            </w:r>
          </w:p>
        </w:tc>
        <w:tc>
          <w:tcPr>
            <w:tcW w:w="0" w:type="auto"/>
            <w:tcBorders>
              <w:top w:val="single" w:sz="4" w:space="0" w:color="auto"/>
              <w:left w:val="nil"/>
              <w:bottom w:val="single" w:sz="4" w:space="0" w:color="auto"/>
              <w:right w:val="nil"/>
            </w:tcBorders>
            <w:shd w:val="clear" w:color="auto" w:fill="FFFFFF"/>
            <w:noWrap/>
            <w:vAlign w:val="center"/>
          </w:tcPr>
          <w:p w:rsidR="00F46327" w:rsidRPr="00113218" w:rsidRDefault="00F46327" w:rsidP="007B3D88">
            <w:pPr>
              <w:spacing w:line="360" w:lineRule="auto"/>
              <w:jc w:val="both"/>
              <w:rPr>
                <w:sz w:val="20"/>
                <w:szCs w:val="20"/>
                <w:lang w:val="uk-UA"/>
              </w:rPr>
            </w:pPr>
          </w:p>
          <w:p w:rsidR="00F46327" w:rsidRPr="00113218" w:rsidRDefault="00F46327" w:rsidP="007B3D88">
            <w:pPr>
              <w:spacing w:line="360" w:lineRule="auto"/>
              <w:jc w:val="both"/>
              <w:rPr>
                <w:sz w:val="20"/>
                <w:szCs w:val="20"/>
                <w:lang w:val="uk-UA"/>
              </w:rPr>
            </w:pPr>
            <w:r w:rsidRPr="00113218">
              <w:rPr>
                <w:sz w:val="20"/>
                <w:szCs w:val="20"/>
                <w:lang w:val="uk-UA"/>
              </w:rPr>
              <w:t>47,8</w:t>
            </w:r>
          </w:p>
          <w:p w:rsidR="00F46327" w:rsidRPr="00113218" w:rsidRDefault="00F46327" w:rsidP="007B3D88">
            <w:pPr>
              <w:spacing w:line="360" w:lineRule="auto"/>
              <w:jc w:val="both"/>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131%</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F46327" w:rsidRPr="00113218" w:rsidRDefault="00F46327" w:rsidP="007B3D88">
            <w:pPr>
              <w:spacing w:line="360" w:lineRule="auto"/>
              <w:jc w:val="both"/>
              <w:rPr>
                <w:sz w:val="20"/>
                <w:szCs w:val="20"/>
                <w:lang w:val="uk-UA"/>
              </w:rPr>
            </w:pPr>
            <w:r w:rsidRPr="00113218">
              <w:rPr>
                <w:sz w:val="20"/>
                <w:szCs w:val="20"/>
                <w:lang w:val="uk-UA"/>
              </w:rPr>
              <w:t>11,3</w:t>
            </w:r>
          </w:p>
        </w:tc>
      </w:tr>
      <w:tr w:rsidR="00F46327" w:rsidRPr="00113218" w:rsidTr="007B3D88">
        <w:trPr>
          <w:trHeight w:val="315"/>
          <w:jc w:val="center"/>
        </w:trPr>
        <w:tc>
          <w:tcPr>
            <w:tcW w:w="0" w:type="auto"/>
            <w:tcBorders>
              <w:top w:val="single" w:sz="4" w:space="0" w:color="auto"/>
              <w:left w:val="single" w:sz="8" w:space="0" w:color="auto"/>
              <w:bottom w:val="single" w:sz="8" w:space="0" w:color="auto"/>
              <w:right w:val="nil"/>
            </w:tcBorders>
            <w:noWrap/>
            <w:vAlign w:val="center"/>
          </w:tcPr>
          <w:p w:rsidR="00F46327" w:rsidRPr="00113218" w:rsidRDefault="00F46327" w:rsidP="007B3D88">
            <w:pPr>
              <w:spacing w:line="360" w:lineRule="auto"/>
              <w:jc w:val="both"/>
              <w:rPr>
                <w:b/>
                <w:bCs/>
                <w:sz w:val="20"/>
                <w:szCs w:val="20"/>
                <w:lang w:val="uk-UA"/>
              </w:rPr>
            </w:pPr>
            <w:r w:rsidRPr="00113218">
              <w:rPr>
                <w:b/>
                <w:bCs/>
                <w:sz w:val="20"/>
                <w:szCs w:val="20"/>
                <w:lang w:val="uk-UA"/>
              </w:rPr>
              <w:t>Всього</w:t>
            </w:r>
          </w:p>
        </w:tc>
        <w:tc>
          <w:tcPr>
            <w:tcW w:w="0" w:type="auto"/>
            <w:tcBorders>
              <w:top w:val="single" w:sz="4" w:space="0" w:color="auto"/>
              <w:left w:val="single" w:sz="4" w:space="0" w:color="auto"/>
              <w:bottom w:val="single" w:sz="8" w:space="0" w:color="auto"/>
              <w:right w:val="single" w:sz="4" w:space="0" w:color="auto"/>
            </w:tcBorders>
            <w:noWrap/>
            <w:vAlign w:val="center"/>
          </w:tcPr>
          <w:p w:rsidR="00F46327" w:rsidRPr="00113218" w:rsidRDefault="00F46327" w:rsidP="007B3D88">
            <w:pPr>
              <w:spacing w:line="360" w:lineRule="auto"/>
              <w:jc w:val="both"/>
              <w:rPr>
                <w:b/>
                <w:bCs/>
                <w:sz w:val="20"/>
                <w:szCs w:val="20"/>
                <w:lang w:val="uk-UA"/>
              </w:rPr>
            </w:pPr>
          </w:p>
        </w:tc>
        <w:tc>
          <w:tcPr>
            <w:tcW w:w="0" w:type="auto"/>
            <w:tcBorders>
              <w:top w:val="single" w:sz="4" w:space="0" w:color="auto"/>
              <w:left w:val="nil"/>
              <w:bottom w:val="single" w:sz="8" w:space="0" w:color="auto"/>
              <w:right w:val="single" w:sz="4" w:space="0" w:color="auto"/>
            </w:tcBorders>
            <w:noWrap/>
            <w:vAlign w:val="center"/>
          </w:tcPr>
          <w:p w:rsidR="00F46327" w:rsidRPr="00113218" w:rsidRDefault="00F46327" w:rsidP="007B3D88">
            <w:pPr>
              <w:spacing w:line="360" w:lineRule="auto"/>
              <w:jc w:val="both"/>
              <w:rPr>
                <w:b/>
                <w:bCs/>
                <w:sz w:val="20"/>
                <w:szCs w:val="20"/>
                <w:lang w:val="uk-UA"/>
              </w:rPr>
            </w:pPr>
            <w:r w:rsidRPr="00113218">
              <w:rPr>
                <w:b/>
                <w:bCs/>
                <w:noProof/>
                <w:sz w:val="20"/>
                <w:szCs w:val="20"/>
                <w:lang w:val="uk-UA"/>
              </w:rPr>
              <w:t>218,3</w:t>
            </w:r>
          </w:p>
        </w:tc>
        <w:tc>
          <w:tcPr>
            <w:tcW w:w="0" w:type="auto"/>
            <w:tcBorders>
              <w:top w:val="single" w:sz="4" w:space="0" w:color="auto"/>
              <w:left w:val="nil"/>
              <w:bottom w:val="single" w:sz="8" w:space="0" w:color="auto"/>
              <w:right w:val="nil"/>
            </w:tcBorders>
            <w:noWrap/>
            <w:vAlign w:val="center"/>
          </w:tcPr>
          <w:p w:rsidR="00F46327" w:rsidRPr="00113218" w:rsidRDefault="00F46327" w:rsidP="007B3D88">
            <w:pPr>
              <w:spacing w:line="360" w:lineRule="auto"/>
              <w:jc w:val="both"/>
              <w:rPr>
                <w:b/>
                <w:bCs/>
                <w:sz w:val="20"/>
                <w:szCs w:val="20"/>
                <w:lang w:val="uk-UA"/>
              </w:rPr>
            </w:pPr>
            <w:r w:rsidRPr="00113218">
              <w:rPr>
                <w:b/>
                <w:bCs/>
                <w:noProof/>
                <w:sz w:val="20"/>
                <w:szCs w:val="20"/>
                <w:lang w:val="uk-UA"/>
              </w:rPr>
              <w:t>234,9</w:t>
            </w:r>
          </w:p>
        </w:tc>
        <w:tc>
          <w:tcPr>
            <w:tcW w:w="0" w:type="auto"/>
            <w:tcBorders>
              <w:top w:val="single" w:sz="4" w:space="0" w:color="auto"/>
              <w:left w:val="single" w:sz="8" w:space="0" w:color="auto"/>
              <w:bottom w:val="single" w:sz="8" w:space="0" w:color="auto"/>
              <w:right w:val="single" w:sz="4" w:space="0" w:color="auto"/>
            </w:tcBorders>
            <w:shd w:val="clear" w:color="auto" w:fill="FFFFFF"/>
            <w:noWrap/>
            <w:vAlign w:val="center"/>
          </w:tcPr>
          <w:p w:rsidR="00F46327" w:rsidRPr="00113218" w:rsidRDefault="00F46327" w:rsidP="007B3D88">
            <w:pPr>
              <w:spacing w:line="360" w:lineRule="auto"/>
              <w:jc w:val="both"/>
              <w:rPr>
                <w:b/>
                <w:bCs/>
                <w:sz w:val="20"/>
                <w:szCs w:val="20"/>
                <w:lang w:val="uk-UA"/>
              </w:rPr>
            </w:pPr>
            <w:r w:rsidRPr="00113218">
              <w:rPr>
                <w:b/>
                <w:bCs/>
                <w:sz w:val="20"/>
                <w:szCs w:val="20"/>
                <w:lang w:val="uk-UA"/>
              </w:rPr>
              <w:t>108%</w:t>
            </w:r>
          </w:p>
        </w:tc>
        <w:tc>
          <w:tcPr>
            <w:tcW w:w="0" w:type="auto"/>
            <w:tcBorders>
              <w:top w:val="single" w:sz="4" w:space="0" w:color="auto"/>
              <w:left w:val="nil"/>
              <w:bottom w:val="single" w:sz="8" w:space="0" w:color="auto"/>
              <w:right w:val="single" w:sz="8" w:space="0" w:color="auto"/>
            </w:tcBorders>
            <w:shd w:val="clear" w:color="auto" w:fill="FFFFFF"/>
            <w:noWrap/>
            <w:vAlign w:val="center"/>
          </w:tcPr>
          <w:p w:rsidR="00F46327" w:rsidRPr="00113218" w:rsidRDefault="00F46327" w:rsidP="007B3D88">
            <w:pPr>
              <w:spacing w:line="360" w:lineRule="auto"/>
              <w:jc w:val="both"/>
              <w:rPr>
                <w:b/>
                <w:bCs/>
                <w:sz w:val="20"/>
                <w:szCs w:val="20"/>
                <w:lang w:val="uk-UA"/>
              </w:rPr>
            </w:pPr>
            <w:r w:rsidRPr="00113218">
              <w:rPr>
                <w:b/>
                <w:bCs/>
                <w:sz w:val="20"/>
                <w:szCs w:val="20"/>
                <w:lang w:val="uk-UA"/>
              </w:rPr>
              <w:t>16,6</w:t>
            </w:r>
          </w:p>
        </w:tc>
      </w:tr>
    </w:tbl>
    <w:p w:rsidR="00F46327" w:rsidRPr="00113218" w:rsidRDefault="00F46327" w:rsidP="001F3EFF">
      <w:pPr>
        <w:spacing w:line="360" w:lineRule="auto"/>
        <w:ind w:firstLine="709"/>
        <w:jc w:val="both"/>
        <w:rPr>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Місцевими радами</w:t>
      </w:r>
      <w:r w:rsidR="001F3EFF" w:rsidRPr="00113218">
        <w:rPr>
          <w:sz w:val="28"/>
          <w:szCs w:val="28"/>
          <w:lang w:val="uk-UA"/>
        </w:rPr>
        <w:t xml:space="preserve"> </w:t>
      </w:r>
      <w:r w:rsidRPr="00113218">
        <w:rPr>
          <w:sz w:val="28"/>
          <w:szCs w:val="28"/>
          <w:lang w:val="uk-UA"/>
        </w:rPr>
        <w:t>ставки</w:t>
      </w:r>
      <w:r w:rsidR="001F3EFF" w:rsidRPr="00113218">
        <w:rPr>
          <w:sz w:val="28"/>
          <w:szCs w:val="28"/>
          <w:lang w:val="uk-UA"/>
        </w:rPr>
        <w:t xml:space="preserve"> </w:t>
      </w:r>
      <w:r w:rsidRPr="00113218">
        <w:rPr>
          <w:sz w:val="28"/>
          <w:szCs w:val="28"/>
          <w:lang w:val="uk-UA"/>
        </w:rPr>
        <w:t>по збору за припаркування автотранспорту</w:t>
      </w:r>
      <w:r w:rsidR="001F3EFF" w:rsidRPr="00113218">
        <w:rPr>
          <w:sz w:val="28"/>
          <w:szCs w:val="28"/>
          <w:lang w:val="uk-UA"/>
        </w:rPr>
        <w:t xml:space="preserve"> </w:t>
      </w:r>
      <w:r w:rsidRPr="00113218">
        <w:rPr>
          <w:sz w:val="28"/>
          <w:szCs w:val="28"/>
          <w:lang w:val="uk-UA"/>
        </w:rPr>
        <w:t xml:space="preserve">та збору за видачу дозволу на розміщення об'єктів торгівлі та сфери послуг доведено до максимальних. </w:t>
      </w:r>
    </w:p>
    <w:p w:rsidR="00F46327" w:rsidRPr="00113218" w:rsidRDefault="00F46327" w:rsidP="001F3EFF">
      <w:pPr>
        <w:spacing w:line="360" w:lineRule="auto"/>
        <w:ind w:firstLine="709"/>
        <w:jc w:val="both"/>
        <w:rPr>
          <w:sz w:val="28"/>
          <w:szCs w:val="28"/>
          <w:lang w:val="uk-UA"/>
        </w:rPr>
      </w:pPr>
      <w:r w:rsidRPr="00113218">
        <w:rPr>
          <w:sz w:val="28"/>
          <w:szCs w:val="28"/>
          <w:lang w:val="uk-UA"/>
        </w:rPr>
        <w:t>Досягнуто також перевиконання уточнених планових показників по фіксованому сільськогосподарському податку ,</w:t>
      </w:r>
      <w:r w:rsidR="001F3EFF" w:rsidRPr="00113218">
        <w:rPr>
          <w:sz w:val="28"/>
          <w:szCs w:val="28"/>
          <w:lang w:val="uk-UA"/>
        </w:rPr>
        <w:t xml:space="preserve"> </w:t>
      </w:r>
      <w:r w:rsidRPr="00113218">
        <w:rPr>
          <w:sz w:val="28"/>
          <w:szCs w:val="28"/>
          <w:lang w:val="uk-UA"/>
        </w:rPr>
        <w:t>платі за торговий патент,</w:t>
      </w:r>
      <w:r w:rsidR="001F3EFF" w:rsidRPr="00113218">
        <w:rPr>
          <w:sz w:val="28"/>
          <w:szCs w:val="28"/>
          <w:lang w:val="uk-UA"/>
        </w:rPr>
        <w:t xml:space="preserve"> </w:t>
      </w:r>
      <w:r w:rsidRPr="00113218">
        <w:rPr>
          <w:sz w:val="28"/>
          <w:szCs w:val="28"/>
          <w:lang w:val="uk-UA"/>
        </w:rPr>
        <w:t>платі за державну реєстрацію, податку на прибуток підприємств комунальної власності,</w:t>
      </w:r>
      <w:r w:rsidR="001F3EFF" w:rsidRPr="00113218">
        <w:rPr>
          <w:sz w:val="28"/>
          <w:szCs w:val="28"/>
          <w:lang w:val="uk-UA"/>
        </w:rPr>
        <w:t xml:space="preserve"> </w:t>
      </w:r>
      <w:r w:rsidRPr="00113218">
        <w:rPr>
          <w:sz w:val="28"/>
          <w:szCs w:val="28"/>
          <w:lang w:val="uk-UA"/>
        </w:rPr>
        <w:t>плати за утримання дітей в школі-інтернаті, частини прибутку (доходу) комунальних підприємств , що вилучається до бюджету, платі за оренду майна. При виконанні в цілому по районі уточнених планових показників загального фонду не забезпечено виконання надходжень по державному миту</w:t>
      </w:r>
      <w:r w:rsidR="001F3EFF" w:rsidRPr="00113218">
        <w:rPr>
          <w:sz w:val="28"/>
          <w:szCs w:val="28"/>
          <w:lang w:val="uk-UA"/>
        </w:rPr>
        <w:t xml:space="preserve"> </w:t>
      </w:r>
      <w:r w:rsidRPr="00113218">
        <w:rPr>
          <w:sz w:val="28"/>
          <w:szCs w:val="28"/>
          <w:lang w:val="uk-UA"/>
        </w:rPr>
        <w:t>(67 відсотків), надходженню штрафів і фінансових санкцій</w:t>
      </w:r>
      <w:r w:rsidR="001F3EFF" w:rsidRPr="00113218">
        <w:rPr>
          <w:sz w:val="28"/>
          <w:szCs w:val="28"/>
          <w:lang w:val="uk-UA"/>
        </w:rPr>
        <w:t xml:space="preserve"> </w:t>
      </w:r>
      <w:r w:rsidRPr="00113218">
        <w:rPr>
          <w:sz w:val="28"/>
          <w:szCs w:val="28"/>
          <w:lang w:val="uk-UA"/>
        </w:rPr>
        <w:t>(96 відсотків), податку на промисел</w:t>
      </w:r>
      <w:r w:rsidR="001F3EFF" w:rsidRPr="00113218">
        <w:rPr>
          <w:sz w:val="28"/>
          <w:szCs w:val="28"/>
          <w:lang w:val="uk-UA"/>
        </w:rPr>
        <w:t xml:space="preserve"> </w:t>
      </w:r>
      <w:r w:rsidRPr="00113218">
        <w:rPr>
          <w:sz w:val="28"/>
          <w:szCs w:val="28"/>
          <w:lang w:val="uk-UA"/>
        </w:rPr>
        <w:t>(50 відсотків), платі за надра</w:t>
      </w:r>
      <w:r w:rsidR="001F3EFF" w:rsidRPr="00113218">
        <w:rPr>
          <w:sz w:val="28"/>
          <w:szCs w:val="28"/>
          <w:lang w:val="uk-UA"/>
        </w:rPr>
        <w:t xml:space="preserve"> </w:t>
      </w:r>
      <w:r w:rsidRPr="00113218">
        <w:rPr>
          <w:sz w:val="28"/>
          <w:szCs w:val="28"/>
          <w:lang w:val="uk-UA"/>
        </w:rPr>
        <w:t>(90 відсотків). По коду бюджетної класифікації</w:t>
      </w:r>
      <w:r w:rsidR="001F3EFF" w:rsidRPr="00113218">
        <w:rPr>
          <w:sz w:val="28"/>
          <w:szCs w:val="28"/>
          <w:lang w:val="uk-UA"/>
        </w:rPr>
        <w:t xml:space="preserve"> </w:t>
      </w:r>
      <w:r w:rsidRPr="00113218">
        <w:rPr>
          <w:sz w:val="28"/>
          <w:szCs w:val="28"/>
          <w:lang w:val="uk-UA"/>
        </w:rPr>
        <w:t>240603</w:t>
      </w:r>
      <w:r w:rsidR="001F3EFF" w:rsidRPr="00113218">
        <w:rPr>
          <w:sz w:val="28"/>
          <w:szCs w:val="28"/>
          <w:lang w:val="uk-UA"/>
        </w:rPr>
        <w:t xml:space="preserve"> </w:t>
      </w:r>
      <w:r w:rsidRPr="00113218">
        <w:rPr>
          <w:sz w:val="28"/>
          <w:szCs w:val="28"/>
          <w:lang w:val="uk-UA"/>
        </w:rPr>
        <w:t>протягом 2008 року</w:t>
      </w:r>
      <w:r w:rsidR="001F3EFF" w:rsidRPr="00113218">
        <w:rPr>
          <w:sz w:val="28"/>
          <w:szCs w:val="28"/>
          <w:lang w:val="uk-UA"/>
        </w:rPr>
        <w:t xml:space="preserve"> </w:t>
      </w:r>
      <w:r w:rsidRPr="00113218">
        <w:rPr>
          <w:sz w:val="28"/>
          <w:szCs w:val="28"/>
          <w:lang w:val="uk-UA"/>
        </w:rPr>
        <w:t>надійшло кошти від самооподаткування громадян , які мають у власності трактори, коні і надають послуги жителям села в сумі 11,7 тис.грн.</w:t>
      </w:r>
      <w:r w:rsidR="001F3EFF" w:rsidRPr="00113218">
        <w:rPr>
          <w:sz w:val="28"/>
          <w:szCs w:val="28"/>
          <w:lang w:val="uk-UA"/>
        </w:rPr>
        <w:t xml:space="preserve"> </w:t>
      </w:r>
      <w:r w:rsidRPr="00113218">
        <w:rPr>
          <w:sz w:val="28"/>
          <w:szCs w:val="28"/>
          <w:lang w:val="uk-UA"/>
        </w:rPr>
        <w:t>та</w:t>
      </w:r>
      <w:r w:rsidR="001F3EFF" w:rsidRPr="00113218">
        <w:rPr>
          <w:sz w:val="28"/>
          <w:szCs w:val="28"/>
          <w:lang w:val="uk-UA"/>
        </w:rPr>
        <w:t xml:space="preserve"> </w:t>
      </w:r>
      <w:r w:rsidRPr="00113218">
        <w:rPr>
          <w:sz w:val="28"/>
          <w:szCs w:val="28"/>
          <w:lang w:val="uk-UA"/>
        </w:rPr>
        <w:t xml:space="preserve">кошти, які надійшли від учасників приватизації за реєстрацію заяв в сумі 0,2 тис.грн. </w:t>
      </w:r>
    </w:p>
    <w:p w:rsidR="00F46327" w:rsidRPr="00113218" w:rsidRDefault="00F46327" w:rsidP="001F3EFF">
      <w:pPr>
        <w:spacing w:line="360" w:lineRule="auto"/>
        <w:ind w:firstLine="709"/>
        <w:jc w:val="both"/>
        <w:rPr>
          <w:sz w:val="28"/>
          <w:szCs w:val="28"/>
          <w:lang w:val="uk-UA"/>
        </w:rPr>
      </w:pPr>
      <w:r w:rsidRPr="00113218">
        <w:rPr>
          <w:sz w:val="28"/>
          <w:szCs w:val="28"/>
          <w:lang w:val="uk-UA"/>
        </w:rPr>
        <w:t>Пільги</w:t>
      </w:r>
      <w:r w:rsidR="001F3EFF" w:rsidRPr="00113218">
        <w:rPr>
          <w:sz w:val="28"/>
          <w:szCs w:val="28"/>
          <w:lang w:val="uk-UA"/>
        </w:rPr>
        <w:t xml:space="preserve"> </w:t>
      </w:r>
      <w:r w:rsidRPr="00113218">
        <w:rPr>
          <w:sz w:val="28"/>
          <w:szCs w:val="28"/>
          <w:lang w:val="uk-UA"/>
        </w:rPr>
        <w:t>зі сплати податків та зборів надані</w:t>
      </w:r>
      <w:r w:rsidR="001F3EFF" w:rsidRPr="00113218">
        <w:rPr>
          <w:sz w:val="28"/>
          <w:szCs w:val="28"/>
          <w:lang w:val="uk-UA"/>
        </w:rPr>
        <w:t xml:space="preserve"> </w:t>
      </w:r>
      <w:r w:rsidRPr="00113218">
        <w:rPr>
          <w:sz w:val="28"/>
          <w:szCs w:val="28"/>
          <w:lang w:val="uk-UA"/>
        </w:rPr>
        <w:t>органами місцевого самоврядування за 2008 рік склали 12,3 тис.грн.</w:t>
      </w:r>
    </w:p>
    <w:p w:rsidR="00F46327" w:rsidRPr="00113218" w:rsidRDefault="00F46327" w:rsidP="001F3EFF">
      <w:pPr>
        <w:spacing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341"/>
        <w:gridCol w:w="2113"/>
      </w:tblGrid>
      <w:tr w:rsidR="00F46327" w:rsidRPr="006811EA" w:rsidTr="006811EA">
        <w:trPr>
          <w:trHeight w:val="345"/>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Платник податку</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Код платежу по якому надана пільга</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Сума пільги (тис.грн.)</w:t>
            </w:r>
          </w:p>
        </w:tc>
      </w:tr>
      <w:tr w:rsidR="00F46327" w:rsidRPr="006811EA" w:rsidTr="006811EA">
        <w:trPr>
          <w:trHeight w:val="240"/>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ДКП „Комунальник”</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13050100</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8,1</w:t>
            </w:r>
          </w:p>
        </w:tc>
      </w:tr>
      <w:tr w:rsidR="00F46327" w:rsidRPr="006811EA" w:rsidTr="006811EA">
        <w:trPr>
          <w:trHeight w:val="240"/>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ВАТ „Снятинавто”</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13050100</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1,8</w:t>
            </w:r>
          </w:p>
        </w:tc>
      </w:tr>
      <w:tr w:rsidR="00F46327" w:rsidRPr="006811EA" w:rsidTr="006811EA">
        <w:trPr>
          <w:trHeight w:val="240"/>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КП „Водоканал”</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13050100</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0,2</w:t>
            </w:r>
          </w:p>
        </w:tc>
      </w:tr>
      <w:tr w:rsidR="00F46327" w:rsidRPr="006811EA" w:rsidTr="006811EA">
        <w:trPr>
          <w:trHeight w:val="240"/>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 xml:space="preserve">Заболотів ККП </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13050100</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0,4</w:t>
            </w:r>
          </w:p>
        </w:tc>
      </w:tr>
      <w:tr w:rsidR="00F46327" w:rsidRPr="006811EA" w:rsidTr="006811EA">
        <w:trPr>
          <w:trHeight w:val="174"/>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Заболотівський комунальний ринок</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13050100</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0,7</w:t>
            </w:r>
          </w:p>
        </w:tc>
      </w:tr>
      <w:tr w:rsidR="00F46327" w:rsidRPr="006811EA" w:rsidTr="006811EA">
        <w:trPr>
          <w:trHeight w:val="70"/>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УТОС</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16010200</w:t>
            </w: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1,1</w:t>
            </w:r>
          </w:p>
        </w:tc>
      </w:tr>
      <w:tr w:rsidR="00F46327" w:rsidRPr="006811EA" w:rsidTr="006811EA">
        <w:trPr>
          <w:trHeight w:val="256"/>
          <w:jc w:val="center"/>
        </w:trPr>
        <w:tc>
          <w:tcPr>
            <w:tcW w:w="0" w:type="auto"/>
            <w:shd w:val="clear" w:color="auto" w:fill="auto"/>
          </w:tcPr>
          <w:p w:rsidR="00F46327" w:rsidRPr="006811EA" w:rsidRDefault="00F46327" w:rsidP="006811EA">
            <w:pPr>
              <w:spacing w:line="360" w:lineRule="auto"/>
              <w:jc w:val="both"/>
              <w:rPr>
                <w:sz w:val="20"/>
                <w:szCs w:val="20"/>
                <w:lang w:val="uk-UA"/>
              </w:rPr>
            </w:pPr>
            <w:r w:rsidRPr="006811EA">
              <w:rPr>
                <w:sz w:val="20"/>
                <w:szCs w:val="20"/>
                <w:lang w:val="uk-UA"/>
              </w:rPr>
              <w:t xml:space="preserve">Разом </w:t>
            </w:r>
          </w:p>
        </w:tc>
        <w:tc>
          <w:tcPr>
            <w:tcW w:w="0" w:type="auto"/>
            <w:shd w:val="clear" w:color="auto" w:fill="auto"/>
          </w:tcPr>
          <w:p w:rsidR="00F46327" w:rsidRPr="006811EA" w:rsidRDefault="00F46327" w:rsidP="006811EA">
            <w:pPr>
              <w:spacing w:line="360" w:lineRule="auto"/>
              <w:jc w:val="both"/>
              <w:rPr>
                <w:sz w:val="20"/>
                <w:szCs w:val="20"/>
                <w:lang w:val="uk-UA"/>
              </w:rPr>
            </w:pPr>
          </w:p>
        </w:tc>
        <w:tc>
          <w:tcPr>
            <w:tcW w:w="0" w:type="auto"/>
            <w:shd w:val="clear" w:color="auto" w:fill="auto"/>
          </w:tcPr>
          <w:p w:rsidR="00F46327" w:rsidRPr="006811EA" w:rsidRDefault="00F46327" w:rsidP="006811EA">
            <w:pPr>
              <w:spacing w:line="360" w:lineRule="auto"/>
              <w:jc w:val="both"/>
              <w:rPr>
                <w:sz w:val="20"/>
                <w:szCs w:val="20"/>
                <w:lang w:val="uk-UA"/>
              </w:rPr>
            </w:pPr>
            <w:r w:rsidRPr="006811EA">
              <w:rPr>
                <w:noProof/>
                <w:sz w:val="20"/>
                <w:szCs w:val="20"/>
                <w:lang w:val="uk-UA"/>
              </w:rPr>
              <w:t>12,3</w:t>
            </w:r>
          </w:p>
        </w:tc>
      </w:tr>
    </w:tbl>
    <w:p w:rsidR="001F3EFF" w:rsidRPr="00113218" w:rsidRDefault="001F3EFF" w:rsidP="001F3EFF">
      <w:pPr>
        <w:spacing w:line="360" w:lineRule="auto"/>
        <w:ind w:firstLine="709"/>
        <w:jc w:val="both"/>
        <w:rPr>
          <w:sz w:val="28"/>
          <w:szCs w:val="28"/>
          <w:lang w:val="uk-UA"/>
        </w:rPr>
      </w:pPr>
    </w:p>
    <w:p w:rsidR="00F46327" w:rsidRPr="00113218" w:rsidRDefault="00A22F36" w:rsidP="001F3EFF">
      <w:pPr>
        <w:spacing w:line="360" w:lineRule="auto"/>
        <w:ind w:firstLine="720"/>
        <w:jc w:val="center"/>
        <w:rPr>
          <w:sz w:val="28"/>
          <w:szCs w:val="28"/>
          <w:lang w:val="uk-UA"/>
        </w:rPr>
      </w:pPr>
      <w:r>
        <w:rPr>
          <w:sz w:val="28"/>
          <w:szCs w:val="28"/>
          <w:lang w:val="uk-UA"/>
        </w:rPr>
        <w:pict>
          <v:shape id="_x0000_i1026" type="#_x0000_t75" style="width:392.25pt;height:225.75pt">
            <v:imagedata r:id="rId8" o:title=""/>
          </v:shape>
        </w:pict>
      </w:r>
    </w:p>
    <w:p w:rsidR="00F46327" w:rsidRPr="00113218" w:rsidRDefault="00F46327" w:rsidP="001F3EFF">
      <w:pPr>
        <w:spacing w:line="360" w:lineRule="auto"/>
        <w:ind w:firstLine="709"/>
        <w:jc w:val="both"/>
        <w:rPr>
          <w:sz w:val="28"/>
          <w:szCs w:val="28"/>
          <w:lang w:val="uk-UA"/>
        </w:rPr>
      </w:pPr>
      <w:r w:rsidRPr="00113218">
        <w:rPr>
          <w:sz w:val="28"/>
          <w:szCs w:val="28"/>
          <w:lang w:val="uk-UA"/>
        </w:rPr>
        <w:t>Податковий борг до загального фонду місцевих бюджетів станом на 1 січня 2009 року (без підприємств щодо яких ведеться процедура банкрутства) склав</w:t>
      </w:r>
      <w:r w:rsidR="001F3EFF" w:rsidRPr="00113218">
        <w:rPr>
          <w:sz w:val="28"/>
          <w:szCs w:val="28"/>
          <w:lang w:val="uk-UA"/>
        </w:rPr>
        <w:t xml:space="preserve"> </w:t>
      </w:r>
      <w:r w:rsidRPr="00113218">
        <w:rPr>
          <w:sz w:val="28"/>
          <w:szCs w:val="28"/>
          <w:lang w:val="uk-UA"/>
        </w:rPr>
        <w:t>51,9 тис.грн., в тому числі :</w:t>
      </w:r>
    </w:p>
    <w:p w:rsidR="00567186" w:rsidRPr="00113218" w:rsidRDefault="00567186" w:rsidP="001F3EFF">
      <w:pPr>
        <w:spacing w:line="360" w:lineRule="auto"/>
        <w:ind w:firstLine="709"/>
        <w:jc w:val="both"/>
        <w:rPr>
          <w:sz w:val="28"/>
          <w:szCs w:val="28"/>
          <w:lang w:val="uk-UA"/>
        </w:rPr>
      </w:pPr>
    </w:p>
    <w:tbl>
      <w:tblPr>
        <w:tblW w:w="0" w:type="auto"/>
        <w:jc w:val="center"/>
        <w:tblLook w:val="0000" w:firstRow="0" w:lastRow="0" w:firstColumn="0" w:lastColumn="0" w:noHBand="0" w:noVBand="0"/>
      </w:tblPr>
      <w:tblGrid>
        <w:gridCol w:w="3729"/>
        <w:gridCol w:w="2308"/>
      </w:tblGrid>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p>
        </w:tc>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Сума податкового боргу</w:t>
            </w:r>
          </w:p>
        </w:tc>
      </w:tr>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 податок з доходів фізичних осіб (100%)</w:t>
            </w:r>
          </w:p>
        </w:tc>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19,1</w:t>
            </w:r>
          </w:p>
        </w:tc>
      </w:tr>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 плата за землю (100%)</w:t>
            </w:r>
          </w:p>
        </w:tc>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2,5</w:t>
            </w:r>
          </w:p>
        </w:tc>
      </w:tr>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 плата за торговий патент</w:t>
            </w:r>
          </w:p>
        </w:tc>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0,5</w:t>
            </w:r>
          </w:p>
        </w:tc>
      </w:tr>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 місцеві податки і збори</w:t>
            </w:r>
          </w:p>
        </w:tc>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0,5</w:t>
            </w:r>
          </w:p>
        </w:tc>
      </w:tr>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 фіксований с/г податок (30%)</w:t>
            </w:r>
          </w:p>
        </w:tc>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29,0</w:t>
            </w:r>
          </w:p>
        </w:tc>
      </w:tr>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 xml:space="preserve">- єдиний податок </w:t>
            </w:r>
          </w:p>
        </w:tc>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0,3</w:t>
            </w:r>
          </w:p>
        </w:tc>
      </w:tr>
      <w:tr w:rsidR="00F46327" w:rsidRPr="00113218" w:rsidTr="007B3D88">
        <w:trPr>
          <w:jc w:val="center"/>
        </w:trPr>
        <w:tc>
          <w:tcPr>
            <w:tcW w:w="0" w:type="auto"/>
          </w:tcPr>
          <w:p w:rsidR="00F46327" w:rsidRPr="00113218" w:rsidRDefault="00F46327" w:rsidP="007B3D88">
            <w:pPr>
              <w:spacing w:line="360" w:lineRule="auto"/>
              <w:jc w:val="both"/>
              <w:rPr>
                <w:sz w:val="20"/>
                <w:szCs w:val="20"/>
                <w:lang w:val="uk-UA"/>
              </w:rPr>
            </w:pPr>
            <w:r w:rsidRPr="00113218">
              <w:rPr>
                <w:sz w:val="20"/>
                <w:szCs w:val="20"/>
                <w:lang w:val="uk-UA"/>
              </w:rPr>
              <w:t xml:space="preserve">Разом недоїмки до місцевого бюджету </w:t>
            </w:r>
          </w:p>
        </w:tc>
        <w:tc>
          <w:tcPr>
            <w:tcW w:w="0" w:type="auto"/>
          </w:tcPr>
          <w:p w:rsidR="00F46327" w:rsidRPr="00113218" w:rsidRDefault="00F46327" w:rsidP="007B3D88">
            <w:pPr>
              <w:spacing w:line="360" w:lineRule="auto"/>
              <w:jc w:val="both"/>
              <w:rPr>
                <w:sz w:val="20"/>
                <w:szCs w:val="20"/>
                <w:lang w:val="uk-UA"/>
              </w:rPr>
            </w:pPr>
            <w:r w:rsidRPr="00113218">
              <w:rPr>
                <w:noProof/>
                <w:sz w:val="20"/>
                <w:szCs w:val="20"/>
                <w:lang w:val="uk-UA"/>
              </w:rPr>
              <w:t>51,9</w:t>
            </w:r>
          </w:p>
        </w:tc>
      </w:tr>
    </w:tbl>
    <w:p w:rsidR="00113218" w:rsidRDefault="00113218" w:rsidP="00567186">
      <w:pPr>
        <w:spacing w:line="360" w:lineRule="auto"/>
        <w:ind w:firstLine="720"/>
        <w:jc w:val="center"/>
        <w:rPr>
          <w:sz w:val="28"/>
          <w:szCs w:val="28"/>
          <w:lang w:val="uk-UA"/>
        </w:rPr>
      </w:pPr>
    </w:p>
    <w:p w:rsidR="00F46327" w:rsidRPr="00113218" w:rsidRDefault="00A22F36" w:rsidP="00567186">
      <w:pPr>
        <w:spacing w:line="360" w:lineRule="auto"/>
        <w:ind w:firstLine="720"/>
        <w:jc w:val="center"/>
        <w:rPr>
          <w:sz w:val="28"/>
          <w:szCs w:val="28"/>
          <w:lang w:val="uk-UA"/>
        </w:rPr>
      </w:pPr>
      <w:r>
        <w:rPr>
          <w:sz w:val="28"/>
          <w:szCs w:val="28"/>
          <w:lang w:val="uk-UA"/>
        </w:rPr>
        <w:pict>
          <v:shape id="_x0000_i1027" type="#_x0000_t75" style="width:399.75pt;height:194.25pt">
            <v:imagedata r:id="rId9" o:title=""/>
          </v:shape>
        </w:pict>
      </w:r>
    </w:p>
    <w:p w:rsidR="00567186" w:rsidRPr="00113218" w:rsidRDefault="00567186" w:rsidP="00567186">
      <w:pPr>
        <w:spacing w:line="360" w:lineRule="auto"/>
        <w:ind w:firstLine="720"/>
        <w:jc w:val="center"/>
        <w:rPr>
          <w:sz w:val="28"/>
          <w:szCs w:val="28"/>
          <w:lang w:val="uk-UA"/>
        </w:rPr>
      </w:pPr>
    </w:p>
    <w:p w:rsidR="00F46327" w:rsidRPr="00113218" w:rsidRDefault="00F46327" w:rsidP="001F3EFF">
      <w:pPr>
        <w:spacing w:line="360" w:lineRule="auto"/>
        <w:ind w:firstLine="709"/>
        <w:jc w:val="both"/>
        <w:rPr>
          <w:sz w:val="28"/>
          <w:szCs w:val="28"/>
          <w:lang w:val="uk-UA"/>
        </w:rPr>
      </w:pPr>
      <w:r w:rsidRPr="00113218">
        <w:rPr>
          <w:sz w:val="28"/>
          <w:szCs w:val="28"/>
          <w:lang w:val="uk-UA"/>
        </w:rPr>
        <w:t>Найбільшу питому вагу в загальній сумі боргу займає фіксований сільськогосподарський податок – 55 відсотків. Найбільшими боржниками даного податку є ПСП „Краяни” -22,5 тис.грн. та ФГ</w:t>
      </w:r>
      <w:r w:rsidR="001F3EFF" w:rsidRPr="00113218">
        <w:rPr>
          <w:sz w:val="28"/>
          <w:szCs w:val="28"/>
          <w:lang w:val="uk-UA"/>
        </w:rPr>
        <w:t xml:space="preserve"> </w:t>
      </w:r>
      <w:r w:rsidR="00567186" w:rsidRPr="00113218">
        <w:rPr>
          <w:sz w:val="28"/>
          <w:szCs w:val="28"/>
          <w:lang w:val="uk-UA"/>
        </w:rPr>
        <w:t xml:space="preserve">„Околиця ” - 5,7тис.грн. </w:t>
      </w:r>
      <w:r w:rsidRPr="00113218">
        <w:rPr>
          <w:sz w:val="28"/>
          <w:szCs w:val="28"/>
          <w:lang w:val="uk-UA"/>
        </w:rPr>
        <w:t>Податковий борг по платежах до Зведеного бюджету станом на 1 січня 2009 склав 444,4 тис.грн.</w:t>
      </w:r>
    </w:p>
    <w:p w:rsidR="00F46327" w:rsidRPr="00113218" w:rsidRDefault="00F46327" w:rsidP="001F3EFF">
      <w:pPr>
        <w:spacing w:line="360" w:lineRule="auto"/>
        <w:ind w:firstLine="709"/>
        <w:jc w:val="both"/>
        <w:rPr>
          <w:sz w:val="28"/>
          <w:szCs w:val="28"/>
          <w:lang w:val="uk-UA"/>
        </w:rPr>
      </w:pPr>
      <w:r w:rsidRPr="00113218">
        <w:rPr>
          <w:sz w:val="28"/>
          <w:szCs w:val="28"/>
          <w:lang w:val="uk-UA"/>
        </w:rPr>
        <w:t>Протягом 2008 року вжито ряд заходів , направлених на забезпечення виконання планових показників по доходах, зменшення податкового боргу, розширення бази оподаткування, зокрема:</w:t>
      </w:r>
    </w:p>
    <w:p w:rsidR="00F46327" w:rsidRPr="00113218" w:rsidRDefault="00F46327" w:rsidP="001F3EFF">
      <w:pPr>
        <w:spacing w:line="360" w:lineRule="auto"/>
        <w:ind w:firstLine="709"/>
        <w:jc w:val="both"/>
        <w:rPr>
          <w:sz w:val="28"/>
          <w:szCs w:val="28"/>
          <w:lang w:val="uk-UA"/>
        </w:rPr>
      </w:pPr>
      <w:r w:rsidRPr="00113218">
        <w:rPr>
          <w:sz w:val="28"/>
          <w:szCs w:val="28"/>
          <w:lang w:val="uk-UA"/>
        </w:rPr>
        <w:t>Заходами стягнення боргу забезпечення надходження в сумі 1105 тис.грн. в тому числі до місцевого</w:t>
      </w:r>
      <w:r w:rsidR="001F3EFF" w:rsidRPr="00113218">
        <w:rPr>
          <w:sz w:val="28"/>
          <w:szCs w:val="28"/>
          <w:lang w:val="uk-UA"/>
        </w:rPr>
        <w:t xml:space="preserve"> </w:t>
      </w:r>
      <w:r w:rsidRPr="00113218">
        <w:rPr>
          <w:sz w:val="28"/>
          <w:szCs w:val="28"/>
          <w:lang w:val="uk-UA"/>
        </w:rPr>
        <w:t xml:space="preserve">бюджету – 453,2 тис.грн. </w:t>
      </w:r>
    </w:p>
    <w:p w:rsidR="00F46327" w:rsidRPr="00113218" w:rsidRDefault="00F46327" w:rsidP="001F3EFF">
      <w:pPr>
        <w:spacing w:line="360" w:lineRule="auto"/>
        <w:ind w:firstLine="709"/>
        <w:jc w:val="both"/>
        <w:rPr>
          <w:sz w:val="28"/>
          <w:szCs w:val="28"/>
          <w:lang w:val="uk-UA"/>
        </w:rPr>
      </w:pPr>
      <w:r w:rsidRPr="00113218">
        <w:rPr>
          <w:sz w:val="28"/>
          <w:szCs w:val="28"/>
          <w:lang w:val="uk-UA"/>
        </w:rPr>
        <w:t>Проведено 45 перевірок СПД, донараховано 124,1 тис.грн., погашено в поточному році – 111,4 тис.грн.</w:t>
      </w:r>
    </w:p>
    <w:p w:rsidR="00567186" w:rsidRPr="00113218" w:rsidRDefault="00F46327" w:rsidP="001F3EFF">
      <w:pPr>
        <w:spacing w:line="360" w:lineRule="auto"/>
        <w:ind w:firstLine="709"/>
        <w:jc w:val="both"/>
        <w:rPr>
          <w:sz w:val="28"/>
          <w:szCs w:val="28"/>
          <w:lang w:val="uk-UA"/>
        </w:rPr>
      </w:pPr>
      <w:r w:rsidRPr="00113218">
        <w:rPr>
          <w:sz w:val="28"/>
          <w:szCs w:val="28"/>
          <w:lang w:val="uk-UA"/>
        </w:rPr>
        <w:t>Станом на 1 січня 2009 року до спеціального фонду місцевих бюджетів надійшло 1847,8 тис.грн., що більше надходжень за</w:t>
      </w:r>
      <w:r w:rsidR="001F3EFF" w:rsidRPr="00113218">
        <w:rPr>
          <w:sz w:val="28"/>
          <w:szCs w:val="28"/>
          <w:lang w:val="uk-UA"/>
        </w:rPr>
        <w:t xml:space="preserve"> </w:t>
      </w:r>
      <w:r w:rsidRPr="00113218">
        <w:rPr>
          <w:sz w:val="28"/>
          <w:szCs w:val="28"/>
          <w:lang w:val="uk-UA"/>
        </w:rPr>
        <w:t>2007 рік</w:t>
      </w:r>
      <w:r w:rsidR="001F3EFF" w:rsidRPr="00113218">
        <w:rPr>
          <w:sz w:val="28"/>
          <w:szCs w:val="28"/>
          <w:lang w:val="uk-UA"/>
        </w:rPr>
        <w:t xml:space="preserve"> </w:t>
      </w:r>
      <w:r w:rsidRPr="00113218">
        <w:rPr>
          <w:sz w:val="28"/>
          <w:szCs w:val="28"/>
          <w:lang w:val="uk-UA"/>
        </w:rPr>
        <w:t>на 284,9</w:t>
      </w:r>
      <w:r w:rsidR="001F3EFF" w:rsidRPr="00113218">
        <w:rPr>
          <w:sz w:val="28"/>
          <w:szCs w:val="28"/>
          <w:lang w:val="uk-UA"/>
        </w:rPr>
        <w:t xml:space="preserve"> </w:t>
      </w:r>
      <w:r w:rsidRPr="00113218">
        <w:rPr>
          <w:sz w:val="28"/>
          <w:szCs w:val="28"/>
          <w:lang w:val="uk-UA"/>
        </w:rPr>
        <w:t>тис.грн., в тому числі власних надходжень бюджетних установ – 867,6 тис.грн. або відповідно на 252,9 тис.грн., податку з власників транспортних засобів та інших самохідних машин і механізмів – 426,9 тис.грн. (на 89,0 тис.грн), збору за забруднення навколишнього природного середовища – 6,6 тис.грн. (на 1,0 тис.грн.), надходжень від відчуження майна комунальної власності – 211,1 тис.грн ( на 108,0 тис.грн.), інших надходжень до фондів охорони навколишнього природного середовища – 27,3 тис.грн. (на 25,0 тис.грн.). Поряд з цим зменшились надходження дивідендів, нарахованих на акції (частки, паї) господарських товариств, що є у власності відповідної територіальної громади, яких поступило в сумі 12,5 тис.грн. , що є менше відповідного періоду минулого року на 4,2 тис.грн.,., надходжень від продажу землі – 264,0 тис.грн.</w:t>
      </w:r>
      <w:r w:rsidR="001F3EFF" w:rsidRPr="00113218">
        <w:rPr>
          <w:sz w:val="28"/>
          <w:szCs w:val="28"/>
          <w:lang w:val="uk-UA"/>
        </w:rPr>
        <w:t xml:space="preserve"> </w:t>
      </w:r>
      <w:r w:rsidRPr="00113218">
        <w:rPr>
          <w:sz w:val="28"/>
          <w:szCs w:val="28"/>
          <w:lang w:val="uk-UA"/>
        </w:rPr>
        <w:t>(менше на 161,2 тис.грн.), надходжень від відшкодування втрат лісогосподарського та сільськогосподарського виробництва – 44,3 тис.грн. (на 17,3 тис.грн)</w:t>
      </w:r>
    </w:p>
    <w:p w:rsidR="00544B5D" w:rsidRPr="00113218" w:rsidRDefault="00567186" w:rsidP="00567186">
      <w:pPr>
        <w:spacing w:line="360" w:lineRule="auto"/>
        <w:ind w:firstLine="709"/>
        <w:jc w:val="center"/>
        <w:rPr>
          <w:b/>
          <w:bCs/>
          <w:sz w:val="28"/>
          <w:szCs w:val="28"/>
          <w:lang w:val="uk-UA"/>
        </w:rPr>
      </w:pPr>
      <w:r w:rsidRPr="00113218">
        <w:rPr>
          <w:sz w:val="28"/>
          <w:szCs w:val="28"/>
          <w:lang w:val="uk-UA"/>
        </w:rPr>
        <w:br w:type="page"/>
      </w:r>
      <w:r w:rsidR="00544B5D" w:rsidRPr="00113218">
        <w:rPr>
          <w:b/>
          <w:bCs/>
          <w:sz w:val="28"/>
          <w:szCs w:val="28"/>
          <w:lang w:val="uk-UA"/>
        </w:rPr>
        <w:t>ІІІ. ВИДАТКИ</w:t>
      </w:r>
    </w:p>
    <w:p w:rsidR="00544B5D" w:rsidRPr="00113218" w:rsidRDefault="00544B5D" w:rsidP="001F3EFF">
      <w:pPr>
        <w:spacing w:line="360" w:lineRule="auto"/>
        <w:ind w:firstLine="709"/>
        <w:jc w:val="both"/>
        <w:rPr>
          <w:sz w:val="28"/>
          <w:szCs w:val="28"/>
          <w:lang w:val="uk-UA"/>
        </w:rPr>
      </w:pPr>
    </w:p>
    <w:p w:rsidR="00544B5D" w:rsidRPr="00113218" w:rsidRDefault="00544B5D" w:rsidP="001F3EFF">
      <w:pPr>
        <w:spacing w:line="360" w:lineRule="auto"/>
        <w:ind w:firstLine="709"/>
        <w:jc w:val="both"/>
        <w:rPr>
          <w:sz w:val="28"/>
          <w:szCs w:val="28"/>
          <w:lang w:val="uk-UA"/>
        </w:rPr>
      </w:pPr>
      <w:r w:rsidRPr="00113218">
        <w:rPr>
          <w:sz w:val="28"/>
          <w:szCs w:val="28"/>
          <w:lang w:val="uk-UA"/>
        </w:rPr>
        <w:t>У звітному періоді проведено видатків по району в сумі 64712,2 тис. грн. (в тому числі видатки загального фонду 63030,3 тис. грн. та</w:t>
      </w:r>
      <w:r w:rsidR="001F3EFF" w:rsidRPr="00113218">
        <w:rPr>
          <w:sz w:val="28"/>
          <w:szCs w:val="28"/>
          <w:lang w:val="uk-UA"/>
        </w:rPr>
        <w:t xml:space="preserve"> </w:t>
      </w:r>
      <w:r w:rsidRPr="00113218">
        <w:rPr>
          <w:sz w:val="28"/>
          <w:szCs w:val="28"/>
          <w:lang w:val="uk-UA"/>
        </w:rPr>
        <w:t xml:space="preserve">спеціального 1681,9 тис. грн.), надано кредитів індивідуальним сільським забудовникам в сумі 30,0 тис.грн. </w:t>
      </w:r>
    </w:p>
    <w:p w:rsidR="00544B5D" w:rsidRPr="00113218" w:rsidRDefault="00544B5D" w:rsidP="001F3EFF">
      <w:pPr>
        <w:spacing w:line="360" w:lineRule="auto"/>
        <w:ind w:firstLine="709"/>
        <w:jc w:val="both"/>
        <w:rPr>
          <w:sz w:val="28"/>
          <w:szCs w:val="28"/>
          <w:lang w:val="uk-UA"/>
        </w:rPr>
      </w:pPr>
      <w:r w:rsidRPr="00113218">
        <w:rPr>
          <w:sz w:val="28"/>
          <w:szCs w:val="28"/>
          <w:lang w:val="uk-UA"/>
        </w:rPr>
        <w:t xml:space="preserve">У проведених видатках загального фонду основну питому вагу займають видатки соціальної спрямованості, а саме на освіту – 41,5 % загальних видатків, на охорону здоров’я – 19,9 % та соціальне забезпечення – 20,1 %. Фінансування видатків спрямовувалося в першу чергу на виплату заробітної плати, нарахування на заробітну плату, оплату комунальних послуг та енергоносіїв. </w:t>
      </w:r>
    </w:p>
    <w:p w:rsidR="00544B5D" w:rsidRPr="00113218" w:rsidRDefault="00544B5D" w:rsidP="001F3EFF">
      <w:pPr>
        <w:spacing w:line="360" w:lineRule="auto"/>
        <w:ind w:firstLine="709"/>
        <w:jc w:val="both"/>
        <w:rPr>
          <w:sz w:val="28"/>
          <w:szCs w:val="28"/>
          <w:lang w:val="uk-UA"/>
        </w:rPr>
      </w:pPr>
      <w:r w:rsidRPr="00113218">
        <w:rPr>
          <w:sz w:val="28"/>
          <w:szCs w:val="28"/>
          <w:lang w:val="uk-UA"/>
        </w:rPr>
        <w:t>Рівень виконання видаткової частини загального фонду складає 99,8 відсотків до уточненого плану на рік, в тому числі по основних галузях</w:t>
      </w:r>
      <w:r w:rsidR="001F3EFF" w:rsidRPr="00113218">
        <w:rPr>
          <w:sz w:val="28"/>
          <w:szCs w:val="28"/>
          <w:lang w:val="uk-UA"/>
        </w:rPr>
        <w:t xml:space="preserve"> </w:t>
      </w:r>
      <w:r w:rsidRPr="00113218">
        <w:rPr>
          <w:sz w:val="28"/>
          <w:szCs w:val="28"/>
          <w:lang w:val="uk-UA"/>
        </w:rPr>
        <w:t>бюджету:</w:t>
      </w:r>
    </w:p>
    <w:p w:rsidR="00544B5D" w:rsidRPr="00113218" w:rsidRDefault="00544B5D" w:rsidP="001F3EFF">
      <w:pPr>
        <w:spacing w:line="360" w:lineRule="auto"/>
        <w:ind w:firstLine="709"/>
        <w:jc w:val="both"/>
        <w:rPr>
          <w:sz w:val="28"/>
          <w:szCs w:val="28"/>
          <w:lang w:val="uk-UA"/>
        </w:rPr>
      </w:pPr>
      <w:r w:rsidRPr="00113218">
        <w:rPr>
          <w:sz w:val="28"/>
          <w:szCs w:val="28"/>
          <w:lang w:val="uk-UA"/>
        </w:rPr>
        <w:t>“Державне управління” – касове виконання складає – 4627,7 тис. 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“Місцева пожежна охорона” – 230,0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“Освіта” – 26174,5 тис. 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утримання дитячих дошкільних закладів – 2656,2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загальноосвітніх школи</w:t>
      </w:r>
      <w:r w:rsidR="001F3EFF" w:rsidRPr="00113218">
        <w:rPr>
          <w:sz w:val="28"/>
          <w:szCs w:val="28"/>
          <w:lang w:val="uk-UA"/>
        </w:rPr>
        <w:t xml:space="preserve"> </w:t>
      </w:r>
      <w:r w:rsidRPr="00113218">
        <w:rPr>
          <w:sz w:val="28"/>
          <w:szCs w:val="28"/>
          <w:lang w:val="uk-UA"/>
        </w:rPr>
        <w:t>– 19263,3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4.</w:t>
      </w:r>
      <w:r w:rsidR="001F3EFF" w:rsidRPr="00113218">
        <w:rPr>
          <w:sz w:val="28"/>
          <w:szCs w:val="28"/>
          <w:lang w:val="uk-UA"/>
        </w:rPr>
        <w:t xml:space="preserve"> </w:t>
      </w:r>
      <w:r w:rsidRPr="00113218">
        <w:rPr>
          <w:sz w:val="28"/>
          <w:szCs w:val="28"/>
          <w:lang w:val="uk-UA"/>
        </w:rPr>
        <w:t>“Охорона здоров’я” – 12552,6 тис. 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лікарні – 10364,7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фельдшерсько-акушерські пункти – 875,1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5. “Соціальний захист” – 1310,9 тис.грн., (без субвенції одержаної з державного бюджету),</w:t>
      </w:r>
      <w:r w:rsidR="001F3EFF" w:rsidRPr="00113218">
        <w:rPr>
          <w:sz w:val="28"/>
          <w:szCs w:val="28"/>
          <w:lang w:val="uk-UA"/>
        </w:rPr>
        <w:t xml:space="preserve"> </w:t>
      </w:r>
      <w:r w:rsidRPr="00113218">
        <w:rPr>
          <w:sz w:val="28"/>
          <w:szCs w:val="28"/>
          <w:lang w:val="uk-UA"/>
        </w:rPr>
        <w:t>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територіальний центр і відділення соціальної служби на дому – 1025,0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центр ранньої реабілітації дітей – інвалідів “Лелеченя” – 115,2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утримання центру соціальних служб для молоді – 77,5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пільги на оплату житлово комунальних</w:t>
      </w:r>
      <w:r w:rsidR="001F3EFF" w:rsidRPr="00113218">
        <w:rPr>
          <w:sz w:val="28"/>
          <w:szCs w:val="28"/>
          <w:lang w:val="uk-UA"/>
        </w:rPr>
        <w:t xml:space="preserve"> </w:t>
      </w:r>
      <w:r w:rsidRPr="00113218">
        <w:rPr>
          <w:sz w:val="28"/>
          <w:szCs w:val="28"/>
          <w:lang w:val="uk-UA"/>
        </w:rPr>
        <w:t>послуг воякам ОУН-УПА та інвалідам зору – 64,5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інші допомоги – 85,2 тис.грн.,</w:t>
      </w:r>
      <w:r w:rsidR="001F3EFF" w:rsidRPr="00113218">
        <w:rPr>
          <w:sz w:val="28"/>
          <w:szCs w:val="28"/>
          <w:lang w:val="uk-UA"/>
        </w:rPr>
        <w:t xml:space="preserve"> </w:t>
      </w:r>
    </w:p>
    <w:p w:rsidR="00544B5D" w:rsidRPr="00113218" w:rsidRDefault="00544B5D" w:rsidP="001F3EFF">
      <w:pPr>
        <w:spacing w:line="360" w:lineRule="auto"/>
        <w:ind w:firstLine="709"/>
        <w:jc w:val="both"/>
        <w:rPr>
          <w:sz w:val="28"/>
          <w:szCs w:val="28"/>
          <w:lang w:val="uk-UA"/>
        </w:rPr>
      </w:pPr>
      <w:r w:rsidRPr="00113218">
        <w:rPr>
          <w:sz w:val="28"/>
          <w:szCs w:val="28"/>
          <w:lang w:val="uk-UA"/>
        </w:rPr>
        <w:t>6.</w:t>
      </w:r>
      <w:r w:rsidR="001F3EFF" w:rsidRPr="00113218">
        <w:rPr>
          <w:sz w:val="28"/>
          <w:szCs w:val="28"/>
          <w:lang w:val="uk-UA"/>
        </w:rPr>
        <w:t xml:space="preserve"> </w:t>
      </w:r>
      <w:r w:rsidRPr="00113218">
        <w:rPr>
          <w:sz w:val="28"/>
          <w:szCs w:val="28"/>
          <w:lang w:val="uk-UA"/>
        </w:rPr>
        <w:t>“Житлово–комунальне господарство” – 306,2 тис.грн.,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7.</w:t>
      </w:r>
      <w:r w:rsidR="001F3EFF" w:rsidRPr="00113218">
        <w:rPr>
          <w:sz w:val="28"/>
          <w:szCs w:val="28"/>
          <w:lang w:val="uk-UA"/>
        </w:rPr>
        <w:t xml:space="preserve"> </w:t>
      </w:r>
      <w:r w:rsidRPr="00113218">
        <w:rPr>
          <w:sz w:val="28"/>
          <w:szCs w:val="28"/>
          <w:lang w:val="uk-UA"/>
        </w:rPr>
        <w:t>“Культура і мистецтво” – 2296,0 тис. 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8.</w:t>
      </w:r>
      <w:r w:rsidR="001F3EFF" w:rsidRPr="00113218">
        <w:rPr>
          <w:sz w:val="28"/>
          <w:szCs w:val="28"/>
          <w:lang w:val="uk-UA"/>
        </w:rPr>
        <w:t xml:space="preserve"> </w:t>
      </w:r>
      <w:r w:rsidRPr="00113218">
        <w:rPr>
          <w:sz w:val="28"/>
          <w:szCs w:val="28"/>
          <w:lang w:val="uk-UA"/>
        </w:rPr>
        <w:t>“Засоби масової інформації” – 125,0 тис.грн.,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телебачення – 20,0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фінансова допомога редакції газети “Голос Покуття” – 85,0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 xml:space="preserve">книговидання – 20,0 тис.грн. </w:t>
      </w:r>
    </w:p>
    <w:p w:rsidR="00544B5D" w:rsidRPr="00113218" w:rsidRDefault="00544B5D" w:rsidP="001F3EFF">
      <w:pPr>
        <w:spacing w:line="360" w:lineRule="auto"/>
        <w:ind w:firstLine="709"/>
        <w:jc w:val="both"/>
        <w:rPr>
          <w:sz w:val="28"/>
          <w:szCs w:val="28"/>
          <w:lang w:val="uk-UA"/>
        </w:rPr>
      </w:pPr>
      <w:r w:rsidRPr="00113218">
        <w:rPr>
          <w:sz w:val="28"/>
          <w:szCs w:val="28"/>
          <w:lang w:val="uk-UA"/>
        </w:rPr>
        <w:t>9.</w:t>
      </w:r>
      <w:r w:rsidR="001F3EFF" w:rsidRPr="00113218">
        <w:rPr>
          <w:sz w:val="28"/>
          <w:szCs w:val="28"/>
          <w:lang w:val="uk-UA"/>
        </w:rPr>
        <w:t xml:space="preserve"> </w:t>
      </w:r>
      <w:r w:rsidRPr="00113218">
        <w:rPr>
          <w:sz w:val="28"/>
          <w:szCs w:val="28"/>
          <w:lang w:val="uk-UA"/>
        </w:rPr>
        <w:t>“Фізична культура і спорт” – 496,0 тис.грн.,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 xml:space="preserve">утримання ДЮСШ – 290,7 тис.грн., </w:t>
      </w:r>
    </w:p>
    <w:p w:rsidR="00544B5D" w:rsidRPr="00113218" w:rsidRDefault="00544B5D" w:rsidP="001F3EFF">
      <w:pPr>
        <w:spacing w:line="360" w:lineRule="auto"/>
        <w:ind w:firstLine="709"/>
        <w:jc w:val="both"/>
        <w:rPr>
          <w:sz w:val="28"/>
          <w:szCs w:val="28"/>
          <w:lang w:val="uk-UA"/>
        </w:rPr>
      </w:pPr>
      <w:r w:rsidRPr="00113218">
        <w:rPr>
          <w:sz w:val="28"/>
          <w:szCs w:val="28"/>
          <w:lang w:val="uk-UA"/>
        </w:rPr>
        <w:t>фінансова підтримка “ФСТ Колос” – 55,2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фінансова допомога ДЮСШ ФСТ «Колос» - 64,8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10. “Транспорт, дорожнє господарство, зв’язок, телекомунікація та інформатика” – 465,1 тис. 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компенсаційні виплати на пільговий проїзд автомобільним транспортом окремим категоріям громадян – 114,7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компенсаційні виплати на пільговий проїзд залізничним транспортом окремим категоріям громадян – 50,4 тис. 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11. “Інші послуги, пов’язані з економічною діяльністю” – 1303,8 тис. грн., в тому числі:</w:t>
      </w:r>
    </w:p>
    <w:p w:rsidR="00544B5D" w:rsidRPr="00113218" w:rsidRDefault="00544B5D" w:rsidP="001F3EFF">
      <w:pPr>
        <w:spacing w:line="360" w:lineRule="auto"/>
        <w:ind w:firstLine="709"/>
        <w:jc w:val="both"/>
        <w:rPr>
          <w:sz w:val="28"/>
          <w:szCs w:val="28"/>
          <w:lang w:val="uk-UA"/>
        </w:rPr>
      </w:pPr>
      <w:r w:rsidRPr="00113218">
        <w:rPr>
          <w:sz w:val="28"/>
          <w:szCs w:val="28"/>
          <w:lang w:val="uk-UA"/>
        </w:rPr>
        <w:t>фінансування енергозберігаючих заходів – 1291,0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підтримка малого і середнього підприємництва – 12,8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Протягом 2008 року за рахунок субвенцій з державного бюджету профінансовано видатків на суму 11106,0 тис.грн., в тому числі:</w:t>
      </w:r>
    </w:p>
    <w:p w:rsidR="00544B5D" w:rsidRPr="00113218" w:rsidRDefault="00544B5D" w:rsidP="001F3EFF">
      <w:pPr>
        <w:spacing w:line="360" w:lineRule="auto"/>
        <w:ind w:firstLine="709"/>
        <w:jc w:val="both"/>
        <w:rPr>
          <w:sz w:val="28"/>
          <w:szCs w:val="28"/>
          <w:lang w:val="uk-UA"/>
        </w:rPr>
      </w:pPr>
      <w:r w:rsidRPr="00113218">
        <w:rPr>
          <w:snapToGrid w:val="0"/>
          <w:sz w:val="28"/>
          <w:szCs w:val="28"/>
          <w:lang w:val="uk-UA"/>
        </w:rPr>
        <w:t>на виплату допомог сім`ям з дітьми, малозабезпеченим сім'ям та інвалідам з дитинства, дітям інвалідам та тимчасової державної допомоги дітям в сумі</w:t>
      </w:r>
      <w:r w:rsidR="001F3EFF" w:rsidRPr="00113218">
        <w:rPr>
          <w:snapToGrid w:val="0"/>
          <w:sz w:val="28"/>
          <w:szCs w:val="28"/>
          <w:lang w:val="uk-UA"/>
        </w:rPr>
        <w:t xml:space="preserve"> </w:t>
      </w:r>
      <w:r w:rsidRPr="00113218">
        <w:rPr>
          <w:snapToGrid w:val="0"/>
          <w:sz w:val="28"/>
          <w:szCs w:val="28"/>
          <w:lang w:val="uk-UA"/>
        </w:rPr>
        <w:t>6133,7 тис. 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на надання пільг ветеранам війни і праці, ветеранам військової служби, ветеранам органів внутрішніх справ, ветеранам державної пожежної охорони, вдовам ветеранів військової служби, ветеранів органів внутрішніх справ та державної пожежної охорони, а також звільненим із служби за віком, хворобою або вислугою років військовослужбовцям Служби безпеки,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які загинули, померли або стали інвалідами при проходженні військової служби, реабілітованим громадянам, які стали інвалідами внаслідок репресій або</w:t>
      </w:r>
      <w:r w:rsidR="001F3EFF" w:rsidRPr="00113218">
        <w:rPr>
          <w:sz w:val="28"/>
          <w:szCs w:val="28"/>
          <w:lang w:val="uk-UA"/>
        </w:rPr>
        <w:t xml:space="preserve"> </w:t>
      </w:r>
      <w:r w:rsidRPr="00113218">
        <w:rPr>
          <w:sz w:val="28"/>
          <w:szCs w:val="28"/>
          <w:lang w:val="uk-UA"/>
        </w:rPr>
        <w:t>пенсіонерам, громадянам, які постраждали внаслідок Чорнобильської катастрофи, пільг, передбачених пунктом "ї" частини першої статті 77 Основ законодавства України про охорону здоров'я, частиною другою статті 29 Основ законодавства України про культуру, абзацом першим частини четвертої статті 57 Закону України "Про освіту", та житлових субсидій населенню на оплату електроенергії, природного газу, послуг тепло-, водопостачання і водовідведення, квартирної плати, вивезення побутового сміття та рідких нечистот в сумі 2422,5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на надання пільг ветеранам війни і праці, ветеранам військової служби, ветеранам органів внутрішніх справ, ветеранам державної пожежної охорони, реабілітованим громадянам, які стали інвалідами внаслідок репресій або</w:t>
      </w:r>
      <w:r w:rsidR="001F3EFF" w:rsidRPr="00113218">
        <w:rPr>
          <w:sz w:val="28"/>
          <w:szCs w:val="28"/>
          <w:lang w:val="uk-UA"/>
        </w:rPr>
        <w:t xml:space="preserve"> </w:t>
      </w:r>
      <w:r w:rsidRPr="00113218">
        <w:rPr>
          <w:sz w:val="28"/>
          <w:szCs w:val="28"/>
          <w:lang w:val="uk-UA"/>
        </w:rPr>
        <w:t>пенсіонерам та громадянам, які постраждали внаслідок Чорнобильської катастрофи, з послуг зв'язку та інших передбачених законодавством пільг (крім пільг на одержання ліків, зубопротезування, оплату електроенергії, природного і скрапленого газу, твердого та рідкого пічного побутового палива, послуг тепло-, водопостачання і водовідведення, квартирної плати, вивезення побутового сміття та рідких нечистот) та компенсацію за пільговий проїзд окремих категорій громадян в сумі 694,0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на надання пільг ветеранам війни і праці, ветеранам військової служби, ветеранам органів внутрішніх справ, ветеранам державної пожежної</w:t>
      </w:r>
      <w:r w:rsidR="001F3EFF" w:rsidRPr="00113218">
        <w:rPr>
          <w:sz w:val="28"/>
          <w:szCs w:val="28"/>
          <w:lang w:val="uk-UA"/>
        </w:rPr>
        <w:t xml:space="preserve"> </w:t>
      </w:r>
      <w:r w:rsidRPr="00113218">
        <w:rPr>
          <w:sz w:val="28"/>
          <w:szCs w:val="28"/>
          <w:lang w:val="uk-UA"/>
        </w:rPr>
        <w:t>охорони, вдовам ветеранів військової служби, ветеранів органів внутрішніх справ та державної пожежної охорони, а також звільненим із служби</w:t>
      </w:r>
      <w:r w:rsidR="001F3EFF" w:rsidRPr="00113218">
        <w:rPr>
          <w:sz w:val="28"/>
          <w:szCs w:val="28"/>
          <w:lang w:val="uk-UA"/>
        </w:rPr>
        <w:t xml:space="preserve"> </w:t>
      </w:r>
      <w:r w:rsidRPr="00113218">
        <w:rPr>
          <w:sz w:val="28"/>
          <w:szCs w:val="28"/>
          <w:lang w:val="uk-UA"/>
        </w:rPr>
        <w:t>за</w:t>
      </w:r>
      <w:r w:rsidR="001F3EFF" w:rsidRPr="00113218">
        <w:rPr>
          <w:sz w:val="28"/>
          <w:szCs w:val="28"/>
          <w:lang w:val="uk-UA"/>
        </w:rPr>
        <w:t xml:space="preserve"> </w:t>
      </w:r>
      <w:r w:rsidRPr="00113218">
        <w:rPr>
          <w:sz w:val="28"/>
          <w:szCs w:val="28"/>
          <w:lang w:val="uk-UA"/>
        </w:rPr>
        <w:t>віком, хворобою або вислугою років військовослужбовцям Служби безпеки, працівникам міліції, особам начальницького</w:t>
      </w:r>
      <w:r w:rsidR="001F3EFF" w:rsidRPr="00113218">
        <w:rPr>
          <w:sz w:val="28"/>
          <w:szCs w:val="28"/>
          <w:lang w:val="uk-UA"/>
        </w:rPr>
        <w:t xml:space="preserve"> </w:t>
      </w:r>
      <w:r w:rsidRPr="00113218">
        <w:rPr>
          <w:sz w:val="28"/>
          <w:szCs w:val="28"/>
          <w:lang w:val="uk-UA"/>
        </w:rPr>
        <w:t>складу податкової міліції, рядового</w:t>
      </w:r>
      <w:r w:rsidR="001F3EFF" w:rsidRPr="00113218">
        <w:rPr>
          <w:sz w:val="28"/>
          <w:szCs w:val="28"/>
          <w:lang w:val="uk-UA"/>
        </w:rPr>
        <w:t xml:space="preserve"> </w:t>
      </w:r>
      <w:r w:rsidRPr="00113218">
        <w:rPr>
          <w:sz w:val="28"/>
          <w:szCs w:val="28"/>
          <w:lang w:val="uk-UA"/>
        </w:rPr>
        <w:t>і начальницького складу кримінально-виконавчої системи, державної пожежної охорони,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які загинули, померли або стали інвалідами при проходженні військової служби, реабілітованим громадянам, які стали інвалідами внаслідок репресій або пенсіонерам, громадянам, які постраждали внаслідок Чорнобильської катастрофи, пільг, передбачених пунктом "ї" частини першої статті 77 Основ законодавства України про охорону здоров'я, частиною другою статті 29 Основ законодавства України про культуру, абзацом першим частини четвертої статті 57 Закону України "Про освіту", та житлових субсидій населенню на придбання твердого та рідкого пічного побутового палива і скрапленого газу в сумі 316,2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на надання допомоги по догляду</w:t>
      </w:r>
      <w:r w:rsidR="001F3EFF" w:rsidRPr="00113218">
        <w:rPr>
          <w:sz w:val="28"/>
          <w:szCs w:val="28"/>
          <w:lang w:val="uk-UA"/>
        </w:rPr>
        <w:t xml:space="preserve"> </w:t>
      </w:r>
      <w:r w:rsidRPr="00113218">
        <w:rPr>
          <w:sz w:val="28"/>
          <w:szCs w:val="28"/>
          <w:lang w:val="uk-UA"/>
        </w:rPr>
        <w:t>за інвалідами І-ІІ групи внаслідок психічного розладу в сумі</w:t>
      </w:r>
      <w:r w:rsidR="001F3EFF" w:rsidRPr="00113218">
        <w:rPr>
          <w:sz w:val="28"/>
          <w:szCs w:val="28"/>
          <w:lang w:val="uk-UA"/>
        </w:rPr>
        <w:t xml:space="preserve"> </w:t>
      </w:r>
      <w:r w:rsidRPr="00113218">
        <w:rPr>
          <w:sz w:val="28"/>
          <w:szCs w:val="28"/>
          <w:lang w:val="uk-UA"/>
        </w:rPr>
        <w:t>36,4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на здійснення виплат, визначених Законом України “Про реструктуризацію заборгованості з виплат, передбачених статтею 57 Закону України “Про освіту” педагогічним, науково-педагогічним працівникам в сумі 774,7 тис.грн.;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на фінансування у 2007 році Програм-переможців Всеукраїнського конкурсу проектів та програм розвитку місцевого самоврядування 2007 року в сумі 46,5 тис. 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на соціально економічний розвиток району в сумі 200,0 ти. грн.</w:t>
      </w:r>
    </w:p>
    <w:p w:rsidR="00544B5D" w:rsidRPr="00113218" w:rsidRDefault="00544B5D" w:rsidP="001F3EFF">
      <w:pPr>
        <w:spacing w:line="360" w:lineRule="auto"/>
        <w:ind w:firstLine="709"/>
        <w:jc w:val="both"/>
        <w:rPr>
          <w:sz w:val="28"/>
          <w:szCs w:val="28"/>
          <w:lang w:val="uk-UA"/>
        </w:rPr>
      </w:pPr>
      <w:r w:rsidRPr="00113218">
        <w:rPr>
          <w:sz w:val="28"/>
          <w:szCs w:val="28"/>
          <w:lang w:val="uk-UA"/>
        </w:rPr>
        <w:t xml:space="preserve">на проведення виборів депутатів місцевих рад і сільських, селищного міського голів в сумі 444,0 тис.грн. </w:t>
      </w:r>
    </w:p>
    <w:p w:rsidR="00567186" w:rsidRPr="00113218" w:rsidRDefault="00544B5D" w:rsidP="001F3EFF">
      <w:pPr>
        <w:spacing w:line="360" w:lineRule="auto"/>
        <w:ind w:firstLine="709"/>
        <w:jc w:val="both"/>
        <w:rPr>
          <w:sz w:val="28"/>
          <w:szCs w:val="28"/>
          <w:lang w:val="uk-UA"/>
        </w:rPr>
      </w:pPr>
      <w:r w:rsidRPr="00113218">
        <w:rPr>
          <w:sz w:val="28"/>
          <w:szCs w:val="28"/>
          <w:lang w:val="uk-UA"/>
        </w:rPr>
        <w:t>на надання центрами соціальними служб дітей та молоді соціальних послуг ін’єкційним споживачам наркотиків в сумі 38,0 тис.грн.</w:t>
      </w:r>
    </w:p>
    <w:p w:rsidR="00D94D76" w:rsidRPr="00113218" w:rsidRDefault="00567186" w:rsidP="00567186">
      <w:pPr>
        <w:spacing w:line="360" w:lineRule="auto"/>
        <w:ind w:firstLine="709"/>
        <w:jc w:val="center"/>
        <w:rPr>
          <w:b/>
          <w:bCs/>
          <w:sz w:val="28"/>
          <w:szCs w:val="28"/>
          <w:lang w:val="uk-UA"/>
        </w:rPr>
      </w:pPr>
      <w:r w:rsidRPr="00113218">
        <w:rPr>
          <w:sz w:val="28"/>
          <w:szCs w:val="28"/>
          <w:lang w:val="uk-UA"/>
        </w:rPr>
        <w:br w:type="page"/>
      </w:r>
      <w:r w:rsidR="00D94D76" w:rsidRPr="00113218">
        <w:rPr>
          <w:b/>
          <w:bCs/>
          <w:sz w:val="28"/>
          <w:szCs w:val="28"/>
          <w:lang w:val="uk-UA"/>
        </w:rPr>
        <w:t>Висновки</w:t>
      </w:r>
    </w:p>
    <w:p w:rsidR="00D94D76" w:rsidRPr="00113218" w:rsidRDefault="00D94D76" w:rsidP="001F3EFF">
      <w:pPr>
        <w:spacing w:line="360" w:lineRule="auto"/>
        <w:ind w:firstLine="709"/>
        <w:jc w:val="both"/>
        <w:rPr>
          <w:sz w:val="28"/>
          <w:szCs w:val="28"/>
          <w:lang w:val="uk-UA"/>
        </w:rPr>
      </w:pPr>
    </w:p>
    <w:p w:rsidR="00D94D76" w:rsidRPr="00113218" w:rsidRDefault="00D94D76" w:rsidP="001F3EFF">
      <w:pPr>
        <w:spacing w:line="360" w:lineRule="auto"/>
        <w:ind w:firstLine="709"/>
        <w:jc w:val="both"/>
        <w:rPr>
          <w:sz w:val="28"/>
          <w:szCs w:val="28"/>
          <w:lang w:val="uk-UA"/>
        </w:rPr>
      </w:pPr>
      <w:r w:rsidRPr="00113218">
        <w:rPr>
          <w:sz w:val="28"/>
          <w:szCs w:val="28"/>
          <w:lang w:val="uk-UA"/>
        </w:rPr>
        <w:t>Зробивши аналіз зібраних матеріалів, можна сказати такі основні дані по Снятинському районному бюджету:</w:t>
      </w:r>
    </w:p>
    <w:p w:rsidR="00D94D76" w:rsidRPr="00113218" w:rsidRDefault="00D94D76" w:rsidP="001F3EFF">
      <w:pPr>
        <w:spacing w:line="360" w:lineRule="auto"/>
        <w:ind w:firstLine="709"/>
        <w:jc w:val="both"/>
        <w:rPr>
          <w:sz w:val="28"/>
          <w:szCs w:val="28"/>
          <w:lang w:val="uk-UA"/>
        </w:rPr>
      </w:pPr>
      <w:r w:rsidRPr="00113218">
        <w:rPr>
          <w:sz w:val="28"/>
          <w:szCs w:val="28"/>
          <w:lang w:val="uk-UA"/>
        </w:rPr>
        <w:t>До місцевих бюджетів Снятинського району</w:t>
      </w:r>
      <w:r w:rsidR="001F3EFF" w:rsidRPr="00113218">
        <w:rPr>
          <w:sz w:val="28"/>
          <w:szCs w:val="28"/>
          <w:lang w:val="uk-UA"/>
        </w:rPr>
        <w:t xml:space="preserve"> </w:t>
      </w:r>
      <w:r w:rsidRPr="00113218">
        <w:rPr>
          <w:sz w:val="28"/>
          <w:szCs w:val="28"/>
          <w:lang w:val="uk-UA"/>
        </w:rPr>
        <w:t>за</w:t>
      </w:r>
      <w:r w:rsidR="001F3EFF" w:rsidRPr="00113218">
        <w:rPr>
          <w:sz w:val="28"/>
          <w:szCs w:val="28"/>
          <w:lang w:val="uk-UA"/>
        </w:rPr>
        <w:t xml:space="preserve"> </w:t>
      </w:r>
      <w:r w:rsidRPr="00113218">
        <w:rPr>
          <w:sz w:val="28"/>
          <w:szCs w:val="28"/>
          <w:lang w:val="uk-UA"/>
        </w:rPr>
        <w:t>2008 рік надійшло доходів загального та спеціального фондів в сумі</w:t>
      </w:r>
      <w:r w:rsidR="001F3EFF" w:rsidRPr="00113218">
        <w:rPr>
          <w:sz w:val="28"/>
          <w:szCs w:val="28"/>
          <w:lang w:val="uk-UA"/>
        </w:rPr>
        <w:t xml:space="preserve"> </w:t>
      </w:r>
      <w:r w:rsidRPr="00113218">
        <w:rPr>
          <w:sz w:val="28"/>
          <w:szCs w:val="28"/>
          <w:lang w:val="uk-UA"/>
        </w:rPr>
        <w:t>11277,4 тис.грн. або 107 відсотків</w:t>
      </w:r>
      <w:r w:rsidR="001F3EFF" w:rsidRPr="00113218">
        <w:rPr>
          <w:sz w:val="28"/>
          <w:szCs w:val="28"/>
          <w:lang w:val="uk-UA"/>
        </w:rPr>
        <w:t xml:space="preserve"> </w:t>
      </w:r>
      <w:r w:rsidRPr="00113218">
        <w:rPr>
          <w:sz w:val="28"/>
          <w:szCs w:val="28"/>
          <w:lang w:val="uk-UA"/>
        </w:rPr>
        <w:t xml:space="preserve">уточненого плану на рік, в тому числі до загального фонду – 9429,6 тис.грн. або відповідно 103 відсотки. </w:t>
      </w:r>
    </w:p>
    <w:p w:rsidR="00D94D76" w:rsidRPr="00113218" w:rsidRDefault="00D94D76" w:rsidP="001F3EFF">
      <w:pPr>
        <w:spacing w:line="360" w:lineRule="auto"/>
        <w:ind w:firstLine="709"/>
        <w:jc w:val="both"/>
        <w:rPr>
          <w:sz w:val="28"/>
          <w:szCs w:val="28"/>
          <w:lang w:val="uk-UA"/>
        </w:rPr>
      </w:pPr>
      <w:r w:rsidRPr="00113218">
        <w:rPr>
          <w:sz w:val="28"/>
          <w:szCs w:val="28"/>
          <w:lang w:val="uk-UA"/>
        </w:rPr>
        <w:t>У звітному періоді проведено видатків по району в сумі 64712,2 тис. грн. (в тому числі видатки загального фонду 63030,3 тис. грн. та</w:t>
      </w:r>
      <w:r w:rsidR="001F3EFF" w:rsidRPr="00113218">
        <w:rPr>
          <w:sz w:val="28"/>
          <w:szCs w:val="28"/>
          <w:lang w:val="uk-UA"/>
        </w:rPr>
        <w:t xml:space="preserve"> </w:t>
      </w:r>
      <w:r w:rsidRPr="00113218">
        <w:rPr>
          <w:sz w:val="28"/>
          <w:szCs w:val="28"/>
          <w:lang w:val="uk-UA"/>
        </w:rPr>
        <w:t xml:space="preserve">спеціального 1681,9 тис. грн.), надано кредитів індивідуальним сільським забудовникам в сумі 30,0 тис.грн. </w:t>
      </w:r>
    </w:p>
    <w:p w:rsidR="00D94D76" w:rsidRPr="00113218" w:rsidRDefault="00D94D76" w:rsidP="001F3EFF">
      <w:pPr>
        <w:spacing w:line="360" w:lineRule="auto"/>
        <w:ind w:firstLine="709"/>
        <w:jc w:val="both"/>
        <w:rPr>
          <w:sz w:val="28"/>
          <w:szCs w:val="28"/>
          <w:lang w:val="uk-UA"/>
        </w:rPr>
      </w:pPr>
      <w:r w:rsidRPr="00113218">
        <w:rPr>
          <w:sz w:val="28"/>
          <w:szCs w:val="28"/>
          <w:lang w:val="uk-UA"/>
        </w:rPr>
        <w:t xml:space="preserve">У проведених видатках загального фонду основну питому вагу займають видатки соціальної спрямованості, а саме на освіту – 41,5 % загальних видатків, на охорону здоров’я – 19,9 % та соціальне забезпечення – 20,1 %. Фінансування видатків спрямовувалося в першу чергу на виплату заробітної плати, нарахування на заробітну плату, оплату комунальних послуг та енергоносіїв. </w:t>
      </w:r>
    </w:p>
    <w:p w:rsidR="00D94D76" w:rsidRPr="00113218" w:rsidRDefault="00D94D76" w:rsidP="001F3EFF">
      <w:pPr>
        <w:spacing w:line="360" w:lineRule="auto"/>
        <w:ind w:firstLine="709"/>
        <w:jc w:val="both"/>
        <w:rPr>
          <w:sz w:val="28"/>
          <w:szCs w:val="28"/>
          <w:lang w:val="uk-UA"/>
        </w:rPr>
      </w:pPr>
      <w:r w:rsidRPr="00113218">
        <w:rPr>
          <w:sz w:val="28"/>
          <w:szCs w:val="28"/>
          <w:lang w:val="uk-UA"/>
        </w:rPr>
        <w:t>Аналіз соціально-економічного розвитку Снятинського регіону показав, що залишається багато проблем, такі як:</w:t>
      </w:r>
    </w:p>
    <w:p w:rsidR="00D94D76" w:rsidRPr="00113218" w:rsidRDefault="00D94D76" w:rsidP="001F3EFF">
      <w:pPr>
        <w:spacing w:line="360" w:lineRule="auto"/>
        <w:ind w:firstLine="709"/>
        <w:jc w:val="both"/>
        <w:rPr>
          <w:sz w:val="28"/>
          <w:szCs w:val="28"/>
          <w:lang w:val="uk-UA"/>
        </w:rPr>
      </w:pPr>
      <w:r w:rsidRPr="00113218">
        <w:rPr>
          <w:sz w:val="28"/>
          <w:szCs w:val="28"/>
          <w:lang w:val="uk-UA"/>
        </w:rPr>
        <w:t xml:space="preserve">спад виробництва продукції; </w:t>
      </w:r>
    </w:p>
    <w:p w:rsidR="00D94D76" w:rsidRPr="00113218" w:rsidRDefault="00D94D76" w:rsidP="001F3EFF">
      <w:pPr>
        <w:spacing w:line="360" w:lineRule="auto"/>
        <w:ind w:firstLine="709"/>
        <w:jc w:val="both"/>
        <w:rPr>
          <w:sz w:val="28"/>
          <w:szCs w:val="28"/>
          <w:lang w:val="uk-UA"/>
        </w:rPr>
      </w:pPr>
      <w:r w:rsidRPr="00113218">
        <w:rPr>
          <w:sz w:val="28"/>
          <w:szCs w:val="28"/>
          <w:lang w:val="uk-UA"/>
        </w:rPr>
        <w:t>мала зайнятість населення;</w:t>
      </w:r>
    </w:p>
    <w:p w:rsidR="00D94D76" w:rsidRPr="00113218" w:rsidRDefault="00D94D76" w:rsidP="001F3EFF">
      <w:pPr>
        <w:spacing w:line="360" w:lineRule="auto"/>
        <w:ind w:firstLine="709"/>
        <w:jc w:val="both"/>
        <w:rPr>
          <w:sz w:val="28"/>
          <w:szCs w:val="28"/>
          <w:lang w:val="uk-UA"/>
        </w:rPr>
      </w:pPr>
      <w:r w:rsidRPr="00113218">
        <w:rPr>
          <w:sz w:val="28"/>
          <w:szCs w:val="28"/>
          <w:lang w:val="uk-UA"/>
        </w:rPr>
        <w:t xml:space="preserve"> не реалізація окремих місцевих програм та інше.</w:t>
      </w:r>
    </w:p>
    <w:p w:rsidR="00D94D76" w:rsidRPr="00113218" w:rsidRDefault="00D94D76" w:rsidP="001F3EFF">
      <w:pPr>
        <w:spacing w:line="360" w:lineRule="auto"/>
        <w:ind w:firstLine="709"/>
        <w:jc w:val="both"/>
        <w:rPr>
          <w:sz w:val="28"/>
          <w:szCs w:val="28"/>
          <w:lang w:val="uk-UA"/>
        </w:rPr>
      </w:pPr>
      <w:r w:rsidRPr="00113218">
        <w:rPr>
          <w:sz w:val="28"/>
          <w:szCs w:val="28"/>
          <w:lang w:val="uk-UA"/>
        </w:rPr>
        <w:t>Основними шляхами вирішення проблем розвитку економіки та соціальної сфери Снятинського райогу є:</w:t>
      </w:r>
    </w:p>
    <w:p w:rsidR="00D94D76" w:rsidRPr="00113218" w:rsidRDefault="00D94D76" w:rsidP="001F3EFF">
      <w:pPr>
        <w:spacing w:line="360" w:lineRule="auto"/>
        <w:ind w:firstLine="709"/>
        <w:jc w:val="both"/>
        <w:rPr>
          <w:sz w:val="28"/>
          <w:szCs w:val="28"/>
          <w:lang w:val="uk-UA"/>
        </w:rPr>
      </w:pPr>
      <w:r w:rsidRPr="00113218">
        <w:rPr>
          <w:sz w:val="28"/>
          <w:szCs w:val="28"/>
          <w:lang w:val="uk-UA"/>
        </w:rPr>
        <w:t>1) залучення іноземних інвестицій в економіку району;</w:t>
      </w:r>
    </w:p>
    <w:p w:rsidR="00D94D76" w:rsidRPr="00113218" w:rsidRDefault="00D94D76" w:rsidP="001F3EFF">
      <w:pPr>
        <w:spacing w:line="360" w:lineRule="auto"/>
        <w:ind w:firstLine="709"/>
        <w:jc w:val="both"/>
        <w:rPr>
          <w:sz w:val="28"/>
          <w:szCs w:val="28"/>
          <w:lang w:val="uk-UA"/>
        </w:rPr>
      </w:pPr>
      <w:r w:rsidRPr="00113218">
        <w:rPr>
          <w:sz w:val="28"/>
          <w:szCs w:val="28"/>
          <w:lang w:val="uk-UA"/>
        </w:rPr>
        <w:t>2) стимулювання розвитку підприємництва;</w:t>
      </w:r>
    </w:p>
    <w:p w:rsidR="00D94D76" w:rsidRPr="00113218" w:rsidRDefault="00D94D76" w:rsidP="001F3EFF">
      <w:pPr>
        <w:spacing w:line="360" w:lineRule="auto"/>
        <w:ind w:firstLine="709"/>
        <w:jc w:val="both"/>
        <w:rPr>
          <w:sz w:val="28"/>
          <w:szCs w:val="28"/>
          <w:lang w:val="uk-UA"/>
        </w:rPr>
      </w:pPr>
      <w:r w:rsidRPr="00113218">
        <w:rPr>
          <w:sz w:val="28"/>
          <w:szCs w:val="28"/>
          <w:lang w:val="uk-UA"/>
        </w:rPr>
        <w:t>3) ліквідація заборгованості по зарплаті;</w:t>
      </w:r>
    </w:p>
    <w:p w:rsidR="00D94D76" w:rsidRPr="00113218" w:rsidRDefault="00D94D76" w:rsidP="001F3EFF">
      <w:pPr>
        <w:spacing w:line="360" w:lineRule="auto"/>
        <w:ind w:firstLine="709"/>
        <w:jc w:val="both"/>
        <w:rPr>
          <w:sz w:val="28"/>
          <w:szCs w:val="28"/>
          <w:lang w:val="uk-UA"/>
        </w:rPr>
      </w:pPr>
      <w:r w:rsidRPr="00113218">
        <w:rPr>
          <w:sz w:val="28"/>
          <w:szCs w:val="28"/>
          <w:lang w:val="uk-UA"/>
        </w:rPr>
        <w:t>4) реформування відносин власності;</w:t>
      </w:r>
    </w:p>
    <w:p w:rsidR="00567186" w:rsidRPr="00113218" w:rsidRDefault="00D94D76" w:rsidP="001F3EFF">
      <w:pPr>
        <w:spacing w:line="360" w:lineRule="auto"/>
        <w:ind w:firstLine="709"/>
        <w:jc w:val="both"/>
        <w:rPr>
          <w:sz w:val="28"/>
          <w:szCs w:val="28"/>
          <w:lang w:val="uk-UA"/>
        </w:rPr>
      </w:pPr>
      <w:r w:rsidRPr="00113218">
        <w:rPr>
          <w:sz w:val="28"/>
          <w:szCs w:val="28"/>
          <w:lang w:val="uk-UA"/>
        </w:rPr>
        <w:t>5) цільового використання бюджетних коштів тощо.</w:t>
      </w:r>
    </w:p>
    <w:p w:rsidR="00D94D76" w:rsidRPr="00113218" w:rsidRDefault="00567186" w:rsidP="00567186">
      <w:pPr>
        <w:spacing w:line="360" w:lineRule="auto"/>
        <w:ind w:firstLine="709"/>
        <w:jc w:val="center"/>
        <w:rPr>
          <w:b/>
          <w:bCs/>
          <w:sz w:val="28"/>
          <w:szCs w:val="28"/>
          <w:lang w:val="uk-UA"/>
        </w:rPr>
      </w:pPr>
      <w:r w:rsidRPr="00113218">
        <w:rPr>
          <w:sz w:val="28"/>
          <w:szCs w:val="28"/>
          <w:lang w:val="uk-UA"/>
        </w:rPr>
        <w:br w:type="page"/>
      </w:r>
      <w:r w:rsidRPr="00113218">
        <w:rPr>
          <w:b/>
          <w:bCs/>
          <w:sz w:val="28"/>
          <w:szCs w:val="28"/>
          <w:lang w:val="uk-UA"/>
        </w:rPr>
        <w:t>Список використаної літератури</w:t>
      </w:r>
    </w:p>
    <w:p w:rsidR="00D94D76" w:rsidRPr="00113218" w:rsidRDefault="00D94D76" w:rsidP="001F3EFF">
      <w:pPr>
        <w:spacing w:line="360" w:lineRule="auto"/>
        <w:ind w:firstLine="709"/>
        <w:jc w:val="both"/>
        <w:rPr>
          <w:sz w:val="28"/>
          <w:szCs w:val="28"/>
          <w:lang w:val="uk-UA"/>
        </w:rPr>
      </w:pPr>
    </w:p>
    <w:p w:rsidR="00D94D76" w:rsidRPr="00113218" w:rsidRDefault="00D94D76" w:rsidP="007B3D88">
      <w:pPr>
        <w:spacing w:line="360" w:lineRule="auto"/>
        <w:rPr>
          <w:sz w:val="28"/>
          <w:szCs w:val="28"/>
          <w:lang w:val="uk-UA"/>
        </w:rPr>
      </w:pPr>
      <w:r w:rsidRPr="00113218">
        <w:rPr>
          <w:sz w:val="28"/>
          <w:szCs w:val="28"/>
          <w:lang w:val="uk-UA"/>
        </w:rPr>
        <w:t>1. Конституція України: Прийнята на п’ятій сесії Верховної Ради України 28 червня 1996 р. – К.: Офіційне видавництво Верхов</w:t>
      </w:r>
      <w:r w:rsidR="003C1F14" w:rsidRPr="00113218">
        <w:rPr>
          <w:sz w:val="28"/>
          <w:szCs w:val="28"/>
          <w:lang w:val="uk-UA"/>
        </w:rPr>
        <w:t>ної Ради України, 1996. – 115 с;</w:t>
      </w:r>
    </w:p>
    <w:p w:rsidR="00D94D76" w:rsidRPr="00113218" w:rsidRDefault="00D94D76" w:rsidP="007B3D88">
      <w:pPr>
        <w:spacing w:line="360" w:lineRule="auto"/>
        <w:rPr>
          <w:sz w:val="28"/>
          <w:szCs w:val="28"/>
          <w:lang w:val="uk-UA"/>
        </w:rPr>
      </w:pPr>
      <w:r w:rsidRPr="00113218">
        <w:rPr>
          <w:sz w:val="28"/>
          <w:szCs w:val="28"/>
          <w:lang w:val="uk-UA"/>
        </w:rPr>
        <w:t>2. Бюджетний кодекс України: Текст відповідає офіцій</w:t>
      </w:r>
      <w:r w:rsidR="003C1F14" w:rsidRPr="00113218">
        <w:rPr>
          <w:sz w:val="28"/>
          <w:szCs w:val="28"/>
          <w:lang w:val="uk-UA"/>
        </w:rPr>
        <w:t>ному. – К.: Школа, 2003. – 80 с;</w:t>
      </w:r>
    </w:p>
    <w:p w:rsidR="00D94D76" w:rsidRPr="00113218" w:rsidRDefault="00D94D76" w:rsidP="007B3D88">
      <w:pPr>
        <w:spacing w:line="360" w:lineRule="auto"/>
        <w:rPr>
          <w:sz w:val="28"/>
          <w:szCs w:val="28"/>
          <w:lang w:val="uk-UA"/>
        </w:rPr>
      </w:pPr>
      <w:r w:rsidRPr="00113218">
        <w:rPr>
          <w:sz w:val="28"/>
          <w:szCs w:val="28"/>
          <w:lang w:val="uk-UA"/>
        </w:rPr>
        <w:t xml:space="preserve">3. Відповідно до Бюджетного кодексу України від 21 червня 2001 року № 2542-ІІІ, Закону України «Про Державний бюджет України на 2008 рік» від 26 грудня 2007 року </w:t>
      </w:r>
      <w:r w:rsidR="003C1F14" w:rsidRPr="00113218">
        <w:rPr>
          <w:sz w:val="28"/>
          <w:szCs w:val="28"/>
          <w:lang w:val="uk-UA"/>
        </w:rPr>
        <w:t>№ 835-VI, Рішення районної ради;</w:t>
      </w:r>
    </w:p>
    <w:p w:rsidR="00D94D76" w:rsidRPr="00113218" w:rsidRDefault="00D94D76" w:rsidP="007B3D88">
      <w:pPr>
        <w:spacing w:line="360" w:lineRule="auto"/>
        <w:rPr>
          <w:sz w:val="28"/>
          <w:szCs w:val="28"/>
          <w:lang w:val="uk-UA"/>
        </w:rPr>
      </w:pPr>
      <w:r w:rsidRPr="00113218">
        <w:rPr>
          <w:sz w:val="28"/>
          <w:szCs w:val="28"/>
          <w:lang w:val="uk-UA"/>
        </w:rPr>
        <w:t>4. Районна програма соціально-економічного розвитку на 2008 рік</w:t>
      </w:r>
      <w:r w:rsidR="003C1F14" w:rsidRPr="00113218">
        <w:rPr>
          <w:sz w:val="28"/>
          <w:szCs w:val="28"/>
          <w:lang w:val="uk-UA"/>
        </w:rPr>
        <w:t>;</w:t>
      </w:r>
    </w:p>
    <w:p w:rsidR="00D94D76" w:rsidRPr="00113218" w:rsidRDefault="00D94D76" w:rsidP="007B3D88">
      <w:pPr>
        <w:spacing w:line="360" w:lineRule="auto"/>
        <w:rPr>
          <w:sz w:val="28"/>
          <w:szCs w:val="28"/>
          <w:lang w:val="uk-UA"/>
        </w:rPr>
      </w:pPr>
      <w:r w:rsidRPr="00113218">
        <w:rPr>
          <w:sz w:val="28"/>
          <w:szCs w:val="28"/>
          <w:lang w:val="uk-UA"/>
        </w:rPr>
        <w:t>5. http:\\</w:t>
      </w:r>
      <w:r w:rsidR="003C1F14" w:rsidRPr="00113218">
        <w:rPr>
          <w:sz w:val="28"/>
          <w:szCs w:val="28"/>
          <w:lang w:val="uk-UA"/>
        </w:rPr>
        <w:t>www.snyatyn.net.</w:t>
      </w:r>
      <w:bookmarkStart w:id="0" w:name="_GoBack"/>
      <w:bookmarkEnd w:id="0"/>
    </w:p>
    <w:sectPr w:rsidR="00D94D76" w:rsidRPr="00113218" w:rsidSect="00113218">
      <w:headerReference w:type="default" r:id="rId10"/>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EA" w:rsidRDefault="006811EA">
      <w:r>
        <w:separator/>
      </w:r>
    </w:p>
  </w:endnote>
  <w:endnote w:type="continuationSeparator" w:id="0">
    <w:p w:rsidR="006811EA" w:rsidRDefault="0068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UkrainianKudriashov">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EA" w:rsidRDefault="006811EA">
      <w:r>
        <w:separator/>
      </w:r>
    </w:p>
  </w:footnote>
  <w:footnote w:type="continuationSeparator" w:id="0">
    <w:p w:rsidR="006811EA" w:rsidRDefault="00681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FF" w:rsidRPr="00E26346" w:rsidRDefault="00FA7173" w:rsidP="00490326">
    <w:pPr>
      <w:pStyle w:val="a3"/>
      <w:framePr w:wrap="auto" w:vAnchor="text" w:hAnchor="margin" w:xAlign="right" w:y="1"/>
      <w:rPr>
        <w:rStyle w:val="a5"/>
        <w:sz w:val="28"/>
        <w:szCs w:val="28"/>
      </w:rPr>
    </w:pPr>
    <w:r>
      <w:rPr>
        <w:rStyle w:val="a5"/>
        <w:noProof/>
        <w:sz w:val="28"/>
        <w:szCs w:val="28"/>
      </w:rPr>
      <w:t>3</w:t>
    </w:r>
  </w:p>
  <w:p w:rsidR="001F3EFF" w:rsidRDefault="001F3EFF" w:rsidP="00E2634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645"/>
    <w:multiLevelType w:val="hybridMultilevel"/>
    <w:tmpl w:val="46FED9E2"/>
    <w:lvl w:ilvl="0" w:tplc="46046A4C">
      <w:start w:val="1"/>
      <w:numFmt w:val="decimal"/>
      <w:lvlText w:val="%1."/>
      <w:lvlJc w:val="left"/>
      <w:pPr>
        <w:tabs>
          <w:tab w:val="num" w:pos="2087"/>
        </w:tabs>
        <w:ind w:left="2087" w:hanging="1185"/>
      </w:pPr>
      <w:rPr>
        <w:rFonts w:hint="default"/>
      </w:rPr>
    </w:lvl>
    <w:lvl w:ilvl="1" w:tplc="04190019">
      <w:start w:val="1"/>
      <w:numFmt w:val="lowerLetter"/>
      <w:lvlText w:val="%2."/>
      <w:lvlJc w:val="left"/>
      <w:pPr>
        <w:tabs>
          <w:tab w:val="num" w:pos="1982"/>
        </w:tabs>
        <w:ind w:left="1982" w:hanging="360"/>
      </w:pPr>
    </w:lvl>
    <w:lvl w:ilvl="2" w:tplc="0419001B">
      <w:start w:val="1"/>
      <w:numFmt w:val="lowerRoman"/>
      <w:lvlText w:val="%3."/>
      <w:lvlJc w:val="right"/>
      <w:pPr>
        <w:tabs>
          <w:tab w:val="num" w:pos="2702"/>
        </w:tabs>
        <w:ind w:left="2702" w:hanging="180"/>
      </w:pPr>
    </w:lvl>
    <w:lvl w:ilvl="3" w:tplc="0419000F">
      <w:start w:val="1"/>
      <w:numFmt w:val="decimal"/>
      <w:lvlText w:val="%4."/>
      <w:lvlJc w:val="left"/>
      <w:pPr>
        <w:tabs>
          <w:tab w:val="num" w:pos="3422"/>
        </w:tabs>
        <w:ind w:left="3422" w:hanging="360"/>
      </w:pPr>
    </w:lvl>
    <w:lvl w:ilvl="4" w:tplc="04190019">
      <w:start w:val="1"/>
      <w:numFmt w:val="lowerLetter"/>
      <w:lvlText w:val="%5."/>
      <w:lvlJc w:val="left"/>
      <w:pPr>
        <w:tabs>
          <w:tab w:val="num" w:pos="4142"/>
        </w:tabs>
        <w:ind w:left="4142" w:hanging="360"/>
      </w:pPr>
    </w:lvl>
    <w:lvl w:ilvl="5" w:tplc="0419001B">
      <w:start w:val="1"/>
      <w:numFmt w:val="lowerRoman"/>
      <w:lvlText w:val="%6."/>
      <w:lvlJc w:val="right"/>
      <w:pPr>
        <w:tabs>
          <w:tab w:val="num" w:pos="4862"/>
        </w:tabs>
        <w:ind w:left="4862" w:hanging="180"/>
      </w:pPr>
    </w:lvl>
    <w:lvl w:ilvl="6" w:tplc="0419000F">
      <w:start w:val="1"/>
      <w:numFmt w:val="decimal"/>
      <w:lvlText w:val="%7."/>
      <w:lvlJc w:val="left"/>
      <w:pPr>
        <w:tabs>
          <w:tab w:val="num" w:pos="5582"/>
        </w:tabs>
        <w:ind w:left="5582" w:hanging="360"/>
      </w:pPr>
    </w:lvl>
    <w:lvl w:ilvl="7" w:tplc="04190019">
      <w:start w:val="1"/>
      <w:numFmt w:val="lowerLetter"/>
      <w:lvlText w:val="%8."/>
      <w:lvlJc w:val="left"/>
      <w:pPr>
        <w:tabs>
          <w:tab w:val="num" w:pos="6302"/>
        </w:tabs>
        <w:ind w:left="6302" w:hanging="360"/>
      </w:pPr>
    </w:lvl>
    <w:lvl w:ilvl="8" w:tplc="0419001B">
      <w:start w:val="1"/>
      <w:numFmt w:val="lowerRoman"/>
      <w:lvlText w:val="%9."/>
      <w:lvlJc w:val="right"/>
      <w:pPr>
        <w:tabs>
          <w:tab w:val="num" w:pos="7022"/>
        </w:tabs>
        <w:ind w:left="7022" w:hanging="180"/>
      </w:pPr>
    </w:lvl>
  </w:abstractNum>
  <w:abstractNum w:abstractNumId="1">
    <w:nsid w:val="343A6423"/>
    <w:multiLevelType w:val="hybridMultilevel"/>
    <w:tmpl w:val="D58C10BE"/>
    <w:lvl w:ilvl="0" w:tplc="432445B0">
      <w:start w:val="4"/>
      <w:numFmt w:val="bullet"/>
      <w:lvlText w:val="-"/>
      <w:lvlJc w:val="left"/>
      <w:pPr>
        <w:tabs>
          <w:tab w:val="num" w:pos="1468"/>
        </w:tabs>
        <w:ind w:left="1468" w:hanging="360"/>
      </w:pPr>
      <w:rPr>
        <w:rFonts w:ascii="Times New Roman" w:eastAsia="Times New Roman" w:hAnsi="Times New Roman"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2">
    <w:nsid w:val="394D7AB1"/>
    <w:multiLevelType w:val="singleLevel"/>
    <w:tmpl w:val="05EEB846"/>
    <w:lvl w:ilvl="0">
      <w:start w:val="15"/>
      <w:numFmt w:val="bullet"/>
      <w:lvlText w:val="-"/>
      <w:lvlJc w:val="left"/>
      <w:pPr>
        <w:tabs>
          <w:tab w:val="num" w:pos="757"/>
        </w:tabs>
        <w:ind w:firstLine="397"/>
      </w:pPr>
    </w:lvl>
  </w:abstractNum>
  <w:abstractNum w:abstractNumId="3">
    <w:nsid w:val="501D4048"/>
    <w:multiLevelType w:val="hybridMultilevel"/>
    <w:tmpl w:val="8ED2959C"/>
    <w:lvl w:ilvl="0" w:tplc="EA6CDF5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62B914B4"/>
    <w:multiLevelType w:val="hybridMultilevel"/>
    <w:tmpl w:val="CF488E04"/>
    <w:lvl w:ilvl="0" w:tplc="EA6CDF58">
      <w:start w:val="1"/>
      <w:numFmt w:val="bullet"/>
      <w:lvlText w:val=""/>
      <w:lvlJc w:val="left"/>
      <w:pPr>
        <w:tabs>
          <w:tab w:val="num" w:pos="1468"/>
        </w:tabs>
        <w:ind w:left="1468" w:hanging="360"/>
      </w:pPr>
      <w:rPr>
        <w:rFonts w:ascii="Symbol" w:hAnsi="Symbol" w:cs="Symbol"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5">
    <w:nsid w:val="63B8629B"/>
    <w:multiLevelType w:val="hybridMultilevel"/>
    <w:tmpl w:val="8FAA0F4E"/>
    <w:lvl w:ilvl="0" w:tplc="4BE87EF8">
      <w:start w:val="1"/>
      <w:numFmt w:val="decimal"/>
      <w:lvlText w:val="%1."/>
      <w:lvlJc w:val="left"/>
      <w:pPr>
        <w:tabs>
          <w:tab w:val="num" w:pos="1080"/>
        </w:tabs>
        <w:ind w:left="1080" w:hanging="360"/>
      </w:pPr>
      <w:rPr>
        <w:rFonts w:hint="default"/>
      </w:rPr>
    </w:lvl>
    <w:lvl w:ilvl="1" w:tplc="6F4ACC7E">
      <w:start w:val="1"/>
      <w:numFmt w:val="bullet"/>
      <w:lvlText w:val="-"/>
      <w:lvlJc w:val="left"/>
      <w:pPr>
        <w:tabs>
          <w:tab w:val="num" w:pos="1800"/>
        </w:tabs>
        <w:ind w:left="1800" w:hanging="360"/>
      </w:pPr>
      <w:rPr>
        <w:rFonts w:ascii="Times New Roman" w:eastAsia="Times New Roman" w:hAnsi="Times New Roman"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6A5A5696"/>
    <w:multiLevelType w:val="hybridMultilevel"/>
    <w:tmpl w:val="223821C6"/>
    <w:lvl w:ilvl="0" w:tplc="EA6CDF58">
      <w:start w:val="1"/>
      <w:numFmt w:val="bullet"/>
      <w:lvlText w:val=""/>
      <w:lvlJc w:val="left"/>
      <w:pPr>
        <w:tabs>
          <w:tab w:val="num" w:pos="1468"/>
        </w:tabs>
        <w:ind w:left="1468" w:hanging="360"/>
      </w:pPr>
      <w:rPr>
        <w:rFonts w:ascii="Symbol" w:hAnsi="Symbol" w:cs="Symbol"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7">
    <w:nsid w:val="6EA45A7C"/>
    <w:multiLevelType w:val="hybridMultilevel"/>
    <w:tmpl w:val="DEBEDDBE"/>
    <w:lvl w:ilvl="0" w:tplc="D520D5A0">
      <w:start w:val="5"/>
      <w:numFmt w:val="bullet"/>
      <w:lvlText w:val="-"/>
      <w:lvlJc w:val="left"/>
      <w:pPr>
        <w:tabs>
          <w:tab w:val="num" w:pos="1468"/>
        </w:tabs>
        <w:ind w:left="1468" w:hanging="360"/>
      </w:pPr>
      <w:rPr>
        <w:rFonts w:ascii="Times New Roman" w:eastAsia="Times New Roman" w:hAnsi="Times New Roman"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346"/>
    <w:rsid w:val="00024F4B"/>
    <w:rsid w:val="00113218"/>
    <w:rsid w:val="00166424"/>
    <w:rsid w:val="001F3EFF"/>
    <w:rsid w:val="003C1F14"/>
    <w:rsid w:val="00490326"/>
    <w:rsid w:val="00544B5D"/>
    <w:rsid w:val="00567186"/>
    <w:rsid w:val="006811EA"/>
    <w:rsid w:val="006E16A1"/>
    <w:rsid w:val="006E24E8"/>
    <w:rsid w:val="006E7A83"/>
    <w:rsid w:val="007B3D88"/>
    <w:rsid w:val="00A22F36"/>
    <w:rsid w:val="00AA776A"/>
    <w:rsid w:val="00B36DE2"/>
    <w:rsid w:val="00B73320"/>
    <w:rsid w:val="00BB7D80"/>
    <w:rsid w:val="00D57D4B"/>
    <w:rsid w:val="00D94D76"/>
    <w:rsid w:val="00E26346"/>
    <w:rsid w:val="00F46327"/>
    <w:rsid w:val="00FA7173"/>
    <w:rsid w:val="00FF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70C42163-D9B9-4405-9757-EF4771BC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F46327"/>
    <w:pPr>
      <w:keepNext/>
      <w:spacing w:line="264" w:lineRule="auto"/>
      <w:outlineLvl w:val="2"/>
    </w:pPr>
    <w:rPr>
      <w:sz w:val="28"/>
      <w:szCs w:val="28"/>
      <w:lang w:val="uk-UA"/>
    </w:rPr>
  </w:style>
  <w:style w:type="paragraph" w:styleId="4">
    <w:name w:val="heading 4"/>
    <w:basedOn w:val="a"/>
    <w:next w:val="a"/>
    <w:link w:val="40"/>
    <w:uiPriority w:val="99"/>
    <w:qFormat/>
    <w:rsid w:val="00F46327"/>
    <w:pPr>
      <w:keepNext/>
      <w:spacing w:line="300" w:lineRule="auto"/>
      <w:ind w:firstLine="900"/>
      <w:jc w:val="center"/>
      <w:outlineLvl w:val="3"/>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header"/>
    <w:basedOn w:val="a"/>
    <w:link w:val="a4"/>
    <w:uiPriority w:val="99"/>
    <w:rsid w:val="00E26346"/>
    <w:pPr>
      <w:tabs>
        <w:tab w:val="center" w:pos="4819"/>
        <w:tab w:val="right" w:pos="9639"/>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E26346"/>
  </w:style>
  <w:style w:type="paragraph" w:styleId="a6">
    <w:name w:val="footer"/>
    <w:basedOn w:val="a"/>
    <w:link w:val="a7"/>
    <w:uiPriority w:val="99"/>
    <w:rsid w:val="00E26346"/>
    <w:pPr>
      <w:tabs>
        <w:tab w:val="center" w:pos="4819"/>
        <w:tab w:val="right" w:pos="9639"/>
      </w:tabs>
    </w:pPr>
  </w:style>
  <w:style w:type="character" w:customStyle="1" w:styleId="a7">
    <w:name w:val="Нижний колонтитул Знак"/>
    <w:link w:val="a6"/>
    <w:uiPriority w:val="99"/>
    <w:semiHidden/>
    <w:rPr>
      <w:sz w:val="24"/>
      <w:szCs w:val="24"/>
    </w:rPr>
  </w:style>
  <w:style w:type="paragraph" w:styleId="2">
    <w:name w:val="Body Text 2"/>
    <w:basedOn w:val="a"/>
    <w:link w:val="20"/>
    <w:uiPriority w:val="99"/>
    <w:rsid w:val="00F46327"/>
    <w:pPr>
      <w:spacing w:after="120" w:line="480" w:lineRule="auto"/>
    </w:pPr>
  </w:style>
  <w:style w:type="character" w:customStyle="1" w:styleId="20">
    <w:name w:val="Основной текст 2 Знак"/>
    <w:link w:val="2"/>
    <w:uiPriority w:val="99"/>
    <w:semiHidden/>
    <w:rPr>
      <w:sz w:val="24"/>
      <w:szCs w:val="24"/>
    </w:rPr>
  </w:style>
  <w:style w:type="paragraph" w:customStyle="1" w:styleId="Iauiue3">
    <w:name w:val="Iau?iue3"/>
    <w:uiPriority w:val="99"/>
    <w:rsid w:val="00F46327"/>
    <w:pPr>
      <w:widowControl w:val="0"/>
      <w:jc w:val="both"/>
    </w:pPr>
    <w:rPr>
      <w:rFonts w:ascii="UkrainianKudriashov" w:hAnsi="UkrainianKudriashov" w:cs="UkrainianKudriashov"/>
      <w:sz w:val="26"/>
      <w:szCs w:val="26"/>
    </w:rPr>
  </w:style>
  <w:style w:type="paragraph" w:styleId="21">
    <w:name w:val="Body Text Indent 2"/>
    <w:basedOn w:val="a"/>
    <w:link w:val="22"/>
    <w:uiPriority w:val="99"/>
    <w:rsid w:val="00F46327"/>
    <w:pPr>
      <w:spacing w:after="120" w:line="480" w:lineRule="auto"/>
      <w:ind w:left="360"/>
    </w:p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rsid w:val="00F46327"/>
    <w:pPr>
      <w:spacing w:after="120"/>
      <w:ind w:left="360"/>
    </w:pPr>
    <w:rPr>
      <w:sz w:val="16"/>
      <w:szCs w:val="16"/>
    </w:rPr>
  </w:style>
  <w:style w:type="character" w:customStyle="1" w:styleId="32">
    <w:name w:val="Основной текст с отступом 3 Знак"/>
    <w:link w:val="31"/>
    <w:uiPriority w:val="99"/>
    <w:semiHidden/>
    <w:rPr>
      <w:sz w:val="16"/>
      <w:szCs w:val="16"/>
    </w:rPr>
  </w:style>
  <w:style w:type="character" w:customStyle="1" w:styleId="txt1">
    <w:name w:val="txt1"/>
    <w:uiPriority w:val="99"/>
    <w:rsid w:val="00F46327"/>
    <w:rPr>
      <w:sz w:val="17"/>
      <w:szCs w:val="17"/>
      <w:bdr w:val="single" w:sz="6" w:space="0" w:color="6195A0" w:frame="1"/>
    </w:rPr>
  </w:style>
  <w:style w:type="paragraph" w:customStyle="1" w:styleId="Iauiue">
    <w:name w:val="Iau?iue"/>
    <w:uiPriority w:val="99"/>
    <w:rsid w:val="00F46327"/>
    <w:pPr>
      <w:widowControl w:val="0"/>
      <w:autoSpaceDE w:val="0"/>
      <w:autoSpaceDN w:val="0"/>
      <w:jc w:val="both"/>
    </w:pPr>
    <w:rPr>
      <w:rFonts w:ascii="UkrainianKudriashov" w:hAnsi="UkrainianKudriashov" w:cs="UkrainianKudriashov"/>
      <w:sz w:val="26"/>
      <w:szCs w:val="26"/>
      <w:lang w:val="uk-UA"/>
    </w:rPr>
  </w:style>
  <w:style w:type="table" w:styleId="a8">
    <w:name w:val="Table Grid"/>
    <w:basedOn w:val="a1"/>
    <w:uiPriority w:val="99"/>
    <w:rsid w:val="00F4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F46327"/>
    <w:pPr>
      <w:autoSpaceDE w:val="0"/>
      <w:autoSpaceDN w:val="0"/>
    </w:pPr>
  </w:style>
  <w:style w:type="paragraph" w:styleId="a9">
    <w:name w:val="Body Text Indent"/>
    <w:basedOn w:val="a"/>
    <w:link w:val="aa"/>
    <w:uiPriority w:val="99"/>
    <w:rsid w:val="00544B5D"/>
    <w:pPr>
      <w:spacing w:after="120"/>
      <w:ind w:left="283"/>
    </w:pPr>
  </w:style>
  <w:style w:type="character" w:customStyle="1" w:styleId="aa">
    <w:name w:val="Основной текст с отступом Знак"/>
    <w:link w:val="a9"/>
    <w:uiPriority w:val="99"/>
    <w:semiHidden/>
    <w:rPr>
      <w:sz w:val="24"/>
      <w:szCs w:val="24"/>
    </w:rPr>
  </w:style>
  <w:style w:type="paragraph" w:styleId="ab">
    <w:name w:val="Body Text"/>
    <w:basedOn w:val="a"/>
    <w:link w:val="ac"/>
    <w:uiPriority w:val="99"/>
    <w:rsid w:val="00544B5D"/>
    <w:pPr>
      <w:spacing w:after="120"/>
    </w:pPr>
  </w:style>
  <w:style w:type="character" w:customStyle="1" w:styleId="ac">
    <w:name w:val="Основной текст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3885</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MoBIL GROUP</Company>
  <LinksUpToDate>false</LinksUpToDate>
  <CharactersWithSpaces>25979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cp:lastPrinted>2009-01-25T16:22:00Z</cp:lastPrinted>
  <dcterms:created xsi:type="dcterms:W3CDTF">2014-02-22T05:50:00Z</dcterms:created>
  <dcterms:modified xsi:type="dcterms:W3CDTF">2014-02-22T05:50:00Z</dcterms:modified>
</cp:coreProperties>
</file>