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2B" w:rsidRPr="002F0B7E" w:rsidRDefault="00942E2B" w:rsidP="00942E2B">
      <w:pPr>
        <w:spacing w:before="120"/>
        <w:jc w:val="center"/>
        <w:rPr>
          <w:b/>
          <w:bCs/>
          <w:sz w:val="32"/>
          <w:szCs w:val="32"/>
        </w:rPr>
      </w:pPr>
      <w:r w:rsidRPr="002F0B7E">
        <w:rPr>
          <w:b/>
          <w:bCs/>
          <w:sz w:val="32"/>
          <w:szCs w:val="32"/>
        </w:rPr>
        <w:t xml:space="preserve">О возможности индуцирования длиннопериодической структуры в антиферромагнетиках с магнитоэлектрическим эффектом </w:t>
      </w:r>
    </w:p>
    <w:p w:rsidR="00942E2B" w:rsidRPr="002F0B7E" w:rsidRDefault="00942E2B" w:rsidP="00942E2B">
      <w:pPr>
        <w:spacing w:before="120"/>
        <w:jc w:val="center"/>
        <w:rPr>
          <w:sz w:val="28"/>
          <w:szCs w:val="28"/>
        </w:rPr>
      </w:pPr>
      <w:r w:rsidRPr="002F0B7E">
        <w:rPr>
          <w:sz w:val="28"/>
          <w:szCs w:val="28"/>
        </w:rPr>
        <w:t xml:space="preserve">Халфина А.А. 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 xml:space="preserve">Известно, что в некоторых магнитоупорядоченных кристаллах образуется длиннопериодическая магнитная структура, называемая сверхструктурой. В простейшем случае сверхструктуры вектор плотности магнитного момента поворачивается вокруг избранной оси так, что конец вектора вычерчивает в пространстве геликоид. Теория геликоидальных структур (ГС) в антиферромагнетиках (АФМ) построена И.Е.Дзялошинским [1]. Показано, что их существование может быть связано с наличием в свободной энергии линейных по пространственным производным слагаемых. Так, например, сверхструктура одноосных АФМ обусловлена инвариантом лифшицевского вида </w:t>
      </w:r>
      <w:r w:rsidRPr="002F0B7E">
        <w:sym w:font="Symbol" w:char="F06C"/>
      </w:r>
      <w:r w:rsidRPr="002F0B7E">
        <w:t>(ly</w:t>
      </w:r>
      <w:r w:rsidRPr="002F0B7E">
        <w:sym w:font="Symbol" w:char="F0D7"/>
      </w:r>
      <w:r w:rsidRPr="002F0B7E">
        <w:t>дlx/дz-lx</w:t>
      </w:r>
      <w:r w:rsidRPr="002F0B7E">
        <w:sym w:font="Symbol" w:char="F0D7"/>
      </w:r>
      <w:r w:rsidRPr="002F0B7E">
        <w:t xml:space="preserve">дly/дz). Здесь l - вектор антиферромагнетизма, ось z направлена вдоль оси анизотропии. Такой инвариант допускает кристаллографический класс Cn, и ГС является «врожденным» свойством этих АФМ. При наличии внешних магнитного H и электрического E полей появление таких слагаемых в свободной энергии с </w:t>
      </w:r>
      <w:r w:rsidRPr="002F0B7E">
        <w:sym w:font="Symbol" w:char="F06C"/>
      </w:r>
      <w:r w:rsidRPr="002F0B7E">
        <w:t>=</w:t>
      </w:r>
      <w:r w:rsidRPr="002F0B7E">
        <w:sym w:font="Symbol" w:char="F06C"/>
      </w:r>
      <w:r w:rsidRPr="002F0B7E">
        <w:t xml:space="preserve">0Ez или </w:t>
      </w:r>
      <w:r w:rsidRPr="002F0B7E">
        <w:sym w:font="Symbol" w:char="F06C"/>
      </w:r>
      <w:r w:rsidRPr="002F0B7E">
        <w:t>=</w:t>
      </w:r>
      <w:r w:rsidRPr="002F0B7E">
        <w:sym w:font="Symbol" w:char="F06C"/>
      </w:r>
      <w:r w:rsidRPr="002F0B7E">
        <w:t>0Hz возможно и в АФМ иной симметрии, т.е. ГС можно индуцировать полями H и E [2, 3].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>Магнитная симметрия АФМ с магнитоэлектрическим эффектом допускает линейный неоднородный обменный инвариант Dmдl/дz [4], где m - вектор ферромагнетизма. Статические свойства таких АФМ и линейные возбуждения в них без учета вышеуказанного инварианта изучены достаточно подробно (см. напр. [5-7]). Нами показано сильное влияние этого инварианта на формирование доменной структуры центроантисимметричных АФМ в магнитном поле [8]. В настоящем сообщении обсуждается возможность индуцирования длиннопериодической структуры в АФМ с магнитоэлектрическим эффектом.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 xml:space="preserve">Рассмотрим двухподрешеточный ромбоэдрический центроантисимметричный АФМ со структурой </w:t>
      </w:r>
      <w:r w:rsidRPr="002F0B7E">
        <w:object w:dxaOrig="7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7.25pt" o:ole="">
            <v:imagedata r:id="rId4" o:title=""/>
          </v:shape>
          <o:OLEObject Type="Embed" ProgID="Equation.3" ShapeID="_x0000_i1025" DrawAspect="Content" ObjectID="_1454074053" r:id="rId5"/>
        </w:object>
      </w:r>
      <w:r w:rsidRPr="002F0B7E">
        <w:t>. Исходим из плотности свободной энергии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>F=Fm+Fmp+Fp,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>включающей магнитную, магнитоэлектрическую энергии и энергию электрической поляризации. В приближении ml=0, m2+l2=1 каждое из слагаемых энергии имеет следующий вид [4, 7]:</w:t>
      </w:r>
    </w:p>
    <w:p w:rsidR="00942E2B" w:rsidRPr="002F0B7E" w:rsidRDefault="00C572A1" w:rsidP="00942E2B">
      <w:pPr>
        <w:spacing w:before="120"/>
        <w:ind w:firstLine="567"/>
        <w:jc w:val="both"/>
      </w:pPr>
      <w:r>
        <w:pict>
          <v:shape id="_x0000_i1026" type="#_x0000_t75" style="width:231pt;height:32.25pt">
            <v:imagedata r:id="rId6" o:title=""/>
          </v:shape>
        </w:pic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object w:dxaOrig="2060" w:dyaOrig="320">
          <v:shape id="_x0000_i1027" type="#_x0000_t75" style="width:113.25pt;height:17.25pt" o:ole="">
            <v:imagedata r:id="rId7" o:title=""/>
          </v:shape>
          <o:OLEObject Type="Embed" ProgID="Equation.3" ShapeID="_x0000_i1027" DrawAspect="Content" ObjectID="_1454074054" r:id="rId8"/>
        </w:object>
      </w:r>
      <w:r w:rsidRPr="002F0B7E">
        <w:t xml:space="preserve">, </w:t>
      </w:r>
      <w:r w:rsidRPr="002F0B7E">
        <w:object w:dxaOrig="3019" w:dyaOrig="540">
          <v:shape id="_x0000_i1028" type="#_x0000_t75" style="width:150.75pt;height:27pt" o:ole="">
            <v:imagedata r:id="rId9" o:title=""/>
          </v:shape>
          <o:OLEObject Type="Embed" ProgID="Equation.3" ShapeID="_x0000_i1028" DrawAspect="Content" ObjectID="_1454074055" r:id="rId10"/>
        </w:object>
      </w:r>
      <w:r w:rsidRPr="002F0B7E">
        <w:t>.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 xml:space="preserve">Здесь </w:t>
      </w:r>
      <w:r w:rsidRPr="002F0B7E">
        <w:object w:dxaOrig="999" w:dyaOrig="380">
          <v:shape id="_x0000_i1029" type="#_x0000_t75" style="width:50.25pt;height:18.75pt" o:ole="">
            <v:imagedata r:id="rId11" o:title=""/>
          </v:shape>
          <o:OLEObject Type="Embed" ProgID="Equation.3" ShapeID="_x0000_i1029" DrawAspect="Content" ObjectID="_1454074056" r:id="rId12"/>
        </w:object>
      </w:r>
      <w:r w:rsidRPr="002F0B7E">
        <w:t xml:space="preserve"> - константа однородного обмена, </w:t>
      </w:r>
      <w:r w:rsidRPr="002F0B7E">
        <w:sym w:font="Symbol" w:char="F063"/>
      </w:r>
      <w:r w:rsidRPr="002F0B7E">
        <w:t xml:space="preserve"> - поперечная антиферромагнитная восприимчивость, </w:t>
      </w:r>
      <w:r w:rsidRPr="002F0B7E">
        <w:object w:dxaOrig="720" w:dyaOrig="340">
          <v:shape id="_x0000_i1030" type="#_x0000_t75" style="width:36pt;height:17.25pt" o:ole="">
            <v:imagedata r:id="rId13" o:title=""/>
          </v:shape>
          <o:OLEObject Type="Embed" ProgID="Equation.3" ShapeID="_x0000_i1030" DrawAspect="Content" ObjectID="_1454074057" r:id="rId14"/>
        </w:object>
      </w:r>
      <w:r w:rsidRPr="002F0B7E">
        <w:t xml:space="preserve">, D~Ba0 - константы квадратичного и линейного неоднородного обмена, a0 - постоянная кристаллической решетки; a&gt;0, a1&lt;0 - константы магнитной анизотропии, </w:t>
      </w:r>
      <w:r w:rsidRPr="002F0B7E">
        <w:object w:dxaOrig="180" w:dyaOrig="300">
          <v:shape id="_x0000_i1031" type="#_x0000_t75" style="width:9pt;height:15pt" o:ole="">
            <v:imagedata r:id="rId15" o:title=""/>
          </v:shape>
          <o:OLEObject Type="Embed" ProgID="Equation.3" ShapeID="_x0000_i1031" DrawAspect="Content" ObjectID="_1454074058" r:id="rId16"/>
        </w:object>
      </w:r>
      <w:r w:rsidRPr="002F0B7E">
        <w:t xml:space="preserve"> – тензор магнитоэлектрического взаимодействия, </w:t>
      </w:r>
      <w:r w:rsidRPr="002F0B7E">
        <w:object w:dxaOrig="300" w:dyaOrig="300">
          <v:shape id="_x0000_i1032" type="#_x0000_t75" style="width:15pt;height:15pt" o:ole="">
            <v:imagedata r:id="rId17" o:title=""/>
          </v:shape>
          <o:OLEObject Type="Embed" ProgID="Equation.3" ShapeID="_x0000_i1032" DrawAspect="Content" ObjectID="_1454074059" r:id="rId18"/>
        </w:object>
      </w:r>
      <w:r w:rsidRPr="002F0B7E">
        <w:t xml:space="preserve">, кz – компоненты тензора электрической поляризуемости, p – вектор электрической поляризации. 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>Свободную энергию в полях H&lt;&lt;HE=B/4M0 после минимизации по p и m можно представить в виде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361"/>
        <w:gridCol w:w="531"/>
      </w:tblGrid>
      <w:tr w:rsidR="00942E2B" w:rsidRPr="002F0B7E" w:rsidTr="00946DB5">
        <w:tc>
          <w:tcPr>
            <w:tcW w:w="4361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object w:dxaOrig="4540" w:dyaOrig="820">
                <v:shape id="_x0000_i1033" type="#_x0000_t75" style="width:201.75pt;height:41.25pt" o:ole="">
                  <v:imagedata r:id="rId19" o:title=""/>
                </v:shape>
                <o:OLEObject Type="Embed" ProgID="Equation.3" ShapeID="_x0000_i1033" DrawAspect="Content" ObjectID="_1454074060" r:id="rId20"/>
              </w:object>
            </w:r>
            <w:r w:rsidRPr="002F0B7E">
              <w:object w:dxaOrig="2780" w:dyaOrig="540">
                <v:shape id="_x0000_i1034" type="#_x0000_t75" style="width:135pt;height:26.25pt" o:ole="">
                  <v:imagedata r:id="rId21" o:title=""/>
                </v:shape>
                <o:OLEObject Type="Embed" ProgID="Equation.3" ShapeID="_x0000_i1034" DrawAspect="Content" ObjectID="_1454074061" r:id="rId22"/>
              </w:object>
            </w:r>
          </w:p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object w:dxaOrig="2400" w:dyaOrig="540">
                <v:shape id="_x0000_i1035" type="#_x0000_t75" style="width:132pt;height:29.25pt" o:ole="">
                  <v:imagedata r:id="rId23" o:title=""/>
                </v:shape>
                <o:OLEObject Type="Embed" ProgID="Equation.3" ShapeID="_x0000_i1035" DrawAspect="Content" ObjectID="_1454074062" r:id="rId24"/>
              </w:object>
            </w:r>
            <w:r w:rsidRPr="002F0B7E">
              <w:t>,</w:t>
            </w:r>
          </w:p>
        </w:tc>
        <w:tc>
          <w:tcPr>
            <w:tcW w:w="531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</w:p>
          <w:p w:rsidR="00942E2B" w:rsidRPr="002F0B7E" w:rsidRDefault="00942E2B" w:rsidP="00946DB5">
            <w:pPr>
              <w:spacing w:before="120"/>
              <w:ind w:firstLine="567"/>
              <w:jc w:val="both"/>
            </w:pPr>
          </w:p>
          <w:p w:rsidR="00942E2B" w:rsidRPr="002F0B7E" w:rsidRDefault="00942E2B" w:rsidP="00946DB5">
            <w:pPr>
              <w:spacing w:before="120"/>
              <w:ind w:firstLine="567"/>
              <w:jc w:val="both"/>
            </w:pPr>
          </w:p>
          <w:p w:rsidR="00942E2B" w:rsidRPr="002F0B7E" w:rsidRDefault="00942E2B" w:rsidP="00946DB5">
            <w:pPr>
              <w:spacing w:before="120"/>
              <w:ind w:firstLine="567"/>
              <w:jc w:val="both"/>
            </w:pPr>
          </w:p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t>(1)</w:t>
            </w:r>
          </w:p>
        </w:tc>
      </w:tr>
    </w:tbl>
    <w:p w:rsidR="00942E2B" w:rsidRPr="002F0B7E" w:rsidRDefault="00942E2B" w:rsidP="00942E2B">
      <w:pPr>
        <w:spacing w:before="120"/>
        <w:ind w:firstLine="567"/>
        <w:jc w:val="both"/>
      </w:pP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>Нp=[(</w:t>
      </w:r>
      <w:r w:rsidRPr="002F0B7E">
        <w:sym w:font="Symbol" w:char="F067"/>
      </w:r>
      <w:r w:rsidRPr="002F0B7E">
        <w:t>1ly+</w:t>
      </w:r>
      <w:r w:rsidRPr="002F0B7E">
        <w:sym w:font="Symbol" w:char="F067"/>
      </w:r>
      <w:r w:rsidRPr="002F0B7E">
        <w:t>3lz)Ex+</w:t>
      </w:r>
      <w:r w:rsidRPr="002F0B7E">
        <w:sym w:font="Symbol" w:char="F067"/>
      </w:r>
      <w:r w:rsidRPr="002F0B7E">
        <w:t xml:space="preserve">1lxEy,  </w:t>
      </w:r>
      <w:r w:rsidRPr="002F0B7E">
        <w:sym w:font="Symbol" w:char="F067"/>
      </w:r>
      <w:r w:rsidRPr="002F0B7E">
        <w:t>1lxEx+(</w:t>
      </w:r>
      <w:r w:rsidRPr="002F0B7E">
        <w:sym w:font="Symbol" w:char="F067"/>
      </w:r>
      <w:r w:rsidRPr="002F0B7E">
        <w:t>3lz-</w:t>
      </w:r>
      <w:r w:rsidRPr="002F0B7E">
        <w:sym w:font="Symbol" w:char="F067"/>
      </w:r>
      <w:r w:rsidRPr="002F0B7E">
        <w:t xml:space="preserve">1ly)Ey, </w:t>
      </w:r>
      <w:r w:rsidRPr="002F0B7E">
        <w:sym w:font="Symbol" w:char="F067"/>
      </w:r>
      <w:r w:rsidRPr="002F0B7E">
        <w:t>2(Exlx+Eyly)-</w:t>
      </w:r>
      <w:r w:rsidRPr="002F0B7E">
        <w:sym w:font="Symbol" w:char="F067"/>
      </w:r>
      <w:r w:rsidRPr="002F0B7E">
        <w:t>0Ezlz].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 xml:space="preserve">Здесь для краткости принято </w:t>
      </w:r>
      <w:r w:rsidRPr="002F0B7E">
        <w:object w:dxaOrig="2659" w:dyaOrig="300">
          <v:shape id="_x0000_i1036" type="#_x0000_t75" style="width:132.75pt;height:15pt" o:ole="">
            <v:imagedata r:id="rId25" o:title=""/>
          </v:shape>
          <o:OLEObject Type="Embed" ProgID="Equation.3" ShapeID="_x0000_i1036" DrawAspect="Content" ObjectID="_1454074063" r:id="rId26"/>
        </w:objec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>Пусть</w:t>
      </w:r>
      <w:r w:rsidRPr="00942E2B">
        <w:t xml:space="preserve"> </w:t>
      </w:r>
      <w:r w:rsidRPr="002F0B7E">
        <w:rPr>
          <w:lang w:val="en-US"/>
        </w:rPr>
        <w:t>H</w:t>
      </w:r>
      <w:r w:rsidRPr="00942E2B">
        <w:t xml:space="preserve"> || </w:t>
      </w:r>
      <w:r w:rsidRPr="002F0B7E">
        <w:rPr>
          <w:lang w:val="en-US"/>
        </w:rPr>
        <w:t>z</w:t>
      </w:r>
      <w:r w:rsidRPr="00942E2B">
        <w:t xml:space="preserve">, </w:t>
      </w:r>
      <w:r w:rsidRPr="002F0B7E">
        <w:rPr>
          <w:lang w:val="en-US"/>
        </w:rPr>
        <w:t>E</w:t>
      </w:r>
      <w:r w:rsidRPr="00942E2B">
        <w:t xml:space="preserve"> || </w:t>
      </w:r>
      <w:r w:rsidRPr="002F0B7E">
        <w:rPr>
          <w:lang w:val="en-US"/>
        </w:rPr>
        <w:t>x</w:t>
      </w:r>
      <w:r w:rsidRPr="00942E2B">
        <w:t xml:space="preserve">, </w:t>
      </w:r>
      <w:r w:rsidRPr="002F0B7E">
        <w:rPr>
          <w:lang w:val="en-US"/>
        </w:rPr>
        <w:t>l</w:t>
      </w:r>
      <w:r w:rsidRPr="00942E2B">
        <w:t>=(</w:t>
      </w:r>
      <w:r w:rsidRPr="002F0B7E">
        <w:rPr>
          <w:lang w:val="en-US"/>
        </w:rPr>
        <w:t>sin</w:t>
      </w:r>
      <w:r w:rsidRPr="002F0B7E">
        <w:sym w:font="Symbol" w:char="F071"/>
      </w:r>
      <w:r w:rsidRPr="002F0B7E">
        <w:rPr>
          <w:lang w:val="en-US"/>
        </w:rPr>
        <w:t>cos</w:t>
      </w:r>
      <w:r w:rsidRPr="002F0B7E">
        <w:sym w:font="Symbol" w:char="F06A"/>
      </w:r>
      <w:r w:rsidRPr="00942E2B">
        <w:t xml:space="preserve">, </w:t>
      </w:r>
      <w:r w:rsidRPr="002F0B7E">
        <w:rPr>
          <w:lang w:val="en-US"/>
        </w:rPr>
        <w:t>sin</w:t>
      </w:r>
      <w:r w:rsidRPr="002F0B7E">
        <w:sym w:font="Symbol" w:char="F071"/>
      </w:r>
      <w:r w:rsidRPr="002F0B7E">
        <w:sym w:font="Symbol" w:char="F06A"/>
      </w:r>
      <w:r w:rsidRPr="00942E2B">
        <w:t xml:space="preserve">, </w:t>
      </w:r>
      <w:r w:rsidRPr="002F0B7E">
        <w:rPr>
          <w:lang w:val="en-US"/>
        </w:rPr>
        <w:t>cos</w:t>
      </w:r>
      <w:r w:rsidRPr="002F0B7E">
        <w:sym w:font="Symbol" w:char="F071"/>
      </w:r>
      <w:r w:rsidRPr="00942E2B">
        <w:t xml:space="preserve">). </w:t>
      </w:r>
      <w:r w:rsidRPr="002F0B7E">
        <w:t>Рассмотрим случай одномерной неоднородности вдоль оси z. Тогда плотность энергии (1) примет вид:</w:t>
      </w:r>
    </w:p>
    <w:tbl>
      <w:tblPr>
        <w:tblW w:w="5000" w:type="pct"/>
        <w:tblInd w:w="-108" w:type="dxa"/>
        <w:tblLook w:val="0000" w:firstRow="0" w:lastRow="0" w:firstColumn="0" w:lastColumn="0" w:noHBand="0" w:noVBand="0"/>
      </w:tblPr>
      <w:tblGrid>
        <w:gridCol w:w="8784"/>
        <w:gridCol w:w="1070"/>
      </w:tblGrid>
      <w:tr w:rsidR="00942E2B" w:rsidRPr="002F0B7E" w:rsidTr="00946DB5">
        <w:tc>
          <w:tcPr>
            <w:tcW w:w="4457" w:type="pct"/>
          </w:tcPr>
          <w:p w:rsidR="00942E2B" w:rsidRPr="002F0B7E" w:rsidRDefault="00942E2B" w:rsidP="00946DB5">
            <w:pPr>
              <w:rPr>
                <w:lang w:val="en-US"/>
              </w:rPr>
            </w:pPr>
            <w:r w:rsidRPr="002F0B7E">
              <w:rPr>
                <w:lang w:val="en-US"/>
              </w:rPr>
              <w:object w:dxaOrig="3560" w:dyaOrig="440">
                <v:shape id="_x0000_i1037" type="#_x0000_t75" style="width:177.75pt;height:21.75pt" o:ole="">
                  <v:imagedata r:id="rId27" o:title=""/>
                </v:shape>
                <o:OLEObject Type="Embed" ProgID="Equation.3" ShapeID="_x0000_i1037" DrawAspect="Content" ObjectID="_1454074064" r:id="rId28"/>
              </w:object>
            </w:r>
            <w:r w:rsidRPr="002F0B7E">
              <w:rPr>
                <w:lang w:val="en-US"/>
              </w:rPr>
              <w:t xml:space="preserve"> </w:t>
            </w:r>
            <w:r w:rsidRPr="002F0B7E">
              <w:rPr>
                <w:lang w:val="en-US"/>
              </w:rPr>
              <w:object w:dxaOrig="4000" w:dyaOrig="440">
                <v:shape id="_x0000_i1038" type="#_x0000_t75" style="width:194.25pt;height:21.75pt" o:ole="">
                  <v:imagedata r:id="rId29" o:title=""/>
                </v:shape>
                <o:OLEObject Type="Embed" ProgID="Equation.3" ShapeID="_x0000_i1038" DrawAspect="Content" ObjectID="_1454074065" r:id="rId30"/>
              </w:object>
            </w:r>
            <w:r w:rsidRPr="002F0B7E">
              <w:rPr>
                <w:lang w:val="en-US"/>
              </w:rPr>
              <w:t xml:space="preserve"> +(D</w:t>
            </w:r>
            <w:r w:rsidRPr="002F0B7E">
              <w:sym w:font="Symbol" w:char="F063"/>
            </w:r>
            <w:r w:rsidRPr="002F0B7E">
              <w:rPr>
                <w:lang w:val="en-US"/>
              </w:rPr>
              <w:t>E/2M0[(2</w:t>
            </w:r>
            <w:r w:rsidRPr="002F0B7E">
              <w:sym w:font="Symbol" w:char="F067"/>
            </w:r>
            <w:r w:rsidRPr="002F0B7E">
              <w:rPr>
                <w:lang w:val="en-US"/>
              </w:rPr>
              <w:t>1sin</w:t>
            </w:r>
            <w:r w:rsidRPr="002F0B7E">
              <w:sym w:font="Symbol" w:char="F071"/>
            </w:r>
            <w:r w:rsidRPr="002F0B7E">
              <w:rPr>
                <w:lang w:val="en-US"/>
              </w:rPr>
              <w:t>cos</w:t>
            </w:r>
            <w:r w:rsidRPr="002F0B7E">
              <w:sym w:font="Symbol" w:char="F071"/>
            </w:r>
            <w:r w:rsidRPr="002F0B7E">
              <w:rPr>
                <w:lang w:val="en-US"/>
              </w:rPr>
              <w:t>sin</w:t>
            </w:r>
            <w:r w:rsidRPr="002F0B7E">
              <w:sym w:font="Symbol" w:char="F06A"/>
            </w:r>
            <w:r w:rsidRPr="002F0B7E">
              <w:rPr>
                <w:lang w:val="en-US"/>
              </w:rPr>
              <w:t>+</w:t>
            </w:r>
            <w:r w:rsidRPr="002F0B7E">
              <w:sym w:font="Symbol" w:char="F067"/>
            </w:r>
            <w:r w:rsidRPr="002F0B7E">
              <w:rPr>
                <w:lang w:val="en-US"/>
              </w:rPr>
              <w:t>3cos2</w:t>
            </w:r>
            <w:r w:rsidRPr="002F0B7E">
              <w:sym w:font="Symbol" w:char="F071"/>
            </w:r>
            <w:r w:rsidRPr="002F0B7E">
              <w:rPr>
                <w:lang w:val="en-US"/>
              </w:rPr>
              <w:t>- -</w:t>
            </w:r>
            <w:r w:rsidRPr="002F0B7E">
              <w:sym w:font="Symbol" w:char="F067"/>
            </w:r>
            <w:r w:rsidRPr="002F0B7E">
              <w:rPr>
                <w:lang w:val="en-US"/>
              </w:rPr>
              <w:t>2sin2</w:t>
            </w:r>
            <w:r w:rsidRPr="002F0B7E">
              <w:sym w:font="Symbol" w:char="F071"/>
            </w:r>
            <w:r w:rsidRPr="002F0B7E">
              <w:rPr>
                <w:lang w:val="en-US"/>
              </w:rPr>
              <w:t>)cos</w:t>
            </w:r>
            <w:r w:rsidRPr="002F0B7E">
              <w:sym w:font="Symbol" w:char="F06A"/>
            </w:r>
            <w:r w:rsidRPr="002F0B7E">
              <w:rPr>
                <w:lang w:val="en-US"/>
              </w:rPr>
              <w:t>(d</w:t>
            </w:r>
            <w:r w:rsidRPr="002F0B7E">
              <w:sym w:font="Symbol" w:char="F071"/>
            </w:r>
            <w:r w:rsidRPr="002F0B7E">
              <w:rPr>
                <w:lang w:val="en-US"/>
              </w:rPr>
              <w:t>/dz)+ +(</w:t>
            </w:r>
            <w:r w:rsidRPr="002F0B7E">
              <w:sym w:font="Symbol" w:char="F067"/>
            </w:r>
            <w:r w:rsidRPr="002F0B7E">
              <w:rPr>
                <w:lang w:val="en-US"/>
              </w:rPr>
              <w:t>1sin</w:t>
            </w:r>
            <w:r w:rsidRPr="002F0B7E">
              <w:sym w:font="Symbol" w:char="F071"/>
            </w:r>
            <w:r w:rsidRPr="002F0B7E">
              <w:rPr>
                <w:lang w:val="en-US"/>
              </w:rPr>
              <w:t>cos2</w:t>
            </w:r>
            <w:r w:rsidRPr="002F0B7E">
              <w:sym w:font="Symbol" w:char="F06A"/>
            </w:r>
            <w:r w:rsidRPr="002F0B7E">
              <w:rPr>
                <w:lang w:val="en-US"/>
              </w:rPr>
              <w:t>-</w:t>
            </w:r>
            <w:r w:rsidRPr="002F0B7E">
              <w:sym w:font="Symbol" w:char="F067"/>
            </w:r>
            <w:r w:rsidRPr="002F0B7E">
              <w:rPr>
                <w:lang w:val="en-US"/>
              </w:rPr>
              <w:t>3cos</w:t>
            </w:r>
            <w:r w:rsidRPr="002F0B7E">
              <w:sym w:font="Symbol" w:char="F071"/>
            </w:r>
            <w:r w:rsidRPr="002F0B7E">
              <w:rPr>
                <w:lang w:val="en-US"/>
              </w:rPr>
              <w:t>sin</w:t>
            </w:r>
            <w:r w:rsidRPr="002F0B7E">
              <w:sym w:font="Symbol" w:char="F06A"/>
            </w:r>
            <w:r w:rsidRPr="002F0B7E">
              <w:rPr>
                <w:lang w:val="en-US"/>
              </w:rPr>
              <w:t>)sin</w:t>
            </w:r>
            <w:r w:rsidRPr="002F0B7E">
              <w:sym w:font="Symbol" w:char="F071"/>
            </w:r>
            <w:r w:rsidRPr="002F0B7E">
              <w:rPr>
                <w:lang w:val="en-US"/>
              </w:rPr>
              <w:t>(d</w:t>
            </w:r>
            <w:r w:rsidRPr="002F0B7E">
              <w:sym w:font="Symbol" w:char="F06A"/>
            </w:r>
            <w:r w:rsidRPr="002F0B7E">
              <w:rPr>
                <w:lang w:val="en-US"/>
              </w:rPr>
              <w:t>/dz)]+ +</w:t>
            </w:r>
            <w:r w:rsidRPr="002F0B7E">
              <w:sym w:font="Symbol" w:char="F063"/>
            </w:r>
            <w:r w:rsidRPr="002F0B7E">
              <w:rPr>
                <w:lang w:val="en-US"/>
              </w:rPr>
              <w:t>HE[</w:t>
            </w:r>
            <w:r w:rsidRPr="002F0B7E">
              <w:sym w:font="Symbol" w:char="F067"/>
            </w:r>
            <w:r w:rsidRPr="002F0B7E">
              <w:rPr>
                <w:lang w:val="en-US"/>
              </w:rPr>
              <w:t>1sin</w:t>
            </w:r>
            <w:r w:rsidRPr="002F0B7E">
              <w:sym w:font="Symbol" w:char="F071"/>
            </w:r>
            <w:r w:rsidRPr="002F0B7E">
              <w:rPr>
                <w:lang w:val="en-US"/>
              </w:rPr>
              <w:t>cos</w:t>
            </w:r>
            <w:r w:rsidRPr="002F0B7E">
              <w:sym w:font="Symbol" w:char="F071"/>
            </w:r>
            <w:r w:rsidRPr="002F0B7E">
              <w:rPr>
                <w:lang w:val="en-US"/>
              </w:rPr>
              <w:t>cos2</w:t>
            </w:r>
            <w:r w:rsidRPr="002F0B7E">
              <w:sym w:font="Symbol" w:char="F06A"/>
            </w:r>
            <w:r w:rsidRPr="002F0B7E">
              <w:rPr>
                <w:lang w:val="en-US"/>
              </w:rPr>
              <w:t>+(</w:t>
            </w:r>
            <w:r w:rsidRPr="002F0B7E">
              <w:sym w:font="Symbol" w:char="F067"/>
            </w:r>
            <w:r w:rsidRPr="002F0B7E">
              <w:rPr>
                <w:lang w:val="en-US"/>
              </w:rPr>
              <w:t>2+</w:t>
            </w:r>
            <w:r w:rsidRPr="002F0B7E">
              <w:sym w:font="Symbol" w:char="F067"/>
            </w:r>
            <w:r w:rsidRPr="002F0B7E">
              <w:rPr>
                <w:lang w:val="en-US"/>
              </w:rPr>
              <w:t>3)cos2</w:t>
            </w:r>
            <w:r w:rsidRPr="002F0B7E">
              <w:sym w:font="Symbol" w:char="F071"/>
            </w:r>
            <w:r w:rsidRPr="002F0B7E">
              <w:rPr>
                <w:lang w:val="en-US"/>
              </w:rPr>
              <w:t>cos</w:t>
            </w:r>
            <w:r w:rsidRPr="002F0B7E">
              <w:sym w:font="Symbol" w:char="F06A"/>
            </w:r>
            <w:r w:rsidRPr="002F0B7E">
              <w:rPr>
                <w:lang w:val="en-US"/>
              </w:rPr>
              <w:t>+ +</w:t>
            </w:r>
            <w:r w:rsidRPr="002F0B7E">
              <w:sym w:font="Symbol" w:char="F067"/>
            </w:r>
            <w:r w:rsidRPr="002F0B7E">
              <w:rPr>
                <w:lang w:val="en-US"/>
              </w:rPr>
              <w:t>2cos</w:t>
            </w:r>
            <w:r w:rsidRPr="002F0B7E">
              <w:sym w:font="Symbol" w:char="F06A"/>
            </w:r>
            <w:r w:rsidRPr="002F0B7E">
              <w:rPr>
                <w:lang w:val="en-US"/>
              </w:rPr>
              <w:t>]sin</w:t>
            </w:r>
            <w:r w:rsidRPr="002F0B7E">
              <w:sym w:font="Symbol" w:char="F071"/>
            </w:r>
            <w:r w:rsidRPr="002F0B7E">
              <w:rPr>
                <w:lang w:val="en-US"/>
              </w:rPr>
              <w:t>,</w:t>
            </w:r>
          </w:p>
        </w:tc>
        <w:tc>
          <w:tcPr>
            <w:tcW w:w="543" w:type="pct"/>
          </w:tcPr>
          <w:p w:rsidR="00942E2B" w:rsidRPr="002F0B7E" w:rsidRDefault="00942E2B" w:rsidP="00946DB5">
            <w:pPr>
              <w:rPr>
                <w:lang w:val="en-US"/>
              </w:rPr>
            </w:pPr>
          </w:p>
          <w:p w:rsidR="00942E2B" w:rsidRPr="002F0B7E" w:rsidRDefault="00942E2B" w:rsidP="00946DB5">
            <w:pPr>
              <w:rPr>
                <w:lang w:val="en-US"/>
              </w:rPr>
            </w:pPr>
          </w:p>
          <w:p w:rsidR="00942E2B" w:rsidRPr="002F0B7E" w:rsidRDefault="00942E2B" w:rsidP="00946DB5">
            <w:pPr>
              <w:rPr>
                <w:lang w:val="en-US"/>
              </w:rPr>
            </w:pPr>
          </w:p>
          <w:p w:rsidR="00942E2B" w:rsidRPr="002F0B7E" w:rsidRDefault="00942E2B" w:rsidP="00946DB5">
            <w:r w:rsidRPr="002F0B7E">
              <w:t>(2)</w:t>
            </w:r>
          </w:p>
        </w:tc>
      </w:tr>
    </w:tbl>
    <w:p w:rsidR="00942E2B" w:rsidRPr="00942E2B" w:rsidRDefault="00942E2B" w:rsidP="00942E2B">
      <w:pPr>
        <w:spacing w:before="120"/>
        <w:ind w:firstLine="567"/>
        <w:jc w:val="both"/>
        <w:rPr>
          <w:lang w:val="en-US"/>
        </w:rPr>
      </w:pPr>
      <w:r w:rsidRPr="002F0B7E">
        <w:t>где</w:t>
      </w:r>
      <w:r w:rsidRPr="00942E2B">
        <w:rPr>
          <w:lang w:val="en-US"/>
        </w:rPr>
        <w:t xml:space="preserve"> A*=A(1-</w:t>
      </w:r>
      <w:r w:rsidRPr="002F0B7E">
        <w:sym w:font="Symbol" w:char="F06D"/>
      </w:r>
      <w:r w:rsidRPr="00942E2B">
        <w:rPr>
          <w:lang w:val="en-US"/>
        </w:rPr>
        <w:t xml:space="preserve">2), </w:t>
      </w:r>
      <w:r w:rsidRPr="002F0B7E">
        <w:sym w:font="Symbol" w:char="F06D"/>
      </w:r>
      <w:r w:rsidRPr="00942E2B">
        <w:rPr>
          <w:lang w:val="en-US"/>
        </w:rPr>
        <w:t>2=D2/AB, a*=a-</w:t>
      </w:r>
      <w:r w:rsidRPr="002F0B7E">
        <w:sym w:font="Symbol" w:char="F063"/>
      </w:r>
      <w:r w:rsidRPr="00942E2B">
        <w:rPr>
          <w:lang w:val="en-US"/>
        </w:rPr>
        <w:t xml:space="preserve">H2. 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 xml:space="preserve">Для простоты рассмотрим случай A*&gt;0 и a1=-a*, соответствующий полю спин-флоп перехода. В отсутствие полей H и E решение уравнения Эйлера для угла </w:t>
      </w:r>
      <w:r w:rsidRPr="002F0B7E">
        <w:sym w:font="Symbol" w:char="F06A"/>
      </w:r>
      <w:r w:rsidRPr="002F0B7E">
        <w:t xml:space="preserve"> дает значение </w:t>
      </w:r>
      <w:r w:rsidRPr="002F0B7E">
        <w:sym w:font="Symbol" w:char="F06A"/>
      </w:r>
      <w:r w:rsidRPr="002F0B7E">
        <w:t xml:space="preserve">=const. Сделав замену </w:t>
      </w:r>
      <w:r w:rsidRPr="002F0B7E">
        <w:sym w:font="Symbol" w:char="F071"/>
      </w:r>
      <w:r w:rsidRPr="002F0B7E">
        <w:t>=</w:t>
      </w:r>
      <w:r w:rsidRPr="002F0B7E">
        <w:sym w:font="Symbol" w:char="F070"/>
      </w:r>
      <w:r w:rsidRPr="002F0B7E">
        <w:t>/4-</w:t>
      </w:r>
      <w:r w:rsidRPr="002F0B7E">
        <w:sym w:font="Symbol" w:char="F06E"/>
      </w:r>
      <w:r w:rsidRPr="002F0B7E">
        <w:t>/2, получим:</w:t>
      </w:r>
    </w:p>
    <w:tbl>
      <w:tblPr>
        <w:tblW w:w="5000" w:type="pct"/>
        <w:tblInd w:w="-108" w:type="dxa"/>
        <w:tblLook w:val="0000" w:firstRow="0" w:lastRow="0" w:firstColumn="0" w:lastColumn="0" w:noHBand="0" w:noVBand="0"/>
      </w:tblPr>
      <w:tblGrid>
        <w:gridCol w:w="8498"/>
        <w:gridCol w:w="1356"/>
      </w:tblGrid>
      <w:tr w:rsidR="00942E2B" w:rsidRPr="002F0B7E" w:rsidTr="00946DB5">
        <w:tc>
          <w:tcPr>
            <w:tcW w:w="4312" w:type="pct"/>
          </w:tcPr>
          <w:p w:rsidR="00942E2B" w:rsidRPr="002F0B7E" w:rsidRDefault="00942E2B" w:rsidP="00946DB5">
            <w:r w:rsidRPr="002F0B7E">
              <w:object w:dxaOrig="2640" w:dyaOrig="380">
                <v:shape id="_x0000_i1039" type="#_x0000_t75" style="width:132pt;height:18.75pt" o:ole="">
                  <v:imagedata r:id="rId31" o:title=""/>
                </v:shape>
                <o:OLEObject Type="Embed" ProgID="Equation.3" ShapeID="_x0000_i1039" DrawAspect="Content" ObjectID="_1454074066" r:id="rId32"/>
              </w:object>
            </w:r>
          </w:p>
        </w:tc>
        <w:tc>
          <w:tcPr>
            <w:tcW w:w="688" w:type="pct"/>
          </w:tcPr>
          <w:p w:rsidR="00942E2B" w:rsidRPr="002F0B7E" w:rsidRDefault="00942E2B" w:rsidP="00946DB5">
            <w:r w:rsidRPr="002F0B7E">
              <w:t>(3)</w:t>
            </w:r>
          </w:p>
        </w:tc>
      </w:tr>
    </w:tbl>
    <w:p w:rsidR="00942E2B" w:rsidRPr="002F0B7E" w:rsidRDefault="00942E2B" w:rsidP="00942E2B">
      <w:pPr>
        <w:spacing w:before="120"/>
        <w:ind w:firstLine="567"/>
        <w:jc w:val="both"/>
      </w:pPr>
      <w:r w:rsidRPr="002F0B7E">
        <w:t>Уравнение Эйлера для функционала (3) имеет первый интеграл</w:t>
      </w:r>
    </w:p>
    <w:tbl>
      <w:tblPr>
        <w:tblW w:w="5000" w:type="pct"/>
        <w:tblInd w:w="-108" w:type="dxa"/>
        <w:tblLook w:val="0000" w:firstRow="0" w:lastRow="0" w:firstColumn="0" w:lastColumn="0" w:noHBand="0" w:noVBand="0"/>
      </w:tblPr>
      <w:tblGrid>
        <w:gridCol w:w="8498"/>
        <w:gridCol w:w="1356"/>
      </w:tblGrid>
      <w:tr w:rsidR="00942E2B" w:rsidRPr="002F0B7E" w:rsidTr="00946DB5">
        <w:tc>
          <w:tcPr>
            <w:tcW w:w="4312" w:type="pct"/>
          </w:tcPr>
          <w:p w:rsidR="00942E2B" w:rsidRPr="00942E2B" w:rsidRDefault="00942E2B" w:rsidP="00946DB5">
            <w:pPr>
              <w:rPr>
                <w:lang w:val="en-US"/>
              </w:rPr>
            </w:pPr>
            <w:r w:rsidRPr="00942E2B">
              <w:rPr>
                <w:lang w:val="en-US"/>
              </w:rPr>
              <w:t>A*(dv/dz)2+|a1|sin2v=|a1|/k2.</w:t>
            </w:r>
          </w:p>
        </w:tc>
        <w:tc>
          <w:tcPr>
            <w:tcW w:w="688" w:type="pct"/>
          </w:tcPr>
          <w:p w:rsidR="00942E2B" w:rsidRPr="002F0B7E" w:rsidRDefault="00942E2B" w:rsidP="00946DB5">
            <w:r w:rsidRPr="002F0B7E">
              <w:t>(4)</w:t>
            </w:r>
          </w:p>
        </w:tc>
      </w:tr>
    </w:tbl>
    <w:p w:rsidR="00942E2B" w:rsidRPr="002F0B7E" w:rsidRDefault="00942E2B" w:rsidP="00942E2B">
      <w:pPr>
        <w:spacing w:before="120"/>
        <w:ind w:firstLine="567"/>
        <w:jc w:val="both"/>
      </w:pPr>
      <w:r w:rsidRPr="002F0B7E">
        <w:t>Решение уравнения (4) имеет вид: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19"/>
        <w:gridCol w:w="673"/>
      </w:tblGrid>
      <w:tr w:rsidR="00942E2B" w:rsidRPr="002F0B7E" w:rsidTr="00946DB5">
        <w:tc>
          <w:tcPr>
            <w:tcW w:w="4219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t>cos2</w:t>
            </w:r>
            <w:r w:rsidRPr="002F0B7E">
              <w:sym w:font="Symbol" w:char="F071"/>
            </w:r>
            <w:r w:rsidRPr="002F0B7E">
              <w:t>=sn(kz/</w:t>
            </w:r>
            <w:r w:rsidRPr="002F0B7E">
              <w:sym w:font="Symbol" w:char="F064"/>
            </w:r>
            <w:r w:rsidRPr="002F0B7E">
              <w:t>, k),</w:t>
            </w:r>
          </w:p>
        </w:tc>
        <w:tc>
          <w:tcPr>
            <w:tcW w:w="673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t>(5)</w:t>
            </w:r>
          </w:p>
        </w:tc>
      </w:tr>
    </w:tbl>
    <w:p w:rsidR="00942E2B" w:rsidRPr="002F0B7E" w:rsidRDefault="00942E2B" w:rsidP="00942E2B">
      <w:pPr>
        <w:spacing w:before="120"/>
        <w:ind w:firstLine="567"/>
        <w:jc w:val="both"/>
      </w:pPr>
      <w:r w:rsidRPr="002F0B7E">
        <w:t>где sn(u,</w:t>
      </w:r>
      <w:r>
        <w:t xml:space="preserve"> </w:t>
      </w:r>
      <w:r w:rsidRPr="002F0B7E">
        <w:t xml:space="preserve">k) - эллиптическая функция Якоби, </w:t>
      </w:r>
      <w:r w:rsidRPr="002F0B7E">
        <w:object w:dxaOrig="1100" w:dyaOrig="440">
          <v:shape id="_x0000_i1040" type="#_x0000_t75" style="width:54.75pt;height:21.75pt" o:ole="">
            <v:imagedata r:id="rId33" o:title=""/>
          </v:shape>
          <o:OLEObject Type="Embed" ProgID="Equation.3" ShapeID="_x0000_i1040" DrawAspect="Content" ObjectID="_1454074067" r:id="rId34"/>
        </w:object>
      </w:r>
      <w:r w:rsidRPr="002F0B7E">
        <w:t xml:space="preserve"> - характерный размер магнитной неоднородности. Выражение (5) описывает геликоид вектора l , иначе - модуляцию чисто антиферромагнитного состояния </w:t>
      </w:r>
      <w:r w:rsidRPr="002F0B7E">
        <w:sym w:font="Symbol" w:char="F071"/>
      </w:r>
      <w:r w:rsidRPr="002F0B7E">
        <w:t>=0,</w:t>
      </w:r>
      <w:r>
        <w:t xml:space="preserve"> </w:t>
      </w:r>
      <w:r w:rsidRPr="002F0B7E">
        <w:sym w:font="Symbol" w:char="F070"/>
      </w:r>
      <w:r w:rsidRPr="002F0B7E">
        <w:t xml:space="preserve"> или </w:t>
      </w:r>
      <w:r w:rsidRPr="002F0B7E">
        <w:sym w:font="Symbol" w:char="F071"/>
      </w:r>
      <w:r w:rsidRPr="002F0B7E">
        <w:t>=</w:t>
      </w:r>
      <w:r w:rsidRPr="002F0B7E">
        <w:sym w:font="Symbol" w:char="F070"/>
      </w:r>
      <w:r w:rsidRPr="002F0B7E">
        <w:t>/2, 3</w:t>
      </w:r>
      <w:r w:rsidRPr="002F0B7E">
        <w:sym w:font="Symbol" w:char="F070"/>
      </w:r>
      <w:r w:rsidRPr="002F0B7E">
        <w:t>/2 (спины вдоль 3z или 2х-осей), поэтому называется еще модулированной магнитной структурой (ММС).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>Из (2) с учетом (4), (5) получим прирост энергии, обусловленный ММС: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503"/>
        <w:gridCol w:w="567"/>
      </w:tblGrid>
      <w:tr w:rsidR="00942E2B" w:rsidRPr="002F0B7E" w:rsidTr="00946DB5">
        <w:tc>
          <w:tcPr>
            <w:tcW w:w="4503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object w:dxaOrig="3340" w:dyaOrig="660">
                <v:shape id="_x0000_i1041" type="#_x0000_t75" style="width:167.25pt;height:33pt" o:ole="">
                  <v:imagedata r:id="rId35" o:title=""/>
                </v:shape>
                <o:OLEObject Type="Embed" ProgID="Equation.3" ShapeID="_x0000_i1041" DrawAspect="Content" ObjectID="_1454074068" r:id="rId36"/>
              </w:object>
            </w:r>
          </w:p>
        </w:tc>
        <w:tc>
          <w:tcPr>
            <w:tcW w:w="567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</w:p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t>(6)</w:t>
            </w:r>
          </w:p>
        </w:tc>
      </w:tr>
      <w:tr w:rsidR="00942E2B" w:rsidRPr="002F0B7E" w:rsidTr="00946DB5">
        <w:tc>
          <w:tcPr>
            <w:tcW w:w="4503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object w:dxaOrig="5300" w:dyaOrig="440">
                <v:shape id="_x0000_i1042" type="#_x0000_t75" style="width:207pt;height:19.5pt" o:ole="">
                  <v:imagedata r:id="rId37" o:title=""/>
                </v:shape>
                <o:OLEObject Type="Embed" ProgID="Equation.3" ShapeID="_x0000_i1042" DrawAspect="Content" ObjectID="_1454074069" r:id="rId38"/>
              </w:object>
            </w:r>
          </w:p>
        </w:tc>
        <w:tc>
          <w:tcPr>
            <w:tcW w:w="567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t>(7)</w:t>
            </w:r>
          </w:p>
        </w:tc>
      </w:tr>
    </w:tbl>
    <w:p w:rsidR="00942E2B" w:rsidRPr="002F0B7E" w:rsidRDefault="00942E2B" w:rsidP="00942E2B">
      <w:pPr>
        <w:spacing w:before="120"/>
        <w:ind w:firstLine="567"/>
        <w:jc w:val="both"/>
      </w:pPr>
      <w:r w:rsidRPr="002F0B7E">
        <w:t xml:space="preserve">где K(k) и E(k) – полный эллиптический интеграл I и II рода соответственно; </w:t>
      </w:r>
      <w:r w:rsidRPr="002F0B7E">
        <w:sym w:font="Symbol" w:char="F061"/>
      </w:r>
      <w:r w:rsidRPr="002F0B7E">
        <w:t>=</w:t>
      </w:r>
      <w:r w:rsidRPr="002F0B7E">
        <w:sym w:font="Symbol" w:char="F063"/>
      </w:r>
      <w:r w:rsidRPr="002F0B7E">
        <w:sym w:font="Symbol" w:char="F067"/>
      </w:r>
      <w:r w:rsidRPr="002F0B7E">
        <w:t xml:space="preserve"> – магнитоэлектрическая восприимчивость. Из (6) и (7) видно, что плоскость геликоида фиксируется линейным неоднородным обменом. Положим для определенности k0&gt;0. Тогда минимуму (6) соответствует значение </w:t>
      </w:r>
      <w:r w:rsidRPr="002F0B7E">
        <w:sym w:font="Symbol" w:char="F06A"/>
      </w:r>
      <w:r w:rsidRPr="002F0B7E">
        <w:t>=0 .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>Модуль эллиптического интеграла k, а вместе с ним и период структуры  L=4Kk</w:t>
      </w:r>
      <w:r w:rsidRPr="002F0B7E">
        <w:sym w:font="Symbol" w:char="F064"/>
      </w:r>
      <w:r w:rsidRPr="002F0B7E">
        <w:t xml:space="preserve"> можно определить из условия минимума энергии (6) по k. Рассмотрим два случая, соответствующие предельным значениям k</w:t>
      </w:r>
      <w:r w:rsidRPr="002F0B7E">
        <w:sym w:font="Symbol" w:char="F0AE"/>
      </w:r>
      <w:r w:rsidRPr="002F0B7E">
        <w:t>0 и k</w:t>
      </w:r>
      <w:r w:rsidRPr="002F0B7E">
        <w:sym w:font="Symbol" w:char="F0AE"/>
      </w:r>
      <w:r w:rsidRPr="002F0B7E">
        <w:t>1.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>Используя разложения E(k) и K(k) при малых k, имеем: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object w:dxaOrig="4280" w:dyaOrig="740">
          <v:shape id="_x0000_i1043" type="#_x0000_t75" style="width:213.75pt;height:36.75pt" o:ole="">
            <v:imagedata r:id="rId39" o:title=""/>
          </v:shape>
          <o:OLEObject Type="Embed" ProgID="Equation.3" ShapeID="_x0000_i1043" DrawAspect="Content" ObjectID="_1454074070" r:id="rId40"/>
        </w:objec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 xml:space="preserve">Условие dF/dk=0 удовлетворяется значением </w:t>
      </w:r>
      <w:r w:rsidRPr="002F0B7E">
        <w:object w:dxaOrig="1400" w:dyaOrig="340">
          <v:shape id="_x0000_i1044" type="#_x0000_t75" style="width:69.75pt;height:17.25pt" o:ole="">
            <v:imagedata r:id="rId41" o:title=""/>
          </v:shape>
          <o:OLEObject Type="Embed" ProgID="Equation.3" ShapeID="_x0000_i1044" DrawAspect="Content" ObjectID="_1454074071" r:id="rId42"/>
        </w:object>
      </w:r>
      <w:r w:rsidRPr="002F0B7E">
        <w:t>. Прирост энергии равен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361"/>
        <w:gridCol w:w="531"/>
      </w:tblGrid>
      <w:tr w:rsidR="00942E2B" w:rsidRPr="002F0B7E" w:rsidTr="00946DB5">
        <w:tc>
          <w:tcPr>
            <w:tcW w:w="4361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object w:dxaOrig="2560" w:dyaOrig="700">
                <v:shape id="_x0000_i1045" type="#_x0000_t75" style="width:128.25pt;height:35.25pt" o:ole="">
                  <v:imagedata r:id="rId43" o:title=""/>
                </v:shape>
                <o:OLEObject Type="Embed" ProgID="Equation.3" ShapeID="_x0000_i1045" DrawAspect="Content" ObjectID="_1454074072" r:id="rId44"/>
              </w:object>
            </w:r>
          </w:p>
        </w:tc>
        <w:tc>
          <w:tcPr>
            <w:tcW w:w="531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</w:p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t>(8)</w:t>
            </w:r>
          </w:p>
        </w:tc>
      </w:tr>
    </w:tbl>
    <w:p w:rsidR="00942E2B" w:rsidRPr="002F0B7E" w:rsidRDefault="00942E2B" w:rsidP="00942E2B">
      <w:pPr>
        <w:spacing w:before="120"/>
        <w:ind w:firstLine="567"/>
        <w:jc w:val="both"/>
      </w:pPr>
      <w:r w:rsidRPr="002F0B7E">
        <w:t xml:space="preserve">а период структуры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361"/>
        <w:gridCol w:w="531"/>
      </w:tblGrid>
      <w:tr w:rsidR="00942E2B" w:rsidRPr="002F0B7E" w:rsidTr="00946DB5">
        <w:tc>
          <w:tcPr>
            <w:tcW w:w="4361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object w:dxaOrig="3480" w:dyaOrig="540">
                <v:shape id="_x0000_i1046" type="#_x0000_t75" style="width:174pt;height:27pt" o:ole="">
                  <v:imagedata r:id="rId45" o:title=""/>
                </v:shape>
                <o:OLEObject Type="Embed" ProgID="Equation.3" ShapeID="_x0000_i1046" DrawAspect="Content" ObjectID="_1454074073" r:id="rId46"/>
              </w:object>
            </w:r>
          </w:p>
        </w:tc>
        <w:tc>
          <w:tcPr>
            <w:tcW w:w="531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</w:p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t>(9)</w:t>
            </w:r>
          </w:p>
        </w:tc>
      </w:tr>
    </w:tbl>
    <w:p w:rsidR="00942E2B" w:rsidRPr="002F0B7E" w:rsidRDefault="00942E2B" w:rsidP="00942E2B">
      <w:pPr>
        <w:spacing w:before="120"/>
        <w:ind w:firstLine="567"/>
        <w:jc w:val="both"/>
      </w:pPr>
      <w:r w:rsidRPr="002F0B7E">
        <w:t>Из условия  k&lt;1 следует, что ММС в рассматриваемых АФМ может возникнуть, только если поле Е превышает пороговое значение Еп (7), величина которого вблизи спин-флоп фазового перехода определяется константой анизотропии четвертого порядка и магнитоэлектрической восприимчивостью. Это связано с тем, что инвариант Dmдl/дz имеет существенно нелифшицевский вид, а индуцирование ММС электрическим полем происходит через механизм магнитоэлектрического взаимодействия.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>В случае k</w:t>
      </w:r>
      <w:r w:rsidRPr="002F0B7E">
        <w:sym w:font="Symbol" w:char="F0AE"/>
      </w:r>
      <w:r w:rsidRPr="002F0B7E">
        <w:t>1 km=1+2</w:t>
      </w:r>
      <w:r w:rsidRPr="002F0B7E">
        <w:sym w:font="Symbol" w:char="F062"/>
      </w:r>
      <w:r w:rsidRPr="002F0B7E">
        <w:t>/ln</w:t>
      </w:r>
      <w:r w:rsidRPr="002F0B7E">
        <w:sym w:font="Symbol" w:char="F062"/>
      </w:r>
      <w:r w:rsidRPr="002F0B7E">
        <w:t xml:space="preserve">, где </w:t>
      </w:r>
      <w:r w:rsidRPr="002F0B7E">
        <w:sym w:font="Symbol" w:char="F062"/>
      </w:r>
      <w:r w:rsidRPr="002F0B7E">
        <w:t>=</w:t>
      </w:r>
      <w:r w:rsidRPr="002F0B7E">
        <w:sym w:font="Symbol" w:char="F070"/>
      </w:r>
      <w:r w:rsidRPr="002F0B7E">
        <w:t xml:space="preserve">/2k0-1&lt;&lt;1. Прирост энергии, обусловленный наличием ММС, равен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219"/>
        <w:gridCol w:w="673"/>
      </w:tblGrid>
      <w:tr w:rsidR="00942E2B" w:rsidRPr="002F0B7E" w:rsidTr="00946DB5">
        <w:tc>
          <w:tcPr>
            <w:tcW w:w="4219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object w:dxaOrig="1860" w:dyaOrig="660">
                <v:shape id="_x0000_i1047" type="#_x0000_t75" style="width:93pt;height:33pt" o:ole="">
                  <v:imagedata r:id="rId47" o:title=""/>
                </v:shape>
                <o:OLEObject Type="Embed" ProgID="Equation.3" ShapeID="_x0000_i1047" DrawAspect="Content" ObjectID="_1454074074" r:id="rId48"/>
              </w:object>
            </w:r>
          </w:p>
        </w:tc>
        <w:tc>
          <w:tcPr>
            <w:tcW w:w="673" w:type="dxa"/>
          </w:tcPr>
          <w:p w:rsidR="00942E2B" w:rsidRPr="002F0B7E" w:rsidRDefault="00942E2B" w:rsidP="00946DB5">
            <w:pPr>
              <w:spacing w:before="120"/>
              <w:ind w:firstLine="567"/>
              <w:jc w:val="both"/>
            </w:pPr>
          </w:p>
          <w:p w:rsidR="00942E2B" w:rsidRPr="002F0B7E" w:rsidRDefault="00942E2B" w:rsidP="00946DB5">
            <w:pPr>
              <w:spacing w:before="120"/>
              <w:ind w:firstLine="567"/>
              <w:jc w:val="both"/>
            </w:pPr>
            <w:r w:rsidRPr="002F0B7E">
              <w:t>(10)</w:t>
            </w:r>
          </w:p>
        </w:tc>
      </w:tr>
    </w:tbl>
    <w:p w:rsidR="00942E2B" w:rsidRPr="002F0B7E" w:rsidRDefault="00942E2B" w:rsidP="00942E2B">
      <w:pPr>
        <w:spacing w:before="120"/>
        <w:ind w:firstLine="567"/>
        <w:jc w:val="both"/>
      </w:pPr>
      <w:r w:rsidRPr="002F0B7E">
        <w:t xml:space="preserve">Период структуры </w:t>
      </w:r>
      <w:r w:rsidRPr="002F0B7E">
        <w:object w:dxaOrig="2500" w:dyaOrig="380">
          <v:shape id="_x0000_i1048" type="#_x0000_t75" style="width:114.75pt;height:17.25pt" o:ole="">
            <v:imagedata r:id="rId49" o:title=""/>
          </v:shape>
          <o:OLEObject Type="Embed" ProgID="Equation.3" ShapeID="_x0000_i1048" DrawAspect="Content" ObjectID="_1454074075" r:id="rId50"/>
        </w:object>
      </w:r>
      <w:r w:rsidRPr="002F0B7E">
        <w:t>, величина L/</w:t>
      </w:r>
      <w:r w:rsidRPr="002F0B7E">
        <w:sym w:font="Symbol" w:char="F064"/>
      </w:r>
      <w:r w:rsidRPr="002F0B7E">
        <w:t>=2|ln</w:t>
      </w:r>
      <w:r w:rsidRPr="002F0B7E">
        <w:sym w:font="Symbol" w:char="F062"/>
      </w:r>
      <w:r w:rsidRPr="002F0B7E">
        <w:t xml:space="preserve">|&gt;&gt;1, и теперь (5) описывает периодическую структуру с узкими переходными слоями, в которых вектор антиферромагнетизма l меняет направление на </w:t>
      </w:r>
      <w:r w:rsidRPr="002F0B7E">
        <w:sym w:font="Symbol" w:char="F070"/>
      </w:r>
      <w:r w:rsidRPr="002F0B7E">
        <w:t>/2. В отличие от обычной доменной структуры прирост энергии ММС относительно однородного состояния (10) отрицателен, т.е. ММС энергетически выгодна.</w:t>
      </w:r>
    </w:p>
    <w:p w:rsidR="00942E2B" w:rsidRDefault="00942E2B" w:rsidP="00942E2B">
      <w:pPr>
        <w:spacing w:before="120"/>
        <w:ind w:firstLine="567"/>
        <w:jc w:val="both"/>
      </w:pPr>
      <w:r w:rsidRPr="002F0B7E">
        <w:t>Проведенные исследования показывают, что условием существования длиннопериодической магнитной структуры в антиферромагнетиках с магнитоэлектрическим эффектом является малость анизотропии (чему может способствовать близость к точкам фазового перехода) и большая величина магнитоэлектрической восприимчивости материала.</w:t>
      </w:r>
    </w:p>
    <w:p w:rsidR="00942E2B" w:rsidRPr="002F0B7E" w:rsidRDefault="00942E2B" w:rsidP="00942E2B">
      <w:pPr>
        <w:spacing w:before="120"/>
        <w:jc w:val="center"/>
        <w:rPr>
          <w:b/>
          <w:bCs/>
          <w:sz w:val="28"/>
          <w:szCs w:val="28"/>
        </w:rPr>
      </w:pPr>
      <w:r w:rsidRPr="002F0B7E">
        <w:rPr>
          <w:b/>
          <w:bCs/>
          <w:sz w:val="28"/>
          <w:szCs w:val="28"/>
        </w:rPr>
        <w:t>Список литературы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 xml:space="preserve">1. Дзялошинский И.Е. // ЖЭТФ. 1964. Т. 47. № 3 (9). С. 992–1003. 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 xml:space="preserve">2. Витебский И.М. // ЖЭТФ. 1982. Т. 82. № 2. С. 57–361. </w:t>
      </w:r>
    </w:p>
    <w:p w:rsidR="00942E2B" w:rsidRPr="002F0B7E" w:rsidRDefault="00942E2B" w:rsidP="00942E2B">
      <w:pPr>
        <w:spacing w:before="120"/>
        <w:ind w:firstLine="567"/>
        <w:jc w:val="both"/>
      </w:pPr>
      <w:r w:rsidRPr="002F0B7E">
        <w:t>3. Барьяхтар В.Г., Яблонский Д.А. // ФТТ. 1982. Т. 24. № 8. С. 2522–2524.</w:t>
      </w:r>
    </w:p>
    <w:p w:rsidR="00942E2B" w:rsidRPr="002F0B7E" w:rsidRDefault="00942E2B" w:rsidP="00942E2B">
      <w:pPr>
        <w:spacing w:before="120"/>
        <w:ind w:firstLine="567"/>
        <w:jc w:val="both"/>
        <w:rPr>
          <w:lang w:val="en-US"/>
        </w:rPr>
      </w:pPr>
      <w:r w:rsidRPr="002F0B7E">
        <w:t>4. Шавров В.Г. // ЖЭТФ. 1965. Т. 48. С</w:t>
      </w:r>
      <w:r w:rsidRPr="002F0B7E">
        <w:rPr>
          <w:lang w:val="en-US"/>
        </w:rPr>
        <w:t>. 1419–1426.</w:t>
      </w:r>
    </w:p>
    <w:p w:rsidR="00942E2B" w:rsidRPr="002F0B7E" w:rsidRDefault="00942E2B" w:rsidP="00942E2B">
      <w:pPr>
        <w:spacing w:before="120"/>
        <w:ind w:firstLine="567"/>
        <w:jc w:val="both"/>
        <w:rPr>
          <w:lang w:val="en-US"/>
        </w:rPr>
      </w:pPr>
      <w:r w:rsidRPr="002F0B7E">
        <w:rPr>
          <w:lang w:val="en-US"/>
        </w:rPr>
        <w:t xml:space="preserve">5. Tankeyev A.P., Shamsutdinov M.A., Kharisov A.T. // J.Phys.: Condens. Matter. 2000. V. 12. P. 1053–1064. </w:t>
      </w:r>
    </w:p>
    <w:p w:rsidR="00942E2B" w:rsidRPr="00942E2B" w:rsidRDefault="00942E2B" w:rsidP="00942E2B">
      <w:pPr>
        <w:spacing w:before="120"/>
        <w:ind w:firstLine="567"/>
        <w:jc w:val="both"/>
        <w:rPr>
          <w:lang w:val="en-US"/>
        </w:rPr>
      </w:pPr>
      <w:r w:rsidRPr="00942E2B">
        <w:rPr>
          <w:lang w:val="en-US"/>
        </w:rPr>
        <w:t xml:space="preserve">6. </w:t>
      </w:r>
      <w:r w:rsidRPr="002F0B7E">
        <w:t>Харрасов</w:t>
      </w:r>
      <w:r w:rsidRPr="00942E2B">
        <w:rPr>
          <w:lang w:val="en-US"/>
        </w:rPr>
        <w:t xml:space="preserve"> </w:t>
      </w:r>
      <w:r w:rsidRPr="002F0B7E">
        <w:t>М</w:t>
      </w:r>
      <w:r w:rsidRPr="00942E2B">
        <w:rPr>
          <w:lang w:val="en-US"/>
        </w:rPr>
        <w:t>.</w:t>
      </w:r>
      <w:r w:rsidRPr="002F0B7E">
        <w:t>Х</w:t>
      </w:r>
      <w:r w:rsidRPr="00942E2B">
        <w:rPr>
          <w:lang w:val="en-US"/>
        </w:rPr>
        <w:t xml:space="preserve">., </w:t>
      </w:r>
      <w:r w:rsidRPr="002F0B7E">
        <w:t>Абдулин</w:t>
      </w:r>
      <w:r w:rsidRPr="00942E2B">
        <w:rPr>
          <w:lang w:val="en-US"/>
        </w:rPr>
        <w:t xml:space="preserve"> </w:t>
      </w:r>
      <w:r w:rsidRPr="002F0B7E">
        <w:t>А</w:t>
      </w:r>
      <w:r w:rsidRPr="00942E2B">
        <w:rPr>
          <w:lang w:val="en-US"/>
        </w:rPr>
        <w:t>.</w:t>
      </w:r>
      <w:r w:rsidRPr="002F0B7E">
        <w:t>У</w:t>
      </w:r>
      <w:r w:rsidRPr="00942E2B">
        <w:rPr>
          <w:lang w:val="en-US"/>
        </w:rPr>
        <w:t xml:space="preserve">. // </w:t>
      </w:r>
      <w:r w:rsidRPr="002F0B7E">
        <w:t>ДАН</w:t>
      </w:r>
      <w:r w:rsidRPr="00942E2B">
        <w:rPr>
          <w:lang w:val="en-US"/>
        </w:rPr>
        <w:t xml:space="preserve">. 1994. </w:t>
      </w:r>
      <w:r w:rsidRPr="002F0B7E">
        <w:t>Т. 336. С. 335–337. 7. Туров Е.А.// ЖЭТФ. 1993. Т</w:t>
      </w:r>
      <w:r w:rsidRPr="00942E2B">
        <w:rPr>
          <w:lang w:val="en-US"/>
        </w:rPr>
        <w:t xml:space="preserve">. 104. № 5. </w:t>
      </w:r>
      <w:r w:rsidRPr="002F0B7E">
        <w:t>С</w:t>
      </w:r>
      <w:r w:rsidRPr="00942E2B">
        <w:rPr>
          <w:lang w:val="en-US"/>
        </w:rPr>
        <w:t>. 3886–3896.</w:t>
      </w:r>
    </w:p>
    <w:p w:rsidR="00942E2B" w:rsidRPr="002F0B7E" w:rsidRDefault="00942E2B" w:rsidP="00942E2B">
      <w:pPr>
        <w:spacing w:before="120"/>
        <w:ind w:firstLine="567"/>
        <w:jc w:val="both"/>
      </w:pPr>
      <w:r w:rsidRPr="00942E2B">
        <w:rPr>
          <w:lang w:val="en-US"/>
        </w:rPr>
        <w:t xml:space="preserve"> Khalfina A.A., Shamsutdinov M.A.// Abstract Book. </w:t>
      </w:r>
      <w:r w:rsidRPr="002F0B7E">
        <w:t>EASTMAG-2001. Ekaterinburg, 2001. P. 145.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2E2B"/>
    <w:rsid w:val="00095BA6"/>
    <w:rsid w:val="002F0B7E"/>
    <w:rsid w:val="0031418A"/>
    <w:rsid w:val="005A2562"/>
    <w:rsid w:val="00942E2B"/>
    <w:rsid w:val="00946DB5"/>
    <w:rsid w:val="00A44D32"/>
    <w:rsid w:val="00BE2B11"/>
    <w:rsid w:val="00C572A1"/>
    <w:rsid w:val="00E12572"/>
    <w:rsid w:val="00F0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docId w15:val="{5C828BB4-E10F-4A44-AAC4-8ADAC7D9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E2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2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995</Words>
  <Characters>5678</Characters>
  <Application>Microsoft Office Word</Application>
  <DocSecurity>0</DocSecurity>
  <Lines>47</Lines>
  <Paragraphs>13</Paragraphs>
  <ScaleCrop>false</ScaleCrop>
  <Company>Home</Company>
  <LinksUpToDate>false</LinksUpToDate>
  <CharactersWithSpaces>6660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возможности индуцирования длиннопериодической структуры в антиферромагнетиках с магнитоэлектрическим эффектом </dc:title>
  <dc:subject/>
  <dc:creator>Alena</dc:creator>
  <cp:keywords/>
  <dc:description/>
  <cp:lastModifiedBy>admin</cp:lastModifiedBy>
  <cp:revision>2</cp:revision>
  <dcterms:created xsi:type="dcterms:W3CDTF">2014-02-16T14:40:00Z</dcterms:created>
  <dcterms:modified xsi:type="dcterms:W3CDTF">2014-02-16T14:40:00Z</dcterms:modified>
</cp:coreProperties>
</file>