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FB" w:rsidRPr="009216A8" w:rsidRDefault="003A3FFB" w:rsidP="003A3FFB">
      <w:pPr>
        <w:spacing w:before="120"/>
        <w:jc w:val="center"/>
        <w:rPr>
          <w:b/>
          <w:bCs/>
          <w:sz w:val="32"/>
          <w:szCs w:val="32"/>
        </w:rPr>
      </w:pPr>
      <w:r w:rsidRPr="009216A8">
        <w:rPr>
          <w:b/>
          <w:bCs/>
          <w:sz w:val="32"/>
          <w:szCs w:val="32"/>
        </w:rPr>
        <w:t>Зарплата при спецрежимах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К специальным налоговым режимам относят: </w:t>
      </w:r>
      <w:r>
        <w:t xml:space="preserve"> </w:t>
      </w:r>
      <w:r w:rsidRPr="00B369EA">
        <w:t xml:space="preserve">уплату единого налога на вмененный доход (ЕНВД); </w:t>
      </w:r>
      <w:r>
        <w:t xml:space="preserve">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уплату единого налога при упрощенной системе налогообложения;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уплату единого сельскохозяйственного налога (ЕСХН).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Фирмы, перешедшие на любой из спецрежимов, освобождены от уплаты единого социального налога (ст. 346.1, 346.11 и 346.26 НК РФ). Вместе с тем на практике возникают разные ситуации, усложняющие дело. </w:t>
      </w:r>
    </w:p>
    <w:p w:rsidR="003A3FFB" w:rsidRPr="009216A8" w:rsidRDefault="003A3FFB" w:rsidP="003A3FFB">
      <w:pPr>
        <w:spacing w:before="120"/>
        <w:jc w:val="center"/>
        <w:rPr>
          <w:b/>
          <w:bCs/>
          <w:sz w:val="28"/>
          <w:szCs w:val="28"/>
        </w:rPr>
      </w:pPr>
      <w:r w:rsidRPr="009216A8">
        <w:rPr>
          <w:b/>
          <w:bCs/>
          <w:sz w:val="28"/>
          <w:szCs w:val="28"/>
        </w:rPr>
        <w:t xml:space="preserve">Частичная «вмененка»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Совсем уйти от ЕСН могут лишь узкоспециализированные фирмы, которые полностью работают на «вмененке». Однако большинство компаний занимается разными видами деятельности. При этом одни из них подпадают под уплату вмененного налога, а другие – нет. Как же платить соцналог таким фирмам?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Основная трудность состоит в том, как разделить зарплату работников, занятых в обоих видах деятельности. На этот вопрос ответили подмосковные налоговики в письме от 22 мая 2003 года № 05-05/8877/К943. Чиновники предлагают распределять зарплату пропорционально полученной выручке.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Покажем порядок расчетов на примере.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Пример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ООО «Вымпел» торгует оптом и в розницу в г. Электросталь Московской области. По рознице фирма переведена на «вмененку», а оптовую торговлю облагает налогами в обычном порядке.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На «Вымпеле» работают 16 человек. Из них 9 сотрудников заняты розничной торговлей, 4 – оптовой и 3 – управленцы (директор и два бухгалтера). Последние заняты в обоих видах деятельности.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За первое полугодие коллективу начислена зарплата в сумме 255 000 руб., в том числе: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– в розничной торговле – 140 000 руб.;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– в оптовой торговле – 55 000 руб.;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– управленцам – 60 000 руб.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Выручка от реализации товаров за шесть месяцев составила 9 900 000 руб., в том числе: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– в розничной торговле – 3 480 000 руб.;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– в оптовой торговле – 6 420 000 руб.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Сначала определим часть зарплаты управляющего персонала, которая относится к оптовой торговле. В нашем примере доходы управленцев, на которые надо начислить ЕСН, составят 38 909 руб. (60 000 х (6 420 000 : 9 900 000)).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Общая зарплата оптовиков и управленцев, облагаемая соцналогом, равна 93 909 руб. (38 909 + 55 000).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Следовательно, сам налог составит 24 416,34 руб. (93 909 руб. х 26%).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В данном случае речь о применении регрессивных ставок ЕСН не идет, так как уровень зарплаты каждого работника фирмы явно укладывается в 280 000 руб. в год.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В отличие от единого соцналога страховые взносы в Пенсионный фонд платят с зарплаты всех работников, занятых как «вмененной» деятельностью, так и остальными ее видами. Взносы начисляют по ставке 14%, разбивая, как обычно, на страховую и накопительную части пенсии. </w:t>
      </w:r>
    </w:p>
    <w:p w:rsidR="003A3FFB" w:rsidRPr="009216A8" w:rsidRDefault="003A3FFB" w:rsidP="003A3FFB">
      <w:pPr>
        <w:spacing w:before="120"/>
        <w:jc w:val="center"/>
        <w:rPr>
          <w:b/>
          <w:bCs/>
          <w:sz w:val="28"/>
          <w:szCs w:val="28"/>
        </w:rPr>
      </w:pPr>
      <w:r w:rsidRPr="009216A8">
        <w:rPr>
          <w:b/>
          <w:bCs/>
          <w:sz w:val="28"/>
          <w:szCs w:val="28"/>
        </w:rPr>
        <w:t xml:space="preserve">«Вмененка» с филиалом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Фирмы, которые занимаются «вмененной» деятельностью, должны перечислять единый налог по месту ее осуществления. По мнению налоговой службы, это правило плательщики ЕНВД должны выполнять даже в том случае, если их деятельность ведется на территории разных инспекций одного субъекта России (см., например, письмо МНС России от 12 ноября 2004 г. № 22-2-14/1787).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Однако такая позиция расходится не только с нормами Налогового кодекса (п. 2 ст. 346.28), но и с мнением Минфина (письмо от 07 сентября 2004 г. № 03-06-05-04/14). Согласно этим документам «вмененный» филиал на территории области, в которой фирма уже состоит на учете, повторно регистрировать не надо. Соответственно, отчитываться и перечислять единый налог по его деятельности нужно только по месту регистрации фирмы.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Обратите внимание: обособленные подразделения, в которых есть стационарные рабочие места, зарегистрировать по их местонахождению все равно придется (п. 4 ст. 83 НК РФ).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«Вмененщики», которые по требованию налоговиков регистрируются в каждой инспекции, где ведут свою деятельность, подают туда отдельные декларации по единому налогу. По закону это обязаны делать фирмы, у которых есть филиалы на территории другой области. Им придется столкнуться с проблемой распределения пенсионных взносов.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Напомним, что перечислять взносы по реквизитам ИФНС подразделения нужно только в том случае, если оно само платит своим сотрудникам зарплату. А если у филиала нет собственного баланса, расчетного счета и выплат работникам, то фирма может отчитываться и перечислять пенсионные взносы централизованно по местонахождению головного офиса.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Получается, что «несамостоятельные» филиалы платят ЕНВД по своему местонахождению, а пенсионные взносы за своих работников – по реквизитам головной организации. Возникает вопрос: может ли в этом случае филиал уменьшить вмененный налог на пенсионные взносы, уплаченные в другую инспекцию?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Вопрос не праздный, если учесть, что общая сумма взносов фирмы может оказаться больше 1/2 единого налога, который головной офис указал в декларации. Кроме того, единый налог уменьшают только взносы работников, занятых «вмененной» деятельностью (ст. 346.32).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Согласно разъяснениям налоговиков (см. письмо МНС России от 21 марта 2003 г. № СА-6-22/332) пенсионные взносы распределяют пропорционально налоговой базе по ним для каждого филиала.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Взносы включают в «филиальную» декларацию по вмененному налогу на основании таких документов: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составленного в произвольной форме расчета, в котором отражено распределение взносов;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копии платежного поручения об уплате общей суммы пенсионных взносов, заверенной инспекцией головного офиса.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Обратите внимание: такой порядок распространяется и на предпринимателей, которые работают на территории разных налоговых инспекций и подают туда отдельные декларации по ЕНВД.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Пенсионные взносы за сотрудников, а также фиксированные платежи за себя коммерсанты должны вносить в бюджет по месту жительства. Такой вывод следует из статьи 11 Закона от 15 декабря 2001 года № 167-ФЗ (письмо УМНС по Московской области от 16 ноября 2004 г. № 05-16/27709). Взносы работников при расчете ЕНВД нужно распределить пропорционально налоговой базе.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В отношении фиксированных платежей действует такое правило: их можно учитывать при расчете единого налога по одному из мест осуществления деятельности (на выбор). Основанием для этого служит копия платежки, заверенная налоговой инспекцией по месту жительства. </w:t>
      </w:r>
    </w:p>
    <w:p w:rsidR="003A3FFB" w:rsidRPr="009216A8" w:rsidRDefault="003A3FFB" w:rsidP="003A3FFB">
      <w:pPr>
        <w:spacing w:before="120"/>
        <w:jc w:val="center"/>
        <w:rPr>
          <w:b/>
          <w:bCs/>
          <w:sz w:val="28"/>
          <w:szCs w:val="28"/>
        </w:rPr>
      </w:pPr>
      <w:r w:rsidRPr="009216A8">
        <w:rPr>
          <w:b/>
          <w:bCs/>
          <w:sz w:val="28"/>
          <w:szCs w:val="28"/>
        </w:rPr>
        <w:t xml:space="preserve">Пример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ООО «Полюс» принадлежат два магазина – в Балашихе и Сергиевом Посаде Московской области. ЕНВД по розничной торговле фирма перечисляет соответственно на счета ИФНС по Балашихинскому и Сергиево-Посадскому районам. Cтраховые пенсионные взносы «Полюс» платит одной суммой – по месту своей регистрации в инспекции Балашихинского района.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Налоговая база по пенсионным взносам за I квартал составила: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– 150 000 руб. – по выплатам работникам в г. Балашихе;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– 50 000 руб. – по выплатам работникам в г. Сергиев Посад.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За январь, февраль и март в ИФНС Балашихинского района фирма перечислила страховые взносы в сумме 28 000 руб. ((150 000 руб. + 50 000 руб.) x 14%).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Бухгалтер составил расчет распределения пенсионных взносов между головной фирмой и ее обособленным подразделением так: </w:t>
      </w:r>
    </w:p>
    <w:tbl>
      <w:tblPr>
        <w:tblW w:w="5000" w:type="pct"/>
        <w:tblCellSpacing w:w="15" w:type="dxa"/>
        <w:tblInd w:w="-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17"/>
        <w:gridCol w:w="2118"/>
        <w:gridCol w:w="2665"/>
        <w:gridCol w:w="2888"/>
      </w:tblGrid>
      <w:tr w:rsidR="003A3FFB" w:rsidRPr="00B369EA" w:rsidTr="00D96856">
        <w:trPr>
          <w:tblCellSpacing w:w="15" w:type="dxa"/>
        </w:trPr>
        <w:tc>
          <w:tcPr>
            <w:tcW w:w="4967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Расчет суммы уплаченных за I квартал страховых взносов на обязательное пенсионное страхование работников, занятых в сферах деятельности, по которым уплачивается ЕНВД </w:t>
            </w:r>
          </w:p>
        </w:tc>
      </w:tr>
      <w:tr w:rsidR="003A3FFB" w:rsidRPr="00B369EA" w:rsidTr="00D96856">
        <w:trPr>
          <w:tblCellSpacing w:w="15" w:type="dxa"/>
        </w:trPr>
        <w:tc>
          <w:tcPr>
            <w:tcW w:w="10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Наименование подразделения 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Налоговая база по страховым взносам, руб. </w:t>
            </w: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Доля подразделения в общей сумме налоговой базы, % 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Сумма взносов на обязательное пенсионное страхование, руб. </w:t>
            </w:r>
          </w:p>
        </w:tc>
      </w:tr>
      <w:tr w:rsidR="003A3FFB" w:rsidRPr="00B369EA" w:rsidTr="00D96856">
        <w:trPr>
          <w:tblCellSpacing w:w="15" w:type="dxa"/>
        </w:trPr>
        <w:tc>
          <w:tcPr>
            <w:tcW w:w="10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Розничный магазин, г. Балашиха 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150 000 </w:t>
            </w: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75 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21 000 </w:t>
            </w:r>
          </w:p>
        </w:tc>
      </w:tr>
      <w:tr w:rsidR="003A3FFB" w:rsidRPr="00B369EA" w:rsidTr="00D96856">
        <w:trPr>
          <w:tblCellSpacing w:w="15" w:type="dxa"/>
        </w:trPr>
        <w:tc>
          <w:tcPr>
            <w:tcW w:w="10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Розничный магазин, г. Сергиев Посад 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50 000 </w:t>
            </w: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25 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7000 </w:t>
            </w:r>
          </w:p>
        </w:tc>
      </w:tr>
      <w:tr w:rsidR="003A3FFB" w:rsidRPr="00B369EA" w:rsidTr="00D96856">
        <w:trPr>
          <w:tblCellSpacing w:w="15" w:type="dxa"/>
        </w:trPr>
        <w:tc>
          <w:tcPr>
            <w:tcW w:w="106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Итого 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200 000 </w:t>
            </w: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100 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3FFB" w:rsidRPr="00B369EA" w:rsidRDefault="003A3FFB" w:rsidP="00D96856">
            <w:pPr>
              <w:jc w:val="both"/>
            </w:pPr>
            <w:r w:rsidRPr="00B369EA">
              <w:t xml:space="preserve">28 000 </w:t>
            </w:r>
          </w:p>
        </w:tc>
      </w:tr>
    </w:tbl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В декларацию по вмененному налогу, представленную в инспекцию г. Балашихи, бухгалтер ООО «Полюс» включил пенсионные взносы в сумме 21 000 руб. Инспектор поставил печать на копию платежного поручения об уплате этих взносов. </w:t>
      </w:r>
    </w:p>
    <w:p w:rsidR="003A3FFB" w:rsidRPr="00B369EA" w:rsidRDefault="003A3FFB" w:rsidP="003A3FFB">
      <w:pPr>
        <w:spacing w:before="120"/>
        <w:ind w:firstLine="567"/>
        <w:jc w:val="both"/>
      </w:pPr>
      <w:r w:rsidRPr="00B369EA">
        <w:t xml:space="preserve">В декларацию по ЕНВД, представленную в инспекцию г. Сергиев Посад, фирма включила пенсионные взносы в сумме 7000 руб. К отчетности приложен расчет распределения взносов и копия заверенного платежного поручения.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FFB"/>
    <w:rsid w:val="0017040A"/>
    <w:rsid w:val="003A3FFB"/>
    <w:rsid w:val="005048DF"/>
    <w:rsid w:val="00616072"/>
    <w:rsid w:val="008B35EE"/>
    <w:rsid w:val="009216A8"/>
    <w:rsid w:val="00B369EA"/>
    <w:rsid w:val="00B42C45"/>
    <w:rsid w:val="00B47B6A"/>
    <w:rsid w:val="00D9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CDFE44-00CE-4126-B1E2-1FFC186A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FF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A3FFB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4953</Words>
  <Characters>2824</Characters>
  <Application>Microsoft Office Word</Application>
  <DocSecurity>0</DocSecurity>
  <Lines>23</Lines>
  <Paragraphs>15</Paragraphs>
  <ScaleCrop>false</ScaleCrop>
  <Company>Home</Company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Зарплата при спецрежимах</dc:title>
  <dc:subject/>
  <dc:creator>User</dc:creator>
  <cp:keywords/>
  <dc:description/>
  <cp:lastModifiedBy>admin</cp:lastModifiedBy>
  <cp:revision>2</cp:revision>
  <dcterms:created xsi:type="dcterms:W3CDTF">2014-01-25T08:47:00Z</dcterms:created>
  <dcterms:modified xsi:type="dcterms:W3CDTF">2014-01-25T08:47:00Z</dcterms:modified>
</cp:coreProperties>
</file>