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B0" w:rsidRPr="00742B20" w:rsidRDefault="009D1BB0" w:rsidP="00742B20">
      <w:pPr>
        <w:spacing w:after="0" w:line="360" w:lineRule="auto"/>
        <w:ind w:firstLine="709"/>
        <w:jc w:val="center"/>
        <w:rPr>
          <w:sz w:val="28"/>
          <w:szCs w:val="28"/>
        </w:rPr>
      </w:pPr>
      <w:r w:rsidRPr="00742B20">
        <w:rPr>
          <w:sz w:val="28"/>
          <w:szCs w:val="28"/>
        </w:rPr>
        <w:t>ТОМСКИЙ ГОСУДАРСТВЕННЫЙ УНИВЕРСИТЕТ</w:t>
      </w:r>
    </w:p>
    <w:p w:rsidR="009D1BB0" w:rsidRPr="00742B20" w:rsidRDefault="009D1BB0" w:rsidP="00742B20">
      <w:pPr>
        <w:spacing w:after="0" w:line="360" w:lineRule="auto"/>
        <w:ind w:firstLine="709"/>
        <w:jc w:val="center"/>
        <w:rPr>
          <w:sz w:val="28"/>
          <w:szCs w:val="28"/>
        </w:rPr>
      </w:pPr>
      <w:r w:rsidRPr="00742B20">
        <w:rPr>
          <w:sz w:val="28"/>
          <w:szCs w:val="28"/>
        </w:rPr>
        <w:t>Геолого-географический факультет</w:t>
      </w: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r w:rsidRPr="00742B20">
        <w:rPr>
          <w:sz w:val="28"/>
          <w:szCs w:val="28"/>
        </w:rPr>
        <w:t>КОНТРОЛЬНАЯ РАБОТА</w:t>
      </w:r>
    </w:p>
    <w:p w:rsidR="009D1BB0" w:rsidRPr="00742B20" w:rsidRDefault="009D1BB0" w:rsidP="00742B20">
      <w:pPr>
        <w:spacing w:after="0" w:line="360" w:lineRule="auto"/>
        <w:ind w:firstLine="709"/>
        <w:jc w:val="center"/>
        <w:rPr>
          <w:sz w:val="28"/>
          <w:szCs w:val="28"/>
        </w:rPr>
      </w:pPr>
      <w:r w:rsidRPr="00742B20">
        <w:rPr>
          <w:sz w:val="28"/>
          <w:szCs w:val="28"/>
        </w:rPr>
        <w:t>По курсу «Петрология»</w:t>
      </w:r>
    </w:p>
    <w:p w:rsidR="009D1BB0" w:rsidRPr="00742B20" w:rsidRDefault="009D1BB0" w:rsidP="00742B20">
      <w:pPr>
        <w:spacing w:after="0" w:line="360" w:lineRule="auto"/>
        <w:ind w:firstLine="709"/>
        <w:jc w:val="center"/>
        <w:rPr>
          <w:sz w:val="28"/>
          <w:szCs w:val="28"/>
        </w:rPr>
      </w:pPr>
      <w:r w:rsidRPr="00742B20">
        <w:rPr>
          <w:sz w:val="28"/>
          <w:szCs w:val="28"/>
        </w:rPr>
        <w:t>Природные источни</w:t>
      </w:r>
      <w:r w:rsidR="00742B20">
        <w:rPr>
          <w:sz w:val="28"/>
          <w:szCs w:val="28"/>
        </w:rPr>
        <w:t>ки повышения радиационного фона</w:t>
      </w:r>
    </w:p>
    <w:p w:rsidR="009D1BB0" w:rsidRDefault="009D1BB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Pr="00742B20" w:rsidRDefault="00742B20" w:rsidP="00742B20">
      <w:pPr>
        <w:spacing w:after="0" w:line="360" w:lineRule="auto"/>
        <w:ind w:firstLine="709"/>
        <w:jc w:val="center"/>
        <w:rPr>
          <w:sz w:val="28"/>
          <w:szCs w:val="28"/>
        </w:rPr>
      </w:pPr>
    </w:p>
    <w:p w:rsidR="00742B20" w:rsidRPr="00742B20" w:rsidRDefault="00742B20" w:rsidP="00742B20">
      <w:pPr>
        <w:spacing w:after="0" w:line="360" w:lineRule="auto"/>
        <w:ind w:firstLine="6710"/>
        <w:rPr>
          <w:sz w:val="28"/>
          <w:szCs w:val="28"/>
        </w:rPr>
      </w:pPr>
      <w:r w:rsidRPr="00742B20">
        <w:rPr>
          <w:sz w:val="28"/>
          <w:szCs w:val="28"/>
        </w:rPr>
        <w:t>Выполнила студентка</w:t>
      </w:r>
    </w:p>
    <w:p w:rsidR="00742B20" w:rsidRPr="00742B20" w:rsidRDefault="00742B20" w:rsidP="00742B20">
      <w:pPr>
        <w:spacing w:after="0" w:line="360" w:lineRule="auto"/>
        <w:ind w:firstLine="6710"/>
        <w:rPr>
          <w:sz w:val="28"/>
          <w:szCs w:val="28"/>
        </w:rPr>
      </w:pPr>
      <w:r w:rsidRPr="00742B20">
        <w:rPr>
          <w:sz w:val="28"/>
          <w:szCs w:val="28"/>
        </w:rPr>
        <w:t>3 курса ГГФ</w:t>
      </w:r>
    </w:p>
    <w:p w:rsidR="009D1BB0" w:rsidRPr="00742B20" w:rsidRDefault="00742B20" w:rsidP="00742B20">
      <w:pPr>
        <w:spacing w:after="0" w:line="360" w:lineRule="auto"/>
        <w:ind w:firstLine="6710"/>
        <w:rPr>
          <w:sz w:val="28"/>
          <w:szCs w:val="28"/>
        </w:rPr>
      </w:pPr>
      <w:r w:rsidRPr="00742B20">
        <w:rPr>
          <w:sz w:val="28"/>
          <w:szCs w:val="28"/>
        </w:rPr>
        <w:t>Тимофеева Ю.И.</w:t>
      </w:r>
    </w:p>
    <w:p w:rsidR="009D1BB0" w:rsidRPr="00742B20" w:rsidRDefault="009D1BB0" w:rsidP="00742B20">
      <w:pPr>
        <w:spacing w:after="0" w:line="360" w:lineRule="auto"/>
        <w:ind w:firstLine="709"/>
        <w:jc w:val="center"/>
        <w:rPr>
          <w:sz w:val="28"/>
          <w:szCs w:val="28"/>
        </w:rPr>
      </w:pPr>
    </w:p>
    <w:p w:rsidR="009D1BB0" w:rsidRPr="00742B20" w:rsidRDefault="009D1BB0" w:rsidP="00742B20">
      <w:pPr>
        <w:spacing w:after="0" w:line="360" w:lineRule="auto"/>
        <w:ind w:firstLine="709"/>
        <w:jc w:val="center"/>
        <w:rPr>
          <w:sz w:val="28"/>
          <w:szCs w:val="28"/>
        </w:rPr>
      </w:pPr>
    </w:p>
    <w:p w:rsidR="009D1BB0" w:rsidRDefault="009D1BB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Default="00742B20" w:rsidP="00742B20">
      <w:pPr>
        <w:spacing w:after="0" w:line="360" w:lineRule="auto"/>
        <w:ind w:firstLine="709"/>
        <w:jc w:val="center"/>
        <w:rPr>
          <w:sz w:val="28"/>
          <w:szCs w:val="28"/>
        </w:rPr>
      </w:pPr>
    </w:p>
    <w:p w:rsidR="00742B20" w:rsidRPr="00742B20" w:rsidRDefault="00742B20" w:rsidP="00742B20">
      <w:pPr>
        <w:spacing w:after="0" w:line="360" w:lineRule="auto"/>
        <w:ind w:firstLine="709"/>
        <w:jc w:val="center"/>
        <w:rPr>
          <w:sz w:val="28"/>
          <w:szCs w:val="28"/>
        </w:rPr>
      </w:pPr>
    </w:p>
    <w:p w:rsidR="00742B20" w:rsidRDefault="009D1BB0" w:rsidP="00742B20">
      <w:pPr>
        <w:spacing w:after="0" w:line="360" w:lineRule="auto"/>
        <w:ind w:firstLine="709"/>
        <w:jc w:val="center"/>
        <w:rPr>
          <w:sz w:val="28"/>
          <w:szCs w:val="28"/>
        </w:rPr>
      </w:pPr>
      <w:r w:rsidRPr="00742B20">
        <w:rPr>
          <w:sz w:val="28"/>
          <w:szCs w:val="28"/>
        </w:rPr>
        <w:t>Томск 2008</w:t>
      </w:r>
    </w:p>
    <w:p w:rsidR="009D1BB0" w:rsidRDefault="00742B20" w:rsidP="00742B20">
      <w:pPr>
        <w:spacing w:after="0" w:line="360" w:lineRule="auto"/>
        <w:ind w:firstLine="709"/>
        <w:jc w:val="both"/>
        <w:rPr>
          <w:b/>
          <w:sz w:val="28"/>
          <w:szCs w:val="28"/>
        </w:rPr>
      </w:pPr>
      <w:r>
        <w:rPr>
          <w:szCs w:val="28"/>
        </w:rPr>
        <w:br w:type="page"/>
      </w:r>
      <w:r>
        <w:rPr>
          <w:b/>
          <w:sz w:val="28"/>
          <w:szCs w:val="28"/>
        </w:rPr>
        <w:t>Содержание</w:t>
      </w:r>
    </w:p>
    <w:p w:rsidR="00742B20" w:rsidRPr="00742B20" w:rsidRDefault="00742B20" w:rsidP="00742B20">
      <w:pPr>
        <w:spacing w:after="0" w:line="360" w:lineRule="auto"/>
        <w:ind w:firstLine="709"/>
        <w:jc w:val="both"/>
        <w:rPr>
          <w:b/>
          <w:sz w:val="28"/>
          <w:szCs w:val="28"/>
        </w:rPr>
      </w:pPr>
    </w:p>
    <w:p w:rsidR="009D1BB0" w:rsidRPr="00742B20" w:rsidRDefault="009D1BB0" w:rsidP="00742B20">
      <w:pPr>
        <w:pStyle w:val="11"/>
        <w:tabs>
          <w:tab w:val="right" w:leader="dot" w:pos="9638"/>
        </w:tabs>
        <w:spacing w:after="0" w:line="360" w:lineRule="auto"/>
        <w:jc w:val="both"/>
        <w:rPr>
          <w:sz w:val="28"/>
          <w:szCs w:val="28"/>
        </w:rPr>
      </w:pPr>
      <w:r w:rsidRPr="00742B20">
        <w:rPr>
          <w:sz w:val="28"/>
          <w:szCs w:val="28"/>
        </w:rPr>
        <w:t>Введение</w:t>
      </w:r>
    </w:p>
    <w:p w:rsidR="009D1BB0" w:rsidRPr="00742B20" w:rsidRDefault="009D1BB0" w:rsidP="00742B20">
      <w:pPr>
        <w:pStyle w:val="2"/>
        <w:tabs>
          <w:tab w:val="right" w:leader="dot" w:pos="9638"/>
        </w:tabs>
        <w:spacing w:after="0" w:line="360" w:lineRule="auto"/>
        <w:ind w:left="0"/>
        <w:jc w:val="both"/>
        <w:rPr>
          <w:sz w:val="28"/>
          <w:szCs w:val="28"/>
        </w:rPr>
      </w:pPr>
      <w:r w:rsidRPr="00742B20">
        <w:rPr>
          <w:sz w:val="28"/>
          <w:szCs w:val="28"/>
        </w:rPr>
        <w:t>Космическое излучение</w:t>
      </w:r>
    </w:p>
    <w:p w:rsidR="009D1BB0" w:rsidRPr="00742B20" w:rsidRDefault="009D1BB0" w:rsidP="00742B20">
      <w:pPr>
        <w:rPr>
          <w:sz w:val="28"/>
          <w:szCs w:val="28"/>
        </w:rPr>
      </w:pPr>
      <w:r w:rsidRPr="00742B20">
        <w:rPr>
          <w:sz w:val="28"/>
          <w:szCs w:val="28"/>
        </w:rPr>
        <w:t>Космогенные радионуклиды</w:t>
      </w:r>
    </w:p>
    <w:p w:rsidR="009D1BB0" w:rsidRPr="00742B20" w:rsidRDefault="009D1BB0" w:rsidP="00742B20">
      <w:pPr>
        <w:pStyle w:val="11"/>
        <w:tabs>
          <w:tab w:val="right" w:leader="dot" w:pos="9638"/>
        </w:tabs>
        <w:spacing w:after="0" w:line="360" w:lineRule="auto"/>
        <w:jc w:val="both"/>
        <w:rPr>
          <w:sz w:val="28"/>
          <w:szCs w:val="28"/>
        </w:rPr>
      </w:pPr>
      <w:r w:rsidRPr="00742B20">
        <w:rPr>
          <w:sz w:val="28"/>
          <w:szCs w:val="28"/>
        </w:rPr>
        <w:t>Внешнее облучение от радионуклидов земного происхождения</w:t>
      </w:r>
    </w:p>
    <w:p w:rsidR="009D1BB0" w:rsidRPr="00742B20" w:rsidRDefault="009D1BB0" w:rsidP="00742B20">
      <w:pPr>
        <w:pStyle w:val="2"/>
        <w:tabs>
          <w:tab w:val="right" w:leader="dot" w:pos="9638"/>
        </w:tabs>
        <w:spacing w:after="0" w:line="360" w:lineRule="auto"/>
        <w:ind w:left="0"/>
        <w:jc w:val="both"/>
        <w:rPr>
          <w:sz w:val="28"/>
          <w:szCs w:val="28"/>
        </w:rPr>
      </w:pPr>
      <w:r w:rsidRPr="00742B20">
        <w:rPr>
          <w:sz w:val="28"/>
          <w:szCs w:val="28"/>
        </w:rPr>
        <w:t>Внутреннее облучение от радионуклидов земного происхождения</w:t>
      </w:r>
    </w:p>
    <w:p w:rsidR="00742B20" w:rsidRPr="00742B20" w:rsidRDefault="009D1BB0" w:rsidP="00742B20">
      <w:pPr>
        <w:rPr>
          <w:sz w:val="28"/>
          <w:szCs w:val="28"/>
        </w:rPr>
      </w:pPr>
      <w:r w:rsidRPr="00742B20">
        <w:rPr>
          <w:sz w:val="28"/>
          <w:szCs w:val="28"/>
        </w:rPr>
        <w:t>Список литературы</w:t>
      </w:r>
    </w:p>
    <w:p w:rsidR="00742B20" w:rsidRPr="00742B20" w:rsidRDefault="00742B20" w:rsidP="00742B20">
      <w:pPr>
        <w:pStyle w:val="3"/>
      </w:pPr>
      <w:r>
        <w:br w:type="page"/>
      </w:r>
      <w:r w:rsidRPr="00742B20">
        <w:t>Введение</w:t>
      </w:r>
    </w:p>
    <w:p w:rsidR="00742B20" w:rsidRPr="00742B20" w:rsidRDefault="00742B20" w:rsidP="00742B20">
      <w:pPr>
        <w:rPr>
          <w:sz w:val="28"/>
          <w:szCs w:val="28"/>
          <w:lang w:eastAsia="en-US"/>
        </w:rPr>
      </w:pPr>
    </w:p>
    <w:p w:rsidR="009D1BB0" w:rsidRPr="00742B20" w:rsidRDefault="009D1BB0" w:rsidP="00742B20">
      <w:pPr>
        <w:spacing w:after="0" w:line="360" w:lineRule="auto"/>
        <w:ind w:firstLine="709"/>
        <w:jc w:val="both"/>
        <w:rPr>
          <w:sz w:val="28"/>
          <w:szCs w:val="28"/>
        </w:rPr>
      </w:pPr>
      <w:r w:rsidRPr="00742B20">
        <w:rPr>
          <w:sz w:val="28"/>
          <w:szCs w:val="28"/>
        </w:rPr>
        <w:t>Избежать облучения ионизирующим излучением невозможно. Жизнь на Земле возникла и продолжает развиваться в условиях постоянного облучения. Радиационный фон Земли складывается из трех компонентов:</w:t>
      </w:r>
    </w:p>
    <w:p w:rsidR="009D1BB0" w:rsidRPr="00742B20" w:rsidRDefault="009D1BB0" w:rsidP="00742B20">
      <w:pPr>
        <w:pStyle w:val="a8"/>
        <w:numPr>
          <w:ilvl w:val="0"/>
          <w:numId w:val="1"/>
        </w:numPr>
        <w:spacing w:after="0" w:line="360" w:lineRule="auto"/>
        <w:ind w:left="0" w:firstLine="709"/>
        <w:jc w:val="both"/>
        <w:rPr>
          <w:sz w:val="28"/>
          <w:szCs w:val="28"/>
        </w:rPr>
      </w:pPr>
      <w:r w:rsidRPr="00742B20">
        <w:rPr>
          <w:sz w:val="28"/>
          <w:szCs w:val="28"/>
        </w:rPr>
        <w:t>космическое излучение;</w:t>
      </w:r>
    </w:p>
    <w:p w:rsidR="009D1BB0" w:rsidRPr="00742B20" w:rsidRDefault="009D1BB0" w:rsidP="00742B20">
      <w:pPr>
        <w:pStyle w:val="a8"/>
        <w:numPr>
          <w:ilvl w:val="0"/>
          <w:numId w:val="1"/>
        </w:numPr>
        <w:spacing w:after="0" w:line="360" w:lineRule="auto"/>
        <w:ind w:left="0" w:firstLine="709"/>
        <w:jc w:val="both"/>
        <w:rPr>
          <w:sz w:val="28"/>
          <w:szCs w:val="28"/>
        </w:rPr>
      </w:pPr>
      <w:r w:rsidRPr="00742B20">
        <w:rPr>
          <w:sz w:val="28"/>
          <w:szCs w:val="28"/>
        </w:rPr>
        <w:t>излучение от</w:t>
      </w:r>
      <w:r w:rsidR="00742B20">
        <w:rPr>
          <w:sz w:val="28"/>
          <w:szCs w:val="28"/>
        </w:rPr>
        <w:t xml:space="preserve"> </w:t>
      </w:r>
      <w:r w:rsidRPr="00742B20">
        <w:rPr>
          <w:sz w:val="28"/>
          <w:szCs w:val="28"/>
        </w:rPr>
        <w:t>рассеянных в земной коре, воздухе и других объектах внешней среды природных радионуклидов;</w:t>
      </w:r>
    </w:p>
    <w:p w:rsidR="009D1BB0" w:rsidRPr="00742B20" w:rsidRDefault="009D1BB0" w:rsidP="00742B20">
      <w:pPr>
        <w:pStyle w:val="a8"/>
        <w:numPr>
          <w:ilvl w:val="0"/>
          <w:numId w:val="1"/>
        </w:numPr>
        <w:spacing w:after="0" w:line="360" w:lineRule="auto"/>
        <w:ind w:left="0" w:firstLine="709"/>
        <w:jc w:val="both"/>
        <w:rPr>
          <w:sz w:val="28"/>
          <w:szCs w:val="28"/>
        </w:rPr>
      </w:pPr>
      <w:r w:rsidRPr="00742B20">
        <w:rPr>
          <w:sz w:val="28"/>
          <w:szCs w:val="28"/>
        </w:rPr>
        <w:t>излучение от искусственных (техногенных) радионуклидов.</w:t>
      </w:r>
    </w:p>
    <w:p w:rsidR="00742B20" w:rsidRDefault="009D1BB0" w:rsidP="00742B20">
      <w:pPr>
        <w:pStyle w:val="a8"/>
        <w:spacing w:after="0" w:line="360" w:lineRule="auto"/>
        <w:ind w:left="0" w:firstLine="709"/>
        <w:jc w:val="both"/>
        <w:rPr>
          <w:sz w:val="28"/>
          <w:szCs w:val="28"/>
        </w:rPr>
      </w:pPr>
      <w:r w:rsidRPr="00742B20">
        <w:rPr>
          <w:sz w:val="28"/>
          <w:szCs w:val="28"/>
        </w:rPr>
        <w:t>Облучение по критерию месторасположения источников излучения делится на внешнее и внутреннее. Внешнее облучение обусловлено источниками, расположенными вне тела человека. Источниками внешнего облучения являются космическое излучение и наземные источники. Источником внутреннего облучения являются радионуклиды, находившиеся в организме человека.</w:t>
      </w:r>
    </w:p>
    <w:p w:rsidR="009D1BB0" w:rsidRPr="00742B20" w:rsidRDefault="00742B20" w:rsidP="00742B20">
      <w:pPr>
        <w:pStyle w:val="a8"/>
        <w:spacing w:after="0" w:line="360" w:lineRule="auto"/>
        <w:ind w:left="0" w:firstLine="709"/>
        <w:jc w:val="both"/>
        <w:rPr>
          <w:b/>
          <w:sz w:val="28"/>
          <w:szCs w:val="28"/>
        </w:rPr>
      </w:pPr>
      <w:r>
        <w:rPr>
          <w:sz w:val="28"/>
          <w:szCs w:val="28"/>
        </w:rPr>
        <w:br w:type="page"/>
      </w:r>
      <w:r w:rsidRPr="00742B20">
        <w:rPr>
          <w:b/>
          <w:sz w:val="28"/>
          <w:szCs w:val="28"/>
        </w:rPr>
        <w:t>Космическое излучение</w:t>
      </w:r>
    </w:p>
    <w:p w:rsidR="00742B20" w:rsidRPr="00742B20" w:rsidRDefault="00742B2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Космическое излучение складывается из частиц, захваченных магнитным полем Земли, галактического космического излучения и корпускулярного излучения Солнца. В его состав входят в основном электроны, протоны и альфа-частицы. Это так называемое первичное космическое излучение, взаимодействуя с атмосферой Земли, порождает вторичное излучение. В результате на уровне моря излучение состоит почти полностью из мюонов (подавляющая часть) и нейтронов.</w:t>
      </w:r>
    </w:p>
    <w:p w:rsidR="009D1BB0" w:rsidRPr="00742B20" w:rsidRDefault="009D1BB0" w:rsidP="00742B20">
      <w:pPr>
        <w:pStyle w:val="a8"/>
        <w:spacing w:after="0" w:line="360" w:lineRule="auto"/>
        <w:ind w:left="0" w:firstLine="709"/>
        <w:jc w:val="both"/>
        <w:rPr>
          <w:sz w:val="28"/>
          <w:szCs w:val="28"/>
        </w:rPr>
      </w:pPr>
      <w:r w:rsidRPr="00742B20">
        <w:rPr>
          <w:sz w:val="28"/>
          <w:szCs w:val="28"/>
        </w:rPr>
        <w:t>Поглощенная мощность дозы космического излучения в воздухе на уровне моря равна 32 нГр/час и формируется в основном мюонами. Для нейтронов на уровне моря мощность поглощенной дозы составляет 0,8 нГр/час и мощность эквивалентной дозы составляет 2,4 нЗв/час. За счет космического излучения большинство населения получает дозу, равную около 0,35 мЗв в год.</w:t>
      </w:r>
    </w:p>
    <w:p w:rsidR="00742B20" w:rsidRDefault="009D1BB0" w:rsidP="00742B20">
      <w:pPr>
        <w:pStyle w:val="a8"/>
        <w:spacing w:after="0" w:line="360" w:lineRule="auto"/>
        <w:ind w:left="0" w:firstLine="709"/>
        <w:jc w:val="both"/>
        <w:rPr>
          <w:sz w:val="28"/>
          <w:szCs w:val="28"/>
        </w:rPr>
      </w:pPr>
      <w:r w:rsidRPr="00742B20">
        <w:rPr>
          <w:sz w:val="28"/>
          <w:szCs w:val="28"/>
        </w:rPr>
        <w:t>Космическому внешнему облучению подвергается вся поверхность Земли. Однако облучение это неравномерно. Интенсивность космического излучения зависит от солнечной активности, географического положения объекта и возрастает с высотой над уровнем моря. Наиболее интенсивно оно на Северном и Южном полюсах, менее интенсивно в экваториальных областях. Причина этого – магнитное поле Земли, отклоняющие заряженные частицы космического излучения. Наибольший эффект действия космического внешнего облучения связан с зависимостью космического излучения от высоты (рис. 1).</w:t>
      </w:r>
    </w:p>
    <w:p w:rsidR="009D1BB0" w:rsidRPr="00742B20" w:rsidRDefault="00742B20" w:rsidP="00742B20">
      <w:pPr>
        <w:pStyle w:val="a8"/>
        <w:spacing w:after="0" w:line="360" w:lineRule="auto"/>
        <w:ind w:left="0" w:firstLine="709"/>
        <w:jc w:val="both"/>
        <w:rPr>
          <w:sz w:val="28"/>
          <w:szCs w:val="28"/>
        </w:rPr>
      </w:pPr>
      <w:r>
        <w:rPr>
          <w:sz w:val="28"/>
          <w:szCs w:val="28"/>
        </w:rPr>
        <w:br w:type="page"/>
      </w:r>
      <w:r w:rsidR="00F368E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i1025" type="#_x0000_t75" style="width:247.5pt;height:133.5pt;visibility:visible">
            <v:imagedata r:id="rId7" o:title=""/>
          </v:shape>
        </w:pict>
      </w:r>
    </w:p>
    <w:p w:rsidR="009D1BB0" w:rsidRDefault="009D1BB0" w:rsidP="00742B20">
      <w:pPr>
        <w:pStyle w:val="a8"/>
        <w:spacing w:after="0" w:line="360" w:lineRule="auto"/>
        <w:ind w:left="0" w:firstLine="709"/>
        <w:jc w:val="both"/>
        <w:rPr>
          <w:sz w:val="28"/>
          <w:szCs w:val="26"/>
        </w:rPr>
      </w:pPr>
      <w:r w:rsidRPr="00742B20">
        <w:rPr>
          <w:sz w:val="28"/>
          <w:szCs w:val="26"/>
        </w:rPr>
        <w:t>Рис. 1. Величина солнечного излучения во время максимальной и минимальной активности солнечного цикла в зависимости от высоты местности над уровнем моря и географической широты.</w:t>
      </w:r>
    </w:p>
    <w:p w:rsidR="00742B20" w:rsidRPr="00742B20" w:rsidRDefault="00742B20" w:rsidP="00742B20">
      <w:pPr>
        <w:pStyle w:val="a8"/>
        <w:spacing w:after="0" w:line="360" w:lineRule="auto"/>
        <w:ind w:left="0" w:firstLine="709"/>
        <w:jc w:val="both"/>
        <w:rPr>
          <w:sz w:val="28"/>
          <w:szCs w:val="26"/>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 xml:space="preserve">Солнечные вспышки представляют собой радиационную опасность во время космических полетов. Космические лучи, идущие от Солнца, в основном состоят из протонов широкого энергетического спектра (энергия протонов до 100 МзВ), заряженные частицы Солнца способны достигать Земли через 15-20 мин после того, как вспышка на его поверхности становиться видимой. Длительность вспышки может достигать нескольких часов. </w:t>
      </w:r>
    </w:p>
    <w:p w:rsidR="009D1BB0" w:rsidRPr="00742B20" w:rsidRDefault="009D1BB0" w:rsidP="00742B20">
      <w:pPr>
        <w:pStyle w:val="a8"/>
        <w:spacing w:after="0" w:line="360" w:lineRule="auto"/>
        <w:ind w:left="0" w:firstLine="709"/>
        <w:jc w:val="both"/>
        <w:rPr>
          <w:sz w:val="28"/>
          <w:szCs w:val="28"/>
        </w:rPr>
      </w:pPr>
      <w:r w:rsidRPr="00742B20">
        <w:rPr>
          <w:sz w:val="28"/>
          <w:szCs w:val="28"/>
        </w:rPr>
        <w:t xml:space="preserve">Величина дозы радиоактивного облучения, получаемая человеком, зависит от географического местоположения, образа жизни и характера труда. Например на высоте </w:t>
      </w:r>
      <w:smartTag w:uri="urn:schemas-microsoft-com:office:smarttags" w:element="metricconverter">
        <w:smartTagPr>
          <w:attr w:name="ProductID" w:val="8 км"/>
        </w:smartTagPr>
        <w:r w:rsidRPr="00742B20">
          <w:rPr>
            <w:sz w:val="28"/>
            <w:szCs w:val="28"/>
          </w:rPr>
          <w:t>8 км</w:t>
        </w:r>
      </w:smartTag>
      <w:r w:rsidRPr="00742B20">
        <w:rPr>
          <w:sz w:val="28"/>
          <w:szCs w:val="28"/>
        </w:rPr>
        <w:t xml:space="preserve"> мощность эффективной дозы составляет 2 м</w:t>
      </w:r>
      <w:r w:rsidRPr="00742B20">
        <w:rPr>
          <w:sz w:val="28"/>
          <w:szCs w:val="28"/>
          <w:lang w:val="en-US"/>
        </w:rPr>
        <w:t>r</w:t>
      </w:r>
      <w:r w:rsidRPr="00742B20">
        <w:rPr>
          <w:sz w:val="28"/>
          <w:szCs w:val="28"/>
        </w:rPr>
        <w:t xml:space="preserve">Зв/час, что приводит к дополнительному облучению при авиаперевозках. </w:t>
      </w:r>
    </w:p>
    <w:p w:rsidR="00742B20" w:rsidRDefault="009D1BB0" w:rsidP="00742B20">
      <w:pPr>
        <w:pStyle w:val="a8"/>
        <w:spacing w:after="0" w:line="360" w:lineRule="auto"/>
        <w:ind w:left="0" w:firstLine="709"/>
        <w:jc w:val="both"/>
        <w:rPr>
          <w:sz w:val="28"/>
          <w:szCs w:val="28"/>
        </w:rPr>
      </w:pPr>
      <w:r w:rsidRPr="00742B20">
        <w:rPr>
          <w:sz w:val="28"/>
          <w:szCs w:val="28"/>
        </w:rPr>
        <w:t>При трансконтинентальном перелете на обычном турбовинтовом самолете, летящем со скоростью ниже скорости звука (Т</w:t>
      </w:r>
      <w:r w:rsidRPr="00742B20">
        <w:rPr>
          <w:sz w:val="28"/>
          <w:szCs w:val="28"/>
          <w:vertAlign w:val="subscript"/>
        </w:rPr>
        <w:t>полета</w:t>
      </w:r>
      <w:r w:rsidRPr="00742B20">
        <w:rPr>
          <w:sz w:val="28"/>
          <w:szCs w:val="28"/>
        </w:rPr>
        <w:fldChar w:fldCharType="begin"/>
      </w:r>
      <w:r w:rsidRPr="00742B20">
        <w:rPr>
          <w:sz w:val="28"/>
          <w:szCs w:val="28"/>
        </w:rPr>
        <w:instrText xml:space="preserve"> QUOTE </w:instrText>
      </w:r>
      <w:r w:rsidR="00F368EC">
        <w:rPr>
          <w:sz w:val="28"/>
        </w:rPr>
        <w:pict>
          <v:shape id="_x0000_i1026" type="#_x0000_t75" style="width:6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autoHyphenation/&gt;&lt;w:hyphenationZone w:val=&quot;35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2217A&quot;/&gt;&lt;wsp:rsid wsp:val=&quot;000270A3&quot;/&gt;&lt;wsp:rsid wsp:val=&quot;00051EF7&quot;/&gt;&lt;wsp:rsid wsp:val=&quot;000D5F5F&quot;/&gt;&lt;wsp:rsid wsp:val=&quot;00162290&quot;/&gt;&lt;wsp:rsid wsp:val=&quot;00373D25&quot;/&gt;&lt;wsp:rsid wsp:val=&quot;004A4CC0&quot;/&gt;&lt;wsp:rsid wsp:val=&quot;005F3709&quot;/&gt;&lt;wsp:rsid wsp:val=&quot;00605A8C&quot;/&gt;&lt;wsp:rsid wsp:val=&quot;0070155C&quot;/&gt;&lt;wsp:rsid wsp:val=&quot;00774CE4&quot;/&gt;&lt;wsp:rsid wsp:val=&quot;00856BA2&quot;/&gt;&lt;wsp:rsid wsp:val=&quot;00877733&quot;/&gt;&lt;wsp:rsid wsp:val=&quot;009548F2&quot;/&gt;&lt;wsp:rsid wsp:val=&quot;00A87C84&quot;/&gt;&lt;wsp:rsid wsp:val=&quot;00B2217A&quot;/&gt;&lt;wsp:rsid wsp:val=&quot;00B378F1&quot;/&gt;&lt;wsp:rsid wsp:val=&quot;00BF1983&quot;/&gt;&lt;wsp:rsid wsp:val=&quot;00C42B10&quot;/&gt;&lt;wsp:rsid wsp:val=&quot;00C503B2&quot;/&gt;&lt;wsp:rsid wsp:val=&quot;00C63BA6&quot;/&gt;&lt;wsp:rsid wsp:val=&quot;00D87A32&quot;/&gt;&lt;wsp:rsid wsp:val=&quot;00E20B90&quot;/&gt;&lt;wsp:rsid wsp:val=&quot;00E23092&quot;/&gt;&lt;wsp:rsid wsp:val=&quot;00E239A9&quot;/&gt;&lt;wsp:rsid wsp:val=&quot;00E33B09&quot;/&gt;&lt;wsp:rsid wsp:val=&quot;00EE6443&quot;/&gt;&lt;wsp:rsid wsp:val=&quot;00FD4269&quot;/&gt;&lt;wsp:rsid wsp:val=&quot;00FE4DED&quot;/&gt;&lt;/wsp:rsids&gt;&lt;/w:docPr&gt;&lt;w:body&gt;&lt;w:p wsp:rsidR=&quot;00000000&quot; wsp:rsidRDefault=&quot;00877733&quot;&gt;&lt;m:oMathPara&gt;&lt;m:oMath&gt;&lt;m:r&gt;&lt;w:rPr&gt;&lt;w:rFonts w:ascii=&quot;Cambria Math&quot; w:h-ansi=&quot;Cambria Math&quot;/&gt;&lt;wx:font wx:val=&quot;Cambria Math&quot;/&gt;&lt;w:i/&gt;&lt;w:sz w:val=&quot;28&quot;/&gt;&lt;w:sz-cs w:val=&quot;28&quot;/&gt;&lt;w:vertAlign w:val=&quot;subscript&quot;/&gt;&lt;/w:rPr&gt;&lt;m:t&gt;в‰€7,5 С‡Р°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42B20">
        <w:rPr>
          <w:sz w:val="28"/>
          <w:szCs w:val="28"/>
        </w:rPr>
        <w:instrText xml:space="preserve"> </w:instrText>
      </w:r>
      <w:r w:rsidRPr="00742B20">
        <w:rPr>
          <w:sz w:val="28"/>
          <w:szCs w:val="28"/>
        </w:rPr>
        <w:fldChar w:fldCharType="separate"/>
      </w:r>
      <w:r w:rsidR="00F368EC">
        <w:rPr>
          <w:sz w:val="28"/>
        </w:rPr>
        <w:pict>
          <v:shape id="_x0000_i1027" type="#_x0000_t75" style="width:6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autoHyphenation/&gt;&lt;w:hyphenationZone w:val=&quot;35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2217A&quot;/&gt;&lt;wsp:rsid wsp:val=&quot;000270A3&quot;/&gt;&lt;wsp:rsid wsp:val=&quot;00051EF7&quot;/&gt;&lt;wsp:rsid wsp:val=&quot;000D5F5F&quot;/&gt;&lt;wsp:rsid wsp:val=&quot;00162290&quot;/&gt;&lt;wsp:rsid wsp:val=&quot;00373D25&quot;/&gt;&lt;wsp:rsid wsp:val=&quot;004A4CC0&quot;/&gt;&lt;wsp:rsid wsp:val=&quot;005F3709&quot;/&gt;&lt;wsp:rsid wsp:val=&quot;00605A8C&quot;/&gt;&lt;wsp:rsid wsp:val=&quot;0070155C&quot;/&gt;&lt;wsp:rsid wsp:val=&quot;00774CE4&quot;/&gt;&lt;wsp:rsid wsp:val=&quot;00856BA2&quot;/&gt;&lt;wsp:rsid wsp:val=&quot;00877733&quot;/&gt;&lt;wsp:rsid wsp:val=&quot;009548F2&quot;/&gt;&lt;wsp:rsid wsp:val=&quot;00A87C84&quot;/&gt;&lt;wsp:rsid wsp:val=&quot;00B2217A&quot;/&gt;&lt;wsp:rsid wsp:val=&quot;00B378F1&quot;/&gt;&lt;wsp:rsid wsp:val=&quot;00BF1983&quot;/&gt;&lt;wsp:rsid wsp:val=&quot;00C42B10&quot;/&gt;&lt;wsp:rsid wsp:val=&quot;00C503B2&quot;/&gt;&lt;wsp:rsid wsp:val=&quot;00C63BA6&quot;/&gt;&lt;wsp:rsid wsp:val=&quot;00D87A32&quot;/&gt;&lt;wsp:rsid wsp:val=&quot;00E20B90&quot;/&gt;&lt;wsp:rsid wsp:val=&quot;00E23092&quot;/&gt;&lt;wsp:rsid wsp:val=&quot;00E239A9&quot;/&gt;&lt;wsp:rsid wsp:val=&quot;00E33B09&quot;/&gt;&lt;wsp:rsid wsp:val=&quot;00EE6443&quot;/&gt;&lt;wsp:rsid wsp:val=&quot;00FD4269&quot;/&gt;&lt;wsp:rsid wsp:val=&quot;00FE4DED&quot;/&gt;&lt;/wsp:rsids&gt;&lt;/w:docPr&gt;&lt;w:body&gt;&lt;w:p wsp:rsidR=&quot;00000000&quot; wsp:rsidRDefault=&quot;00877733&quot;&gt;&lt;m:oMathPara&gt;&lt;m:oMath&gt;&lt;m:r&gt;&lt;w:rPr&gt;&lt;w:rFonts w:ascii=&quot;Cambria Math&quot; w:h-ansi=&quot;Cambria Math&quot;/&gt;&lt;wx:font wx:val=&quot;Cambria Math&quot;/&gt;&lt;w:i/&gt;&lt;w:sz w:val=&quot;28&quot;/&gt;&lt;w:sz-cs w:val=&quot;28&quot;/&gt;&lt;w:vertAlign w:val=&quot;subscript&quot;/&gt;&lt;/w:rPr&gt;&lt;m:t&gt;в‰€7,5 С‡Р°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Pr="00742B20">
        <w:rPr>
          <w:sz w:val="28"/>
          <w:szCs w:val="28"/>
        </w:rPr>
        <w:fldChar w:fldCharType="end"/>
      </w:r>
      <w:r w:rsidRPr="00742B20">
        <w:rPr>
          <w:sz w:val="28"/>
          <w:szCs w:val="28"/>
        </w:rPr>
        <w:t>),</w:t>
      </w:r>
      <w:r w:rsidR="00742B20">
        <w:rPr>
          <w:sz w:val="28"/>
          <w:szCs w:val="28"/>
        </w:rPr>
        <w:t xml:space="preserve"> </w:t>
      </w:r>
      <w:r w:rsidRPr="00742B20">
        <w:rPr>
          <w:sz w:val="28"/>
          <w:szCs w:val="28"/>
        </w:rPr>
        <w:t>индивидуальная доза, получаемая пассажиром (50 мкЗв), на 20% больше, чем доза, полученная пассажиром сверхзвукового самолета (Т</w:t>
      </w:r>
      <w:r w:rsidRPr="00742B20">
        <w:rPr>
          <w:sz w:val="28"/>
          <w:szCs w:val="28"/>
          <w:vertAlign w:val="subscript"/>
        </w:rPr>
        <w:t>полета</w:t>
      </w:r>
      <w:r w:rsidRPr="00742B20">
        <w:rPr>
          <w:sz w:val="28"/>
          <w:szCs w:val="28"/>
        </w:rPr>
        <w:fldChar w:fldCharType="begin"/>
      </w:r>
      <w:r w:rsidRPr="00742B20">
        <w:rPr>
          <w:sz w:val="28"/>
          <w:szCs w:val="28"/>
        </w:rPr>
        <w:instrText xml:space="preserve"> QUOTE </w:instrText>
      </w:r>
      <w:r w:rsidR="00F368EC">
        <w:rPr>
          <w:sz w:val="28"/>
        </w:rPr>
        <w:pict>
          <v:shape id="_x0000_i1028" type="#_x0000_t75" style="width:6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autoHyphenation/&gt;&lt;w:hyphenationZone w:val=&quot;35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2217A&quot;/&gt;&lt;wsp:rsid wsp:val=&quot;00021491&quot;/&gt;&lt;wsp:rsid wsp:val=&quot;000270A3&quot;/&gt;&lt;wsp:rsid wsp:val=&quot;00051EF7&quot;/&gt;&lt;wsp:rsid wsp:val=&quot;000D5F5F&quot;/&gt;&lt;wsp:rsid wsp:val=&quot;00162290&quot;/&gt;&lt;wsp:rsid wsp:val=&quot;00373D25&quot;/&gt;&lt;wsp:rsid wsp:val=&quot;004A4CC0&quot;/&gt;&lt;wsp:rsid wsp:val=&quot;005F3709&quot;/&gt;&lt;wsp:rsid wsp:val=&quot;00605A8C&quot;/&gt;&lt;wsp:rsid wsp:val=&quot;0070155C&quot;/&gt;&lt;wsp:rsid wsp:val=&quot;00774CE4&quot;/&gt;&lt;wsp:rsid wsp:val=&quot;00856BA2&quot;/&gt;&lt;wsp:rsid wsp:val=&quot;009548F2&quot;/&gt;&lt;wsp:rsid wsp:val=&quot;00A87C84&quot;/&gt;&lt;wsp:rsid wsp:val=&quot;00B2217A&quot;/&gt;&lt;wsp:rsid wsp:val=&quot;00B378F1&quot;/&gt;&lt;wsp:rsid wsp:val=&quot;00BF1983&quot;/&gt;&lt;wsp:rsid wsp:val=&quot;00C42B10&quot;/&gt;&lt;wsp:rsid wsp:val=&quot;00C503B2&quot;/&gt;&lt;wsp:rsid wsp:val=&quot;00C63BA6&quot;/&gt;&lt;wsp:rsid wsp:val=&quot;00D87A32&quot;/&gt;&lt;wsp:rsid wsp:val=&quot;00E20B90&quot;/&gt;&lt;wsp:rsid wsp:val=&quot;00E23092&quot;/&gt;&lt;wsp:rsid wsp:val=&quot;00E239A9&quot;/&gt;&lt;wsp:rsid wsp:val=&quot;00E33B09&quot;/&gt;&lt;wsp:rsid wsp:val=&quot;00EE6443&quot;/&gt;&lt;wsp:rsid wsp:val=&quot;00FD4269&quot;/&gt;&lt;wsp:rsid wsp:val=&quot;00FE4DED&quot;/&gt;&lt;/wsp:rsids&gt;&lt;/w:docPr&gt;&lt;w:body&gt;&lt;w:p wsp:rsidR=&quot;00000000&quot; wsp:rsidRDefault=&quot;00021491&quot;&gt;&lt;m:oMathPara&gt;&lt;m:oMath&gt;&lt;m:r&gt;&lt;w:rPr&gt;&lt;w:rFonts w:ascii=&quot;Cambria Math&quot; w:h-ansi=&quot;Cambria Math&quot;/&gt;&lt;wx:font wx:val=&quot;Cambria Math&quot;/&gt;&lt;w:i/&gt;&lt;w:sz w:val=&quot;28&quot;/&gt;&lt;w:sz-cs w:val=&quot;28&quot;/&gt;&lt;w:vertAlign w:val=&quot;subscript&quot;/&gt;&lt;/w:rPr&gt;&lt;m:t&gt;в‰€2,5 С‡Р°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742B20">
        <w:rPr>
          <w:sz w:val="28"/>
          <w:szCs w:val="28"/>
        </w:rPr>
        <w:instrText xml:space="preserve"> </w:instrText>
      </w:r>
      <w:r w:rsidRPr="00742B20">
        <w:rPr>
          <w:sz w:val="28"/>
          <w:szCs w:val="28"/>
        </w:rPr>
        <w:fldChar w:fldCharType="separate"/>
      </w:r>
      <w:r w:rsidR="00F368EC">
        <w:rPr>
          <w:sz w:val="28"/>
        </w:rPr>
        <w:pict>
          <v:shape id="_x0000_i1029" type="#_x0000_t75" style="width:6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autoHyphenation/&gt;&lt;w:hyphenationZone w:val=&quot;35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2217A&quot;/&gt;&lt;wsp:rsid wsp:val=&quot;00021491&quot;/&gt;&lt;wsp:rsid wsp:val=&quot;000270A3&quot;/&gt;&lt;wsp:rsid wsp:val=&quot;00051EF7&quot;/&gt;&lt;wsp:rsid wsp:val=&quot;000D5F5F&quot;/&gt;&lt;wsp:rsid wsp:val=&quot;00162290&quot;/&gt;&lt;wsp:rsid wsp:val=&quot;00373D25&quot;/&gt;&lt;wsp:rsid wsp:val=&quot;004A4CC0&quot;/&gt;&lt;wsp:rsid wsp:val=&quot;005F3709&quot;/&gt;&lt;wsp:rsid wsp:val=&quot;00605A8C&quot;/&gt;&lt;wsp:rsid wsp:val=&quot;0070155C&quot;/&gt;&lt;wsp:rsid wsp:val=&quot;00774CE4&quot;/&gt;&lt;wsp:rsid wsp:val=&quot;00856BA2&quot;/&gt;&lt;wsp:rsid wsp:val=&quot;009548F2&quot;/&gt;&lt;wsp:rsid wsp:val=&quot;00A87C84&quot;/&gt;&lt;wsp:rsid wsp:val=&quot;00B2217A&quot;/&gt;&lt;wsp:rsid wsp:val=&quot;00B378F1&quot;/&gt;&lt;wsp:rsid wsp:val=&quot;00BF1983&quot;/&gt;&lt;wsp:rsid wsp:val=&quot;00C42B10&quot;/&gt;&lt;wsp:rsid wsp:val=&quot;00C503B2&quot;/&gt;&lt;wsp:rsid wsp:val=&quot;00C63BA6&quot;/&gt;&lt;wsp:rsid wsp:val=&quot;00D87A32&quot;/&gt;&lt;wsp:rsid wsp:val=&quot;00E20B90&quot;/&gt;&lt;wsp:rsid wsp:val=&quot;00E23092&quot;/&gt;&lt;wsp:rsid wsp:val=&quot;00E239A9&quot;/&gt;&lt;wsp:rsid wsp:val=&quot;00E33B09&quot;/&gt;&lt;wsp:rsid wsp:val=&quot;00EE6443&quot;/&gt;&lt;wsp:rsid wsp:val=&quot;00FD4269&quot;/&gt;&lt;wsp:rsid wsp:val=&quot;00FE4DED&quot;/&gt;&lt;/wsp:rsids&gt;&lt;/w:docPr&gt;&lt;w:body&gt;&lt;w:p wsp:rsidR=&quot;00000000&quot; wsp:rsidRDefault=&quot;00021491&quot;&gt;&lt;m:oMathPara&gt;&lt;m:oMath&gt;&lt;m:r&gt;&lt;w:rPr&gt;&lt;w:rFonts w:ascii=&quot;Cambria Math&quot; w:h-ansi=&quot;Cambria Math&quot;/&gt;&lt;wx:font wx:val=&quot;Cambria Math&quot;/&gt;&lt;w:i/&gt;&lt;w:sz w:val=&quot;28&quot;/&gt;&lt;w:sz-cs w:val=&quot;28&quot;/&gt;&lt;w:vertAlign w:val=&quot;subscript&quot;/&gt;&lt;/w:rPr&gt;&lt;m:t&gt;в‰€2,5 С‡Р°СЃ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742B20">
        <w:rPr>
          <w:sz w:val="28"/>
          <w:szCs w:val="28"/>
        </w:rPr>
        <w:fldChar w:fldCharType="end"/>
      </w:r>
      <w:r w:rsidRPr="00742B20">
        <w:rPr>
          <w:sz w:val="28"/>
          <w:szCs w:val="28"/>
        </w:rPr>
        <w:t>) (40 мкЗв), хотя последний подвергается более интенсивному облучению из-за большей высоты полета. Коллективная эффективная доза от глобальных авиаперевозок достигает 10</w:t>
      </w:r>
      <w:r w:rsidRPr="00742B20">
        <w:rPr>
          <w:sz w:val="28"/>
          <w:szCs w:val="28"/>
          <w:vertAlign w:val="superscript"/>
        </w:rPr>
        <w:t>4</w:t>
      </w:r>
      <w:r w:rsidRPr="00742B20">
        <w:rPr>
          <w:sz w:val="28"/>
          <w:szCs w:val="28"/>
        </w:rPr>
        <w:t xml:space="preserve"> чел-Зв, что составляет на душу населения в мире в среднем около 1 мкЗв за год, а в Северной Америке около 10 мкЗв.</w:t>
      </w:r>
    </w:p>
    <w:p w:rsidR="009D1BB0" w:rsidRPr="00742B20" w:rsidRDefault="00742B20" w:rsidP="00742B20">
      <w:pPr>
        <w:pStyle w:val="a8"/>
        <w:spacing w:after="0" w:line="360" w:lineRule="auto"/>
        <w:ind w:left="0" w:firstLine="709"/>
        <w:jc w:val="both"/>
        <w:rPr>
          <w:b/>
          <w:sz w:val="28"/>
          <w:szCs w:val="28"/>
        </w:rPr>
      </w:pPr>
      <w:r>
        <w:rPr>
          <w:sz w:val="28"/>
          <w:szCs w:val="28"/>
        </w:rPr>
        <w:br w:type="page"/>
      </w:r>
      <w:r w:rsidRPr="00742B20">
        <w:rPr>
          <w:b/>
          <w:sz w:val="28"/>
          <w:szCs w:val="28"/>
        </w:rPr>
        <w:t>Космогенные радионуклиды</w:t>
      </w:r>
    </w:p>
    <w:p w:rsidR="00742B20" w:rsidRPr="00742B20" w:rsidRDefault="00742B2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В результате ядерных реакций, идущих в атмосфере (а частично и в литосфере) под влиянием космических лучей, образуются радиоактивные ядра</w:t>
      </w:r>
      <w:r w:rsidR="00742B20">
        <w:rPr>
          <w:sz w:val="28"/>
          <w:szCs w:val="28"/>
        </w:rPr>
        <w:t xml:space="preserve"> </w:t>
      </w:r>
      <w:r w:rsidRPr="00742B20">
        <w:rPr>
          <w:sz w:val="28"/>
          <w:szCs w:val="28"/>
        </w:rPr>
        <w:t>-</w:t>
      </w:r>
      <w:r w:rsidR="00742B20">
        <w:rPr>
          <w:sz w:val="28"/>
          <w:szCs w:val="28"/>
        </w:rPr>
        <w:t xml:space="preserve"> </w:t>
      </w:r>
      <w:r w:rsidRPr="00742B20">
        <w:rPr>
          <w:sz w:val="28"/>
          <w:szCs w:val="28"/>
        </w:rPr>
        <w:t xml:space="preserve">космогенные радионуклиды. Например, </w:t>
      </w:r>
      <w:r w:rsidRPr="00742B20">
        <w:rPr>
          <w:sz w:val="28"/>
          <w:szCs w:val="28"/>
        </w:rPr>
        <w:fldChar w:fldCharType="begin"/>
      </w:r>
      <w:r w:rsidRPr="00742B20">
        <w:rPr>
          <w:sz w:val="28"/>
          <w:szCs w:val="28"/>
        </w:rPr>
        <w:instrText xml:space="preserve"> </w:instrText>
      </w:r>
      <w:r w:rsidRPr="00742B20">
        <w:rPr>
          <w:sz w:val="28"/>
          <w:szCs w:val="28"/>
          <w:lang w:val="en-US"/>
        </w:rPr>
        <w:instrText>QUOTE</w:instrText>
      </w:r>
      <w:r w:rsidRPr="00742B20">
        <w:rPr>
          <w:sz w:val="28"/>
          <w:szCs w:val="28"/>
        </w:rPr>
        <w:instrText xml:space="preserve"> </w:instrText>
      </w:r>
      <w:r w:rsidR="00F368EC">
        <w:rPr>
          <w:sz w:val="28"/>
        </w:rPr>
        <w:pict>
          <v:shape id="_x0000_i1030" type="#_x0000_t75" style="width:63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autoHyphenation/&gt;&lt;w:hyphenationZone w:val=&quot;35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2217A&quot;/&gt;&lt;wsp:rsid wsp:val=&quot;000270A3&quot;/&gt;&lt;wsp:rsid wsp:val=&quot;00051EF7&quot;/&gt;&lt;wsp:rsid wsp:val=&quot;000D5F5F&quot;/&gt;&lt;wsp:rsid wsp:val=&quot;00162290&quot;/&gt;&lt;wsp:rsid wsp:val=&quot;00373D25&quot;/&gt;&lt;wsp:rsid wsp:val=&quot;004A4CC0&quot;/&gt;&lt;wsp:rsid wsp:val=&quot;005F3709&quot;/&gt;&lt;wsp:rsid wsp:val=&quot;00605A8C&quot;/&gt;&lt;wsp:rsid wsp:val=&quot;0070155C&quot;/&gt;&lt;wsp:rsid wsp:val=&quot;00774CE4&quot;/&gt;&lt;wsp:rsid wsp:val=&quot;00837F27&quot;/&gt;&lt;wsp:rsid wsp:val=&quot;00856BA2&quot;/&gt;&lt;wsp:rsid wsp:val=&quot;009548F2&quot;/&gt;&lt;wsp:rsid wsp:val=&quot;00A87C84&quot;/&gt;&lt;wsp:rsid wsp:val=&quot;00B2217A&quot;/&gt;&lt;wsp:rsid wsp:val=&quot;00B378F1&quot;/&gt;&lt;wsp:rsid wsp:val=&quot;00BF1983&quot;/&gt;&lt;wsp:rsid wsp:val=&quot;00C42B10&quot;/&gt;&lt;wsp:rsid wsp:val=&quot;00C503B2&quot;/&gt;&lt;wsp:rsid wsp:val=&quot;00C63BA6&quot;/&gt;&lt;wsp:rsid wsp:val=&quot;00D87A32&quot;/&gt;&lt;wsp:rsid wsp:val=&quot;00E20B90&quot;/&gt;&lt;wsp:rsid wsp:val=&quot;00E23092&quot;/&gt;&lt;wsp:rsid wsp:val=&quot;00E239A9&quot;/&gt;&lt;wsp:rsid wsp:val=&quot;00E33B09&quot;/&gt;&lt;wsp:rsid wsp:val=&quot;00EE6443&quot;/&gt;&lt;wsp:rsid wsp:val=&quot;00FD4269&quot;/&gt;&lt;wsp:rsid wsp:val=&quot;00FE4DED&quot;/&gt;&lt;/wsp:rsids&gt;&lt;/w:docPr&gt;&lt;w:body&gt;&lt;w:p wsp:rsidR=&quot;00000000&quot; wsp:rsidRDefault=&quot;00837F27&quot;&gt;&lt;m:oMathPara&gt;&lt;m:oMath&gt;&lt;m:r&gt;&lt;w:rPr&gt;&lt;w:rFonts w:ascii=&quot;Cambria Math&quot; w:h-ansi=&quot;Cambria Math&quot;/&gt;&lt;wx:font wx:val=&quot;Cambria Math&quot;/&gt;&lt;w:i/&gt;&lt;w:sz w:val=&quot;28&quot;/&gt;&lt;w:sz-cs w:val=&quot;28&quot;/&gt;&lt;/w:rPr&gt;&lt;m:t&gt;n&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14&lt;/m:t&gt;&lt;/m:r&gt;&lt;/m:sup&gt;&lt;/m:sSup&gt;&lt;m:r&gt;&lt;w:rPr&gt;&lt;w:rFonts w:ascii=&quot;Cambria Math&quot; w:h-ansi=&quot;Cambria Math&quot;/&gt;&lt;wx:font wx:val=&quot;Cambria Math&quot;/&gt;&lt;w:i/&gt;&lt;w:sz w:val=&quot;28&quot;/&gt;&lt;w:sz-cs w:val=&quot;28&quot;/&gt;&lt;w:lang w:val=&quot;EN-US&quot;/&gt;&lt;/w:rPr&gt;&lt;m:t&gt;N&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rPr&gt;&lt;m:t&gt;в†’&lt;/m:t&gt;&lt;/m:r&gt;&lt;/m:e&gt;&lt;m:sup&gt;&lt;m:r&gt;&lt;w:rPr&gt;&lt;w:rFonts w:ascii=&quot;Cambria Math&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42B20">
        <w:rPr>
          <w:sz w:val="28"/>
          <w:szCs w:val="28"/>
        </w:rPr>
        <w:instrText xml:space="preserve"> </w:instrText>
      </w:r>
      <w:r w:rsidRPr="00742B20">
        <w:rPr>
          <w:sz w:val="28"/>
          <w:szCs w:val="28"/>
        </w:rPr>
        <w:fldChar w:fldCharType="separate"/>
      </w:r>
      <w:r w:rsidR="00F368EC">
        <w:rPr>
          <w:sz w:val="28"/>
        </w:rPr>
        <w:pict>
          <v:shape id="_x0000_i1031" type="#_x0000_t75" style="width:63pt;height:17.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75&quot;/&gt;&lt;w:doNotEmbedSystemFonts/&gt;&lt;w:defaultTabStop w:val=&quot;708&quot;/&gt;&lt;w:autoHyphenation/&gt;&lt;w:hyphenationZone w:val=&quot;35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B2217A&quot;/&gt;&lt;wsp:rsid wsp:val=&quot;000270A3&quot;/&gt;&lt;wsp:rsid wsp:val=&quot;00051EF7&quot;/&gt;&lt;wsp:rsid wsp:val=&quot;000D5F5F&quot;/&gt;&lt;wsp:rsid wsp:val=&quot;00162290&quot;/&gt;&lt;wsp:rsid wsp:val=&quot;00373D25&quot;/&gt;&lt;wsp:rsid wsp:val=&quot;004A4CC0&quot;/&gt;&lt;wsp:rsid wsp:val=&quot;005F3709&quot;/&gt;&lt;wsp:rsid wsp:val=&quot;00605A8C&quot;/&gt;&lt;wsp:rsid wsp:val=&quot;0070155C&quot;/&gt;&lt;wsp:rsid wsp:val=&quot;00774CE4&quot;/&gt;&lt;wsp:rsid wsp:val=&quot;00837F27&quot;/&gt;&lt;wsp:rsid wsp:val=&quot;00856BA2&quot;/&gt;&lt;wsp:rsid wsp:val=&quot;009548F2&quot;/&gt;&lt;wsp:rsid wsp:val=&quot;00A87C84&quot;/&gt;&lt;wsp:rsid wsp:val=&quot;00B2217A&quot;/&gt;&lt;wsp:rsid wsp:val=&quot;00B378F1&quot;/&gt;&lt;wsp:rsid wsp:val=&quot;00BF1983&quot;/&gt;&lt;wsp:rsid wsp:val=&quot;00C42B10&quot;/&gt;&lt;wsp:rsid wsp:val=&quot;00C503B2&quot;/&gt;&lt;wsp:rsid wsp:val=&quot;00C63BA6&quot;/&gt;&lt;wsp:rsid wsp:val=&quot;00D87A32&quot;/&gt;&lt;wsp:rsid wsp:val=&quot;00E20B90&quot;/&gt;&lt;wsp:rsid wsp:val=&quot;00E23092&quot;/&gt;&lt;wsp:rsid wsp:val=&quot;00E239A9&quot;/&gt;&lt;wsp:rsid wsp:val=&quot;00E33B09&quot;/&gt;&lt;wsp:rsid wsp:val=&quot;00EE6443&quot;/&gt;&lt;wsp:rsid wsp:val=&quot;00FD4269&quot;/&gt;&lt;wsp:rsid wsp:val=&quot;00FE4DED&quot;/&gt;&lt;/wsp:rsids&gt;&lt;/w:docPr&gt;&lt;w:body&gt;&lt;w:p wsp:rsidR=&quot;00000000&quot; wsp:rsidRDefault=&quot;00837F27&quot;&gt;&lt;m:oMathPara&gt;&lt;m:oMath&gt;&lt;m:r&gt;&lt;w:rPr&gt;&lt;w:rFonts w:ascii=&quot;Cambria Math&quot; w:h-ansi=&quot;Cambria Math&quot;/&gt;&lt;wx:font wx:val=&quot;Cambria Math&quot;/&gt;&lt;w:i/&gt;&lt;w:sz w:val=&quot;28&quot;/&gt;&lt;w:sz-cs w:val=&quot;28&quot;/&gt;&lt;/w:rPr&gt;&lt;m:t&gt;n&lt;/m:t&gt;&lt;/m:r&gt;&lt;m:sSup&gt;&lt;m:sSupPr&gt;&lt;m:ctrlPr&gt;&lt;w:rPr&gt;&lt;w:rFonts w:ascii=&quot;Cambria Math&quot; w:h-ansi=&quot;Cambria Math&quot;/&gt;&lt;wx:font wx:val=&quot;Cambria Math&quot;/&gt;&lt;w:i/&gt;&lt;w:sz w:val=&quot;28&quot;/&gt;&lt;w:sz-cs w:val=&quot;28&quot;/&gt;&lt;/w:rPr&gt;&lt;/m:ctrlPr&gt;&lt;/m:sSupPr&gt;&lt;m:e&gt;&lt;m:r&gt;&lt;w:rPr&gt;&lt;w:rFonts w:ascii=&quot;Cambria Math&quot; w:h-ansi=&quot;Cambria Math&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14&lt;/m:t&gt;&lt;/m:r&gt;&lt;/m:sup&gt;&lt;/m:sSup&gt;&lt;m:r&gt;&lt;w:rPr&gt;&lt;w:rFonts w:ascii=&quot;Cambria Math&quot; w:h-ansi=&quot;Cambria Math&quot;/&gt;&lt;wx:font wx:val=&quot;Cambria Math&quot;/&gt;&lt;w:i/&gt;&lt;w:sz w:val=&quot;28&quot;/&gt;&lt;w:sz-cs w:val=&quot;28&quot;/&gt;&lt;w:lang w:val=&quot;EN-US&quot;/&gt;&lt;/w:rPr&gt;&lt;m:t&gt;N&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rPr&gt;&lt;m:t&gt;в†’&lt;/m:t&gt;&lt;/m:r&gt;&lt;/m:e&gt;&lt;m:sup&gt;&lt;m:r&gt;&lt;w:rPr&gt;&lt;w:rFonts w:ascii=&quot;Cambria Math&quot; w:h-ansi=&quot;Cambria Math&quot;/&gt;&lt;wx:font wx:val=&quot;Cambria Math&quot;/&gt;&lt;w:i/&gt;&lt;w:sz w:val=&quot;28&quot;/&gt;&lt;w:sz-cs w:val=&quot;28&quot;/&gt;&lt;/w:rPr&gt;&lt;m:t&gt;3&lt;/m:t&gt;&lt;/m:r&gt;&lt;/m:sup&gt;&lt;/m:sSup&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742B20">
        <w:rPr>
          <w:sz w:val="28"/>
          <w:szCs w:val="28"/>
        </w:rPr>
        <w:fldChar w:fldCharType="end"/>
      </w:r>
      <w:r w:rsidRPr="00742B20">
        <w:rPr>
          <w:sz w:val="28"/>
          <w:szCs w:val="28"/>
          <w:lang w:val="en-US"/>
        </w:rPr>
        <w:t>HC</w:t>
      </w:r>
      <w:r w:rsidRPr="00742B20">
        <w:rPr>
          <w:sz w:val="28"/>
          <w:szCs w:val="28"/>
        </w:rPr>
        <w:t xml:space="preserve">, </w:t>
      </w:r>
      <w:r w:rsidRPr="00742B20">
        <w:rPr>
          <w:sz w:val="28"/>
          <w:szCs w:val="28"/>
          <w:lang w:val="en-US"/>
        </w:rPr>
        <w:t>p</w:t>
      </w:r>
      <w:r w:rsidRPr="00742B20">
        <w:rPr>
          <w:sz w:val="28"/>
          <w:szCs w:val="28"/>
        </w:rPr>
        <w:t>.</w:t>
      </w:r>
    </w:p>
    <w:p w:rsidR="009D1BB0" w:rsidRPr="00742B20" w:rsidRDefault="009D1BB0" w:rsidP="00742B20">
      <w:pPr>
        <w:pStyle w:val="a8"/>
        <w:spacing w:after="0" w:line="360" w:lineRule="auto"/>
        <w:ind w:left="0" w:firstLine="709"/>
        <w:jc w:val="both"/>
        <w:rPr>
          <w:sz w:val="28"/>
          <w:szCs w:val="28"/>
        </w:rPr>
      </w:pPr>
      <w:r w:rsidRPr="00742B20">
        <w:rPr>
          <w:sz w:val="28"/>
          <w:szCs w:val="28"/>
        </w:rPr>
        <w:t xml:space="preserve">В создание дозы наибольший вклад вносят </w:t>
      </w:r>
      <w:r w:rsidRPr="00742B20">
        <w:rPr>
          <w:sz w:val="28"/>
          <w:szCs w:val="28"/>
          <w:vertAlign w:val="superscript"/>
        </w:rPr>
        <w:t>3</w:t>
      </w:r>
      <w:r w:rsidRPr="00742B20">
        <w:rPr>
          <w:sz w:val="28"/>
          <w:szCs w:val="28"/>
        </w:rPr>
        <w:t xml:space="preserve">Н, </w:t>
      </w:r>
      <w:r w:rsidRPr="00742B20">
        <w:rPr>
          <w:sz w:val="28"/>
          <w:szCs w:val="28"/>
          <w:vertAlign w:val="superscript"/>
        </w:rPr>
        <w:t>7</w:t>
      </w:r>
      <w:r w:rsidRPr="00742B20">
        <w:rPr>
          <w:sz w:val="28"/>
          <w:szCs w:val="28"/>
        </w:rPr>
        <w:t xml:space="preserve">Ве, </w:t>
      </w:r>
      <w:r w:rsidRPr="00742B20">
        <w:rPr>
          <w:sz w:val="28"/>
          <w:szCs w:val="28"/>
          <w:vertAlign w:val="superscript"/>
        </w:rPr>
        <w:t>14</w:t>
      </w:r>
      <w:r w:rsidRPr="00742B20">
        <w:rPr>
          <w:sz w:val="28"/>
          <w:szCs w:val="28"/>
        </w:rPr>
        <w:t xml:space="preserve">С, и </w:t>
      </w:r>
      <w:r w:rsidRPr="00742B20">
        <w:rPr>
          <w:sz w:val="28"/>
          <w:szCs w:val="28"/>
          <w:vertAlign w:val="superscript"/>
        </w:rPr>
        <w:t>22</w:t>
      </w:r>
      <w:r w:rsidRPr="00742B20">
        <w:rPr>
          <w:sz w:val="28"/>
          <w:szCs w:val="28"/>
          <w:lang w:val="en-US"/>
        </w:rPr>
        <w:t>Na</w:t>
      </w:r>
      <w:r w:rsidRPr="00742B20">
        <w:rPr>
          <w:sz w:val="28"/>
          <w:szCs w:val="28"/>
        </w:rPr>
        <w:t xml:space="preserve"> которые поступают вместе с пищей в организм человека (табл. 1).</w:t>
      </w:r>
    </w:p>
    <w:p w:rsidR="009D1BB0" w:rsidRPr="00742B20" w:rsidRDefault="009D1BB0" w:rsidP="00742B20">
      <w:pPr>
        <w:pStyle w:val="a8"/>
        <w:spacing w:after="0" w:line="360" w:lineRule="auto"/>
        <w:ind w:left="0"/>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Таблица 1.</w:t>
      </w:r>
    </w:p>
    <w:tbl>
      <w:tblPr>
        <w:tblW w:w="8030" w:type="dxa"/>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20"/>
        <w:gridCol w:w="2530"/>
        <w:gridCol w:w="3080"/>
      </w:tblGrid>
      <w:tr w:rsidR="009D1BB0" w:rsidRPr="00742B20" w:rsidTr="00742B20">
        <w:tc>
          <w:tcPr>
            <w:tcW w:w="8030" w:type="dxa"/>
            <w:gridSpan w:val="3"/>
            <w:vAlign w:val="center"/>
          </w:tcPr>
          <w:p w:rsidR="009D1BB0" w:rsidRPr="00742B20" w:rsidRDefault="009D1BB0" w:rsidP="00742B20">
            <w:pPr>
              <w:pStyle w:val="a8"/>
              <w:spacing w:after="0" w:line="360" w:lineRule="auto"/>
              <w:ind w:left="0"/>
              <w:jc w:val="both"/>
              <w:rPr>
                <w:sz w:val="20"/>
                <w:szCs w:val="20"/>
              </w:rPr>
            </w:pPr>
            <w:r w:rsidRPr="00742B20">
              <w:rPr>
                <w:sz w:val="20"/>
                <w:szCs w:val="20"/>
              </w:rPr>
              <w:t>Среднее годовое поступление космогенных радионуклидов в организм человека.</w:t>
            </w:r>
          </w:p>
        </w:tc>
      </w:tr>
      <w:tr w:rsidR="009D1BB0" w:rsidRPr="00742B20" w:rsidTr="00742B20">
        <w:tc>
          <w:tcPr>
            <w:tcW w:w="242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Радионуклид</w:t>
            </w:r>
          </w:p>
        </w:tc>
        <w:tc>
          <w:tcPr>
            <w:tcW w:w="253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Поступление, Бк</w:t>
            </w:r>
            <w:r w:rsidRPr="00742B20">
              <w:rPr>
                <w:sz w:val="20"/>
                <w:szCs w:val="20"/>
                <w:lang w:val="en-US"/>
              </w:rPr>
              <w:t>/</w:t>
            </w:r>
            <w:r w:rsidRPr="00742B20">
              <w:rPr>
                <w:sz w:val="20"/>
                <w:szCs w:val="20"/>
              </w:rPr>
              <w:t>год</w:t>
            </w:r>
          </w:p>
        </w:tc>
        <w:tc>
          <w:tcPr>
            <w:tcW w:w="308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Годовая эффективная доза, мкЗв</w:t>
            </w:r>
          </w:p>
        </w:tc>
      </w:tr>
      <w:tr w:rsidR="009D1BB0" w:rsidRPr="00742B20" w:rsidTr="00742B20">
        <w:tc>
          <w:tcPr>
            <w:tcW w:w="242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vertAlign w:val="superscript"/>
              </w:rPr>
              <w:t>3</w:t>
            </w:r>
            <w:r w:rsidRPr="00742B20">
              <w:rPr>
                <w:sz w:val="20"/>
                <w:szCs w:val="20"/>
              </w:rPr>
              <w:t>Н</w:t>
            </w:r>
          </w:p>
        </w:tc>
        <w:tc>
          <w:tcPr>
            <w:tcW w:w="253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250</w:t>
            </w:r>
          </w:p>
        </w:tc>
        <w:tc>
          <w:tcPr>
            <w:tcW w:w="308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0,004</w:t>
            </w:r>
          </w:p>
        </w:tc>
      </w:tr>
      <w:tr w:rsidR="009D1BB0" w:rsidRPr="00742B20" w:rsidTr="00742B20">
        <w:tc>
          <w:tcPr>
            <w:tcW w:w="242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vertAlign w:val="superscript"/>
              </w:rPr>
              <w:t>7</w:t>
            </w:r>
            <w:r w:rsidRPr="00742B20">
              <w:rPr>
                <w:sz w:val="20"/>
                <w:szCs w:val="20"/>
              </w:rPr>
              <w:t>Ве</w:t>
            </w:r>
          </w:p>
        </w:tc>
        <w:tc>
          <w:tcPr>
            <w:tcW w:w="253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50</w:t>
            </w:r>
          </w:p>
        </w:tc>
        <w:tc>
          <w:tcPr>
            <w:tcW w:w="308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0,002</w:t>
            </w:r>
          </w:p>
        </w:tc>
      </w:tr>
      <w:tr w:rsidR="009D1BB0" w:rsidRPr="00742B20" w:rsidTr="00742B20">
        <w:tc>
          <w:tcPr>
            <w:tcW w:w="242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vertAlign w:val="superscript"/>
              </w:rPr>
              <w:t>14</w:t>
            </w:r>
            <w:r w:rsidRPr="00742B20">
              <w:rPr>
                <w:sz w:val="20"/>
                <w:szCs w:val="20"/>
              </w:rPr>
              <w:t>С</w:t>
            </w:r>
          </w:p>
        </w:tc>
        <w:tc>
          <w:tcPr>
            <w:tcW w:w="253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20000</w:t>
            </w:r>
          </w:p>
        </w:tc>
        <w:tc>
          <w:tcPr>
            <w:tcW w:w="308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12</w:t>
            </w:r>
          </w:p>
        </w:tc>
      </w:tr>
      <w:tr w:rsidR="009D1BB0" w:rsidRPr="00742B20" w:rsidTr="00742B20">
        <w:tc>
          <w:tcPr>
            <w:tcW w:w="242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vertAlign w:val="superscript"/>
              </w:rPr>
              <w:t>22</w:t>
            </w:r>
            <w:r w:rsidRPr="00742B20">
              <w:rPr>
                <w:sz w:val="20"/>
                <w:szCs w:val="20"/>
                <w:lang w:val="en-US"/>
              </w:rPr>
              <w:t>Na</w:t>
            </w:r>
          </w:p>
        </w:tc>
        <w:tc>
          <w:tcPr>
            <w:tcW w:w="253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50</w:t>
            </w:r>
          </w:p>
        </w:tc>
        <w:tc>
          <w:tcPr>
            <w:tcW w:w="3080" w:type="dxa"/>
            <w:vAlign w:val="center"/>
          </w:tcPr>
          <w:p w:rsidR="009D1BB0" w:rsidRPr="00742B20" w:rsidRDefault="009D1BB0" w:rsidP="00742B20">
            <w:pPr>
              <w:pStyle w:val="a8"/>
              <w:spacing w:after="0" w:line="360" w:lineRule="auto"/>
              <w:ind w:left="0"/>
              <w:jc w:val="both"/>
              <w:rPr>
                <w:sz w:val="20"/>
                <w:szCs w:val="20"/>
              </w:rPr>
            </w:pPr>
            <w:r w:rsidRPr="00742B20">
              <w:rPr>
                <w:sz w:val="20"/>
                <w:szCs w:val="20"/>
              </w:rPr>
              <w:t>0,15</w:t>
            </w:r>
          </w:p>
        </w:tc>
      </w:tr>
    </w:tbl>
    <w:p w:rsidR="00742B20" w:rsidRDefault="00742B20" w:rsidP="00742B20">
      <w:pPr>
        <w:pStyle w:val="a8"/>
        <w:spacing w:after="0" w:line="360" w:lineRule="auto"/>
        <w:ind w:left="0" w:firstLine="709"/>
        <w:jc w:val="both"/>
        <w:rPr>
          <w:sz w:val="28"/>
          <w:szCs w:val="28"/>
        </w:rPr>
      </w:pPr>
    </w:p>
    <w:p w:rsidR="009D1BB0" w:rsidRDefault="009D1BB0" w:rsidP="00742B20">
      <w:pPr>
        <w:pStyle w:val="a8"/>
        <w:spacing w:after="0" w:line="360" w:lineRule="auto"/>
        <w:ind w:left="0" w:firstLine="709"/>
        <w:jc w:val="both"/>
        <w:rPr>
          <w:sz w:val="28"/>
          <w:szCs w:val="28"/>
        </w:rPr>
      </w:pPr>
      <w:r w:rsidRPr="00742B20">
        <w:rPr>
          <w:sz w:val="28"/>
          <w:szCs w:val="28"/>
        </w:rPr>
        <w:t xml:space="preserve">Взрослый человек потребляет с пищей </w:t>
      </w:r>
      <w:smartTag w:uri="urn:schemas-microsoft-com:office:smarttags" w:element="metricconverter">
        <w:smartTagPr>
          <w:attr w:name="ProductID" w:val="95 кг"/>
        </w:smartTagPr>
        <w:r w:rsidRPr="00742B20">
          <w:rPr>
            <w:sz w:val="28"/>
            <w:szCs w:val="28"/>
          </w:rPr>
          <w:t>95 кг</w:t>
        </w:r>
      </w:smartTag>
      <w:r w:rsidRPr="00742B20">
        <w:rPr>
          <w:sz w:val="28"/>
          <w:szCs w:val="28"/>
        </w:rPr>
        <w:t xml:space="preserve"> углерода в год при средней активности на единицу массы углерода 230 Бк/кг. Суммарный вклад космогенных радионуклидов в индивидуальную дозу составляет около 15 мкЗв/год.</w:t>
      </w:r>
    </w:p>
    <w:p w:rsidR="007549FF" w:rsidRPr="00742B20" w:rsidRDefault="007549FF" w:rsidP="00742B20">
      <w:pPr>
        <w:pStyle w:val="a8"/>
        <w:spacing w:after="0" w:line="360" w:lineRule="auto"/>
        <w:ind w:left="0" w:firstLine="709"/>
        <w:jc w:val="both"/>
        <w:rPr>
          <w:sz w:val="28"/>
          <w:szCs w:val="28"/>
        </w:rPr>
      </w:pPr>
    </w:p>
    <w:p w:rsidR="009D1BB0" w:rsidRPr="007549FF" w:rsidRDefault="009D1BB0" w:rsidP="00742B20">
      <w:pPr>
        <w:pStyle w:val="a8"/>
        <w:spacing w:after="0" w:line="360" w:lineRule="auto"/>
        <w:ind w:left="0" w:firstLine="709"/>
        <w:jc w:val="both"/>
        <w:rPr>
          <w:b/>
          <w:sz w:val="28"/>
          <w:szCs w:val="28"/>
        </w:rPr>
      </w:pPr>
      <w:r w:rsidRPr="007549FF">
        <w:rPr>
          <w:b/>
          <w:sz w:val="28"/>
          <w:szCs w:val="28"/>
        </w:rPr>
        <w:t>Внешнее облучение от ради</w:t>
      </w:r>
      <w:r w:rsidR="007549FF" w:rsidRPr="007549FF">
        <w:rPr>
          <w:b/>
          <w:sz w:val="28"/>
          <w:szCs w:val="28"/>
        </w:rPr>
        <w:t>онуклидов земного происхождения</w:t>
      </w:r>
    </w:p>
    <w:p w:rsidR="007549FF" w:rsidRPr="00742B20" w:rsidRDefault="007549FF" w:rsidP="00742B20">
      <w:pPr>
        <w:pStyle w:val="a8"/>
        <w:spacing w:after="0" w:line="360" w:lineRule="auto"/>
        <w:ind w:left="0" w:firstLine="709"/>
        <w:jc w:val="both"/>
        <w:rPr>
          <w:sz w:val="28"/>
          <w:szCs w:val="28"/>
        </w:rPr>
      </w:pPr>
    </w:p>
    <w:p w:rsidR="009D1BB0" w:rsidRDefault="009D1BB0" w:rsidP="00742B20">
      <w:pPr>
        <w:pStyle w:val="a8"/>
        <w:spacing w:after="0" w:line="360" w:lineRule="auto"/>
        <w:ind w:left="0" w:firstLine="709"/>
        <w:jc w:val="both"/>
        <w:rPr>
          <w:sz w:val="28"/>
          <w:szCs w:val="28"/>
        </w:rPr>
      </w:pPr>
      <w:r w:rsidRPr="00742B20">
        <w:rPr>
          <w:sz w:val="28"/>
          <w:szCs w:val="28"/>
        </w:rPr>
        <w:t>В настоящее время на Земле сохранилось 23 долгоживущих радиоактивных элемента с периодами полураспада от 10</w:t>
      </w:r>
      <w:r w:rsidRPr="00742B20">
        <w:rPr>
          <w:sz w:val="28"/>
          <w:szCs w:val="28"/>
          <w:vertAlign w:val="superscript"/>
        </w:rPr>
        <w:t>7</w:t>
      </w:r>
      <w:r w:rsidRPr="00742B20">
        <w:rPr>
          <w:sz w:val="28"/>
          <w:szCs w:val="28"/>
        </w:rPr>
        <w:t xml:space="preserve"> лет и выше. Физические характеристики некоторых из них представлены в табл. 2.</w:t>
      </w:r>
    </w:p>
    <w:p w:rsidR="00742B20" w:rsidRPr="00742B20" w:rsidRDefault="00742B2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Таблица 2.</w:t>
      </w:r>
    </w:p>
    <w:tbl>
      <w:tblPr>
        <w:tblW w:w="4699" w:type="pct"/>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2"/>
        <w:gridCol w:w="1817"/>
        <w:gridCol w:w="2394"/>
      </w:tblGrid>
      <w:tr w:rsidR="009D1BB0" w:rsidRPr="00742B20" w:rsidTr="003C0AB8">
        <w:tc>
          <w:tcPr>
            <w:tcW w:w="5000" w:type="pct"/>
            <w:gridSpan w:val="4"/>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Радиоактивные изотопы, изначально присутствующие на Земле.</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Радионуклид.</w:t>
            </w:r>
          </w:p>
        </w:tc>
        <w:tc>
          <w:tcPr>
            <w:tcW w:w="133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Весовое содержание в земной коре.</w:t>
            </w:r>
          </w:p>
        </w:tc>
        <w:tc>
          <w:tcPr>
            <w:tcW w:w="101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Период полураспада, лет:</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Тип распада:</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Уран-238</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3*10</w:t>
            </w:r>
            <w:r w:rsidRPr="00742B20">
              <w:rPr>
                <w:sz w:val="20"/>
                <w:szCs w:val="20"/>
                <w:vertAlign w:val="superscript"/>
              </w:rPr>
              <w:t>-6</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4,5*10</w:t>
            </w:r>
            <w:r w:rsidRPr="00742B20">
              <w:rPr>
                <w:sz w:val="20"/>
                <w:szCs w:val="20"/>
                <w:vertAlign w:val="superscript"/>
              </w:rPr>
              <w:t>9</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α-распад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Торий-232</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8*10</w:t>
            </w:r>
            <w:r w:rsidRPr="00742B20">
              <w:rPr>
                <w:sz w:val="20"/>
                <w:szCs w:val="20"/>
                <w:vertAlign w:val="superscript"/>
              </w:rPr>
              <w:t>-6</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1,4*10</w:t>
            </w:r>
            <w:r w:rsidRPr="00742B20">
              <w:rPr>
                <w:sz w:val="20"/>
                <w:szCs w:val="20"/>
                <w:vertAlign w:val="superscript"/>
              </w:rPr>
              <w:t>10</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α-распад,γ-распад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Калий-40</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3*10</w:t>
            </w:r>
            <w:r w:rsidRPr="00742B20">
              <w:rPr>
                <w:sz w:val="20"/>
                <w:szCs w:val="20"/>
                <w:vertAlign w:val="superscript"/>
              </w:rPr>
              <w:t>-16</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1,3*10</w:t>
            </w:r>
            <w:r w:rsidRPr="00742B20">
              <w:rPr>
                <w:sz w:val="20"/>
                <w:szCs w:val="20"/>
                <w:vertAlign w:val="superscript"/>
              </w:rPr>
              <w:t>9</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β-распад, γ-распад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Ванадий-50</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4,5*10</w:t>
            </w:r>
            <w:r w:rsidRPr="00742B20">
              <w:rPr>
                <w:sz w:val="20"/>
                <w:szCs w:val="20"/>
                <w:vertAlign w:val="superscript"/>
              </w:rPr>
              <w:t>-7</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5*10</w:t>
            </w:r>
            <w:r w:rsidRPr="00742B20">
              <w:rPr>
                <w:sz w:val="20"/>
                <w:szCs w:val="20"/>
                <w:vertAlign w:val="superscript"/>
              </w:rPr>
              <w:t>14</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γраспад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Рубидий-87</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8,4*10</w:t>
            </w:r>
            <w:r w:rsidRPr="00742B20">
              <w:rPr>
                <w:sz w:val="20"/>
                <w:szCs w:val="20"/>
                <w:vertAlign w:val="superscript"/>
              </w:rPr>
              <w:t>-5</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4,7*10</w:t>
            </w:r>
            <w:r w:rsidRPr="00742B20">
              <w:rPr>
                <w:sz w:val="20"/>
                <w:szCs w:val="20"/>
                <w:vertAlign w:val="superscript"/>
              </w:rPr>
              <w:t>10</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β-распад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Индий-115</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1*10</w:t>
            </w:r>
            <w:r w:rsidRPr="00742B20">
              <w:rPr>
                <w:sz w:val="20"/>
                <w:szCs w:val="20"/>
                <w:vertAlign w:val="superscript"/>
              </w:rPr>
              <w:t>-7</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6*10</w:t>
            </w:r>
            <w:r w:rsidRPr="00742B20">
              <w:rPr>
                <w:sz w:val="20"/>
                <w:szCs w:val="20"/>
                <w:vertAlign w:val="superscript"/>
              </w:rPr>
              <w:t>14</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β- 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Лантан-138</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1,6*10</w:t>
            </w:r>
            <w:r w:rsidRPr="00742B20">
              <w:rPr>
                <w:sz w:val="20"/>
                <w:szCs w:val="20"/>
                <w:vertAlign w:val="superscript"/>
              </w:rPr>
              <w:t>-8</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1,1*10</w:t>
            </w:r>
            <w:r w:rsidRPr="00742B20">
              <w:rPr>
                <w:sz w:val="20"/>
                <w:szCs w:val="20"/>
                <w:vertAlign w:val="superscript"/>
              </w:rPr>
              <w:t>11</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β-распад,γ-распад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Самарий-147</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1,2*10</w:t>
            </w:r>
            <w:r w:rsidRPr="00742B20">
              <w:rPr>
                <w:sz w:val="20"/>
                <w:szCs w:val="20"/>
                <w:vertAlign w:val="superscript"/>
              </w:rPr>
              <w:t>-6</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1,2*10</w:t>
            </w:r>
            <w:r w:rsidRPr="00742B20">
              <w:rPr>
                <w:sz w:val="20"/>
                <w:szCs w:val="20"/>
                <w:vertAlign w:val="superscript"/>
              </w:rPr>
              <w:t>11</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α-распад</w:t>
            </w:r>
          </w:p>
        </w:tc>
      </w:tr>
      <w:tr w:rsidR="009D1BB0" w:rsidRPr="00742B20" w:rsidTr="003C0AB8">
        <w:tc>
          <w:tcPr>
            <w:tcW w:w="1329"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Лютеций-176</w:t>
            </w:r>
          </w:p>
        </w:tc>
        <w:tc>
          <w:tcPr>
            <w:tcW w:w="133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3*10</w:t>
            </w:r>
            <w:r w:rsidRPr="00742B20">
              <w:rPr>
                <w:sz w:val="20"/>
                <w:szCs w:val="20"/>
                <w:vertAlign w:val="superscript"/>
              </w:rPr>
              <w:t>-8</w:t>
            </w:r>
          </w:p>
        </w:tc>
        <w:tc>
          <w:tcPr>
            <w:tcW w:w="1010" w:type="pct"/>
            <w:vAlign w:val="center"/>
          </w:tcPr>
          <w:p w:rsidR="009D1BB0" w:rsidRPr="00742B20" w:rsidRDefault="009D1BB0" w:rsidP="00742B20">
            <w:pPr>
              <w:pStyle w:val="a8"/>
              <w:spacing w:after="0" w:line="360" w:lineRule="auto"/>
              <w:ind w:left="0" w:firstLine="110"/>
              <w:jc w:val="both"/>
              <w:rPr>
                <w:sz w:val="20"/>
                <w:szCs w:val="20"/>
                <w:vertAlign w:val="superscript"/>
              </w:rPr>
            </w:pPr>
            <w:r w:rsidRPr="00742B20">
              <w:rPr>
                <w:sz w:val="20"/>
                <w:szCs w:val="20"/>
              </w:rPr>
              <w:t>2,1*10</w:t>
            </w:r>
            <w:r w:rsidRPr="00742B20">
              <w:rPr>
                <w:sz w:val="20"/>
                <w:szCs w:val="20"/>
                <w:vertAlign w:val="superscript"/>
              </w:rPr>
              <w:t>10</w:t>
            </w:r>
          </w:p>
        </w:tc>
        <w:tc>
          <w:tcPr>
            <w:tcW w:w="1331"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β-распад,γ-распад</w:t>
            </w:r>
          </w:p>
        </w:tc>
      </w:tr>
    </w:tbl>
    <w:p w:rsidR="00742B20" w:rsidRDefault="00742B2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В трех радиоактивных семействах: урана (</w:t>
      </w:r>
      <w:r w:rsidRPr="00742B20">
        <w:rPr>
          <w:sz w:val="28"/>
          <w:szCs w:val="28"/>
          <w:vertAlign w:val="superscript"/>
        </w:rPr>
        <w:t>238</w:t>
      </w:r>
      <w:r w:rsidRPr="00742B20">
        <w:rPr>
          <w:sz w:val="28"/>
          <w:szCs w:val="28"/>
          <w:lang w:val="en-US"/>
        </w:rPr>
        <w:t>U</w:t>
      </w:r>
      <w:r w:rsidRPr="00742B20">
        <w:rPr>
          <w:sz w:val="28"/>
          <w:szCs w:val="28"/>
        </w:rPr>
        <w:t>), тория(</w:t>
      </w:r>
      <w:r w:rsidRPr="00742B20">
        <w:rPr>
          <w:sz w:val="28"/>
          <w:szCs w:val="28"/>
          <w:vertAlign w:val="superscript"/>
        </w:rPr>
        <w:t>232</w:t>
      </w:r>
      <w:r w:rsidRPr="00742B20">
        <w:rPr>
          <w:sz w:val="28"/>
          <w:szCs w:val="28"/>
          <w:lang w:val="en-US"/>
        </w:rPr>
        <w:t>Th</w:t>
      </w:r>
      <w:r w:rsidRPr="00742B20">
        <w:rPr>
          <w:sz w:val="28"/>
          <w:szCs w:val="28"/>
        </w:rPr>
        <w:t>) и актиния(</w:t>
      </w:r>
      <w:r w:rsidRPr="00742B20">
        <w:rPr>
          <w:sz w:val="28"/>
          <w:szCs w:val="28"/>
          <w:vertAlign w:val="superscript"/>
        </w:rPr>
        <w:t>235</w:t>
      </w:r>
      <w:r w:rsidRPr="00742B20">
        <w:rPr>
          <w:sz w:val="28"/>
          <w:szCs w:val="28"/>
          <w:lang w:val="en-US"/>
        </w:rPr>
        <w:t>Ac</w:t>
      </w:r>
      <w:r w:rsidRPr="00742B20">
        <w:rPr>
          <w:sz w:val="28"/>
          <w:szCs w:val="28"/>
        </w:rPr>
        <w:t>) в процессах радиоактивного распада постоянно образуется 40 радиоактивных изотопов. Средняя эффективная эквивалентная доза внешнего облучения, которую человек получает за год от земных источников, составляет около 0,35 мЗв, т.е. чуть больше средней индивидуальной дозы, обусловленной облучением из-за космического фона на уровне моря.</w:t>
      </w:r>
    </w:p>
    <w:p w:rsidR="009D1BB0" w:rsidRPr="00742B20" w:rsidRDefault="009D1BB0" w:rsidP="00742B20">
      <w:pPr>
        <w:pStyle w:val="a8"/>
        <w:spacing w:after="0" w:line="360" w:lineRule="auto"/>
        <w:ind w:left="0" w:firstLine="709"/>
        <w:jc w:val="both"/>
        <w:rPr>
          <w:sz w:val="28"/>
          <w:szCs w:val="28"/>
        </w:rPr>
      </w:pPr>
      <w:r w:rsidRPr="00742B20">
        <w:rPr>
          <w:sz w:val="28"/>
          <w:szCs w:val="28"/>
        </w:rPr>
        <w:t xml:space="preserve">Уровень земной радиации неодинаков в различных районах. В </w:t>
      </w:r>
      <w:smartTag w:uri="urn:schemas-microsoft-com:office:smarttags" w:element="metricconverter">
        <w:smartTagPr>
          <w:attr w:name="ProductID" w:val="200 километрах"/>
        </w:smartTagPr>
        <w:r w:rsidRPr="00742B20">
          <w:rPr>
            <w:sz w:val="28"/>
            <w:szCs w:val="28"/>
          </w:rPr>
          <w:t>200 километрах</w:t>
        </w:r>
      </w:smartTag>
      <w:r w:rsidRPr="00742B20">
        <w:rPr>
          <w:sz w:val="28"/>
          <w:szCs w:val="28"/>
        </w:rPr>
        <w:t xml:space="preserve"> к северу от Сан-Пауло (Бразилия) есть небольшая возвышенность, где уровень радиации в 800 раз превосходит средний и достигает 260 мЗв в год. На юго-западе Индии 70000 человек живут на узкой прибрежной полосе, вдоль которой тянутся пески, богатые торием. Эта группа лиц получает в среднем 3,8 мЗв в год на человека. Как показали исследования, во Франции, ФРГ, Италии, Японии и США около 95% населения живут в местах с дозой облучения от 0,3 до 0,6 мЗв в год. Около 3% получает в среднем 1 мЗв в год и около 1,5% более 1,4 мЗв в год.</w:t>
      </w:r>
    </w:p>
    <w:p w:rsidR="009D1BB0" w:rsidRPr="00742B20" w:rsidRDefault="009D1BB0" w:rsidP="00742B20">
      <w:pPr>
        <w:pStyle w:val="a8"/>
        <w:spacing w:after="0" w:line="360" w:lineRule="auto"/>
        <w:ind w:left="0" w:firstLine="709"/>
        <w:jc w:val="both"/>
        <w:rPr>
          <w:sz w:val="28"/>
          <w:szCs w:val="28"/>
        </w:rPr>
      </w:pPr>
      <w:r w:rsidRPr="00742B20">
        <w:rPr>
          <w:sz w:val="28"/>
          <w:szCs w:val="28"/>
        </w:rPr>
        <w:t>Если человек находится в помещении, доза внешнего облучения изменяется за счет двух противоположно действующих факторов:</w:t>
      </w:r>
    </w:p>
    <w:p w:rsidR="009D1BB0" w:rsidRPr="00742B20" w:rsidRDefault="009D1BB0" w:rsidP="00742B20">
      <w:pPr>
        <w:pStyle w:val="a8"/>
        <w:numPr>
          <w:ilvl w:val="0"/>
          <w:numId w:val="2"/>
        </w:numPr>
        <w:spacing w:after="0" w:line="360" w:lineRule="auto"/>
        <w:ind w:left="0" w:firstLine="709"/>
        <w:jc w:val="both"/>
        <w:rPr>
          <w:sz w:val="28"/>
          <w:szCs w:val="28"/>
        </w:rPr>
      </w:pPr>
      <w:r w:rsidRPr="00742B20">
        <w:rPr>
          <w:sz w:val="28"/>
          <w:szCs w:val="28"/>
        </w:rPr>
        <w:t>экранирование внешнего излучения зданием;</w:t>
      </w:r>
    </w:p>
    <w:p w:rsidR="009D1BB0" w:rsidRPr="00742B20" w:rsidRDefault="009D1BB0" w:rsidP="00742B20">
      <w:pPr>
        <w:pStyle w:val="a8"/>
        <w:numPr>
          <w:ilvl w:val="0"/>
          <w:numId w:val="2"/>
        </w:numPr>
        <w:spacing w:after="0" w:line="360" w:lineRule="auto"/>
        <w:ind w:left="0" w:firstLine="709"/>
        <w:jc w:val="both"/>
        <w:rPr>
          <w:sz w:val="28"/>
          <w:szCs w:val="28"/>
        </w:rPr>
      </w:pPr>
      <w:r w:rsidRPr="00742B20">
        <w:rPr>
          <w:sz w:val="28"/>
          <w:szCs w:val="28"/>
        </w:rPr>
        <w:t>облучение за счет естественных радионуклидов, находящихся в материалах, из которого построено здание.</w:t>
      </w:r>
    </w:p>
    <w:p w:rsidR="009D1BB0" w:rsidRPr="00742B20" w:rsidRDefault="009D1BB0" w:rsidP="00742B20">
      <w:pPr>
        <w:pStyle w:val="a8"/>
        <w:spacing w:after="0" w:line="360" w:lineRule="auto"/>
        <w:ind w:left="0" w:firstLine="709"/>
        <w:jc w:val="both"/>
        <w:rPr>
          <w:sz w:val="28"/>
          <w:szCs w:val="28"/>
        </w:rPr>
      </w:pPr>
      <w:r w:rsidRPr="00742B20">
        <w:rPr>
          <w:sz w:val="28"/>
          <w:szCs w:val="28"/>
        </w:rPr>
        <w:t xml:space="preserve">В зависимости от концентрации изотопов </w:t>
      </w:r>
      <w:r w:rsidRPr="00742B20">
        <w:rPr>
          <w:sz w:val="28"/>
          <w:szCs w:val="28"/>
          <w:vertAlign w:val="superscript"/>
        </w:rPr>
        <w:t>40</w:t>
      </w:r>
      <w:r w:rsidRPr="00742B20">
        <w:rPr>
          <w:sz w:val="28"/>
          <w:szCs w:val="28"/>
        </w:rPr>
        <w:t xml:space="preserve">К, </w:t>
      </w:r>
      <w:r w:rsidRPr="00742B20">
        <w:rPr>
          <w:sz w:val="28"/>
          <w:szCs w:val="28"/>
          <w:vertAlign w:val="superscript"/>
        </w:rPr>
        <w:t>226</w:t>
      </w:r>
      <w:r w:rsidRPr="00742B20">
        <w:rPr>
          <w:sz w:val="28"/>
          <w:szCs w:val="28"/>
          <w:lang w:val="en-US"/>
        </w:rPr>
        <w:t>Ra</w:t>
      </w:r>
      <w:r w:rsidRPr="00742B20">
        <w:rPr>
          <w:sz w:val="28"/>
          <w:szCs w:val="28"/>
        </w:rPr>
        <w:t xml:space="preserve"> и </w:t>
      </w:r>
      <w:r w:rsidRPr="00742B20">
        <w:rPr>
          <w:sz w:val="28"/>
          <w:szCs w:val="28"/>
          <w:vertAlign w:val="superscript"/>
        </w:rPr>
        <w:t>232</w:t>
      </w:r>
      <w:r w:rsidRPr="00742B20">
        <w:rPr>
          <w:sz w:val="28"/>
          <w:szCs w:val="28"/>
          <w:lang w:val="en-US"/>
        </w:rPr>
        <w:t>Th</w:t>
      </w:r>
      <w:r w:rsidRPr="00742B20">
        <w:rPr>
          <w:sz w:val="28"/>
          <w:szCs w:val="28"/>
        </w:rPr>
        <w:t xml:space="preserve"> в различных строительных материалах мощность дозы в домах изменяется от 4*10</w:t>
      </w:r>
      <w:r w:rsidRPr="00742B20">
        <w:rPr>
          <w:sz w:val="28"/>
          <w:szCs w:val="28"/>
          <w:vertAlign w:val="superscript"/>
        </w:rPr>
        <w:t>-8</w:t>
      </w:r>
      <w:r w:rsidRPr="00742B20">
        <w:rPr>
          <w:sz w:val="28"/>
          <w:szCs w:val="28"/>
        </w:rPr>
        <w:t xml:space="preserve"> до 12*10</w:t>
      </w:r>
      <w:r w:rsidRPr="00742B20">
        <w:rPr>
          <w:sz w:val="28"/>
          <w:szCs w:val="28"/>
          <w:vertAlign w:val="superscript"/>
        </w:rPr>
        <w:t>-8</w:t>
      </w:r>
      <w:r w:rsidRPr="00742B20">
        <w:rPr>
          <w:sz w:val="28"/>
          <w:szCs w:val="28"/>
        </w:rPr>
        <w:t xml:space="preserve"> Гр/ч. В среднем в кирпичных, каменных и бетонных зданиях мощность дозы в 2-3 раза выше</w:t>
      </w:r>
      <w:r w:rsidR="003C0AB8">
        <w:rPr>
          <w:sz w:val="28"/>
          <w:szCs w:val="28"/>
        </w:rPr>
        <w:t>,</w:t>
      </w:r>
      <w:r w:rsidRPr="00742B20">
        <w:rPr>
          <w:sz w:val="28"/>
          <w:szCs w:val="28"/>
        </w:rPr>
        <w:t xml:space="preserve"> чем в деревянных. В табл. 3 приведены данные о фоновом облучении в некоторых городах.</w:t>
      </w:r>
    </w:p>
    <w:p w:rsidR="009D1BB0" w:rsidRPr="00742B20" w:rsidRDefault="009D1BB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Таблица 3.</w:t>
      </w:r>
    </w:p>
    <w:tbl>
      <w:tblPr>
        <w:tblW w:w="3563" w:type="pct"/>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37"/>
        <w:gridCol w:w="3083"/>
      </w:tblGrid>
      <w:tr w:rsidR="009D1BB0" w:rsidRPr="00742B20" w:rsidTr="00742B20">
        <w:tc>
          <w:tcPr>
            <w:tcW w:w="5000" w:type="pct"/>
            <w:gridSpan w:val="2"/>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Среднегодовые дозы внешнего фонового облучения в некоторых городах.</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Город</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Среднегодовая доза, мкГр</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Алма-Ата</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1600±100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Астрахань</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800±60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Вильнюс</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1000±60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Ереван</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750±60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Кишинев</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600±20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Москва</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900±50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Новосибирск</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800±30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Рига</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1100±110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Санкт-Петербург</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1200±80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Талин</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900±50</w:t>
            </w:r>
          </w:p>
        </w:tc>
      </w:tr>
      <w:tr w:rsidR="009D1BB0" w:rsidRPr="00742B20" w:rsidTr="00742B20">
        <w:tc>
          <w:tcPr>
            <w:tcW w:w="274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 xml:space="preserve">Якутск </w:t>
            </w:r>
          </w:p>
        </w:tc>
        <w:tc>
          <w:tcPr>
            <w:tcW w:w="2260" w:type="pct"/>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700±60</w:t>
            </w:r>
          </w:p>
        </w:tc>
      </w:tr>
    </w:tbl>
    <w:p w:rsidR="009D1BB0" w:rsidRPr="00742B20" w:rsidRDefault="009D1BB0" w:rsidP="00742B20">
      <w:pPr>
        <w:pStyle w:val="a8"/>
        <w:spacing w:after="0" w:line="360" w:lineRule="auto"/>
        <w:ind w:left="0" w:firstLine="709"/>
        <w:jc w:val="both"/>
        <w:rPr>
          <w:sz w:val="28"/>
          <w:szCs w:val="28"/>
        </w:rPr>
      </w:pPr>
    </w:p>
    <w:p w:rsidR="009D1BB0" w:rsidRPr="007549FF" w:rsidRDefault="009D1BB0" w:rsidP="00742B20">
      <w:pPr>
        <w:pStyle w:val="a8"/>
        <w:spacing w:after="0" w:line="360" w:lineRule="auto"/>
        <w:ind w:left="0" w:firstLine="709"/>
        <w:jc w:val="both"/>
        <w:rPr>
          <w:b/>
          <w:sz w:val="28"/>
          <w:szCs w:val="28"/>
        </w:rPr>
      </w:pPr>
      <w:r w:rsidRPr="007549FF">
        <w:rPr>
          <w:b/>
          <w:sz w:val="28"/>
          <w:szCs w:val="28"/>
        </w:rPr>
        <w:t>Внутреннее облучение от ради</w:t>
      </w:r>
      <w:r w:rsidR="007549FF" w:rsidRPr="007549FF">
        <w:rPr>
          <w:b/>
          <w:sz w:val="28"/>
          <w:szCs w:val="28"/>
        </w:rPr>
        <w:t>онуклидов земного происхождения</w:t>
      </w:r>
    </w:p>
    <w:p w:rsidR="007549FF" w:rsidRPr="00742B20" w:rsidRDefault="007549FF"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 xml:space="preserve">В организме человека постоянно присутствуют радионуклиды земного происхождения, поступающие через органы дыхания и пищеварения. наибольший вклад в формирование дозы внутреннего облучения вносят </w:t>
      </w:r>
      <w:r w:rsidRPr="00742B20">
        <w:rPr>
          <w:sz w:val="28"/>
          <w:szCs w:val="28"/>
          <w:vertAlign w:val="superscript"/>
        </w:rPr>
        <w:t>40</w:t>
      </w:r>
      <w:r w:rsidRPr="00742B20">
        <w:rPr>
          <w:sz w:val="28"/>
          <w:szCs w:val="28"/>
        </w:rPr>
        <w:t xml:space="preserve">К, </w:t>
      </w:r>
      <w:r w:rsidRPr="00742B20">
        <w:rPr>
          <w:sz w:val="28"/>
          <w:szCs w:val="28"/>
          <w:vertAlign w:val="superscript"/>
        </w:rPr>
        <w:t>87</w:t>
      </w:r>
      <w:r w:rsidRPr="00742B20">
        <w:rPr>
          <w:sz w:val="28"/>
          <w:szCs w:val="28"/>
          <w:lang w:val="en-US"/>
        </w:rPr>
        <w:t>Rb</w:t>
      </w:r>
      <w:r w:rsidRPr="00742B20">
        <w:rPr>
          <w:sz w:val="28"/>
          <w:szCs w:val="28"/>
        </w:rPr>
        <w:t xml:space="preserve">, и нуклиды рядов распада </w:t>
      </w:r>
      <w:r w:rsidRPr="00742B20">
        <w:rPr>
          <w:sz w:val="28"/>
          <w:szCs w:val="28"/>
          <w:vertAlign w:val="superscript"/>
        </w:rPr>
        <w:t>238</w:t>
      </w:r>
      <w:r w:rsidRPr="00742B20">
        <w:rPr>
          <w:sz w:val="28"/>
          <w:szCs w:val="28"/>
          <w:lang w:val="en-US"/>
        </w:rPr>
        <w:t>U</w:t>
      </w:r>
      <w:r w:rsidRPr="00742B20">
        <w:rPr>
          <w:sz w:val="28"/>
          <w:szCs w:val="28"/>
        </w:rPr>
        <w:t xml:space="preserve"> и </w:t>
      </w:r>
      <w:r w:rsidRPr="00742B20">
        <w:rPr>
          <w:sz w:val="28"/>
          <w:szCs w:val="28"/>
          <w:vertAlign w:val="superscript"/>
        </w:rPr>
        <w:t>232</w:t>
      </w:r>
      <w:r w:rsidRPr="00742B20">
        <w:rPr>
          <w:sz w:val="28"/>
          <w:szCs w:val="28"/>
          <w:lang w:val="en-US"/>
        </w:rPr>
        <w:t>Th</w:t>
      </w:r>
      <w:r w:rsidRPr="00742B20">
        <w:rPr>
          <w:sz w:val="28"/>
          <w:szCs w:val="28"/>
        </w:rPr>
        <w:t xml:space="preserve"> (табл. 4).</w:t>
      </w:r>
    </w:p>
    <w:p w:rsidR="009D1BB0" w:rsidRDefault="009D1BB0" w:rsidP="00742B20">
      <w:pPr>
        <w:pStyle w:val="a8"/>
        <w:spacing w:after="0" w:line="360" w:lineRule="auto"/>
        <w:ind w:left="0" w:firstLine="709"/>
        <w:jc w:val="both"/>
        <w:rPr>
          <w:sz w:val="28"/>
          <w:szCs w:val="28"/>
        </w:rPr>
      </w:pPr>
      <w:r w:rsidRPr="00742B20">
        <w:rPr>
          <w:sz w:val="28"/>
          <w:szCs w:val="28"/>
        </w:rPr>
        <w:t>Средняя доза внутреннего облучения за счет радионуклидов земного происхождения составляет 1,35 мЗв/год. Наибольший вклад (около ѕ годовой дозы) дают не имеющий вкуса и запаха тяжелый газ радон и продукты его распада. Поступив в организм при входе, он вызывает облучение слизистых тканей легких. Радон высвобождается из земной коры повсеместно, но его концентрация в наружном воздухе существенно различается для различных точек Земного шара. Однако большую часть дозы облучения от радона человек получает, находясь в закрытом непроветриваемом помещении. В зонах с благоприятным климатом концентра для радона в закрытых помещениях в среднем примерно в 8 раз выше, чем в наружном воздухе. Источниками радона являются также строительные материалы. Так, например, большой удельной радиоактивностью обладают гранит и пемза, кальций-силикатрий, шлак и ряд других материалов. Радон проникает в помещение из Земли и через различные трещины в межэтажных перекрытиях, через вентиляционные каналы и т.д. Источниками поступления радона в жилые помещения являются также природный газ и вода (табл. 5).</w:t>
      </w:r>
    </w:p>
    <w:p w:rsidR="00742B20" w:rsidRPr="00742B20" w:rsidRDefault="00742B2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Таблица 4.</w:t>
      </w:r>
    </w:p>
    <w:tbl>
      <w:tblPr>
        <w:tblW w:w="792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0"/>
        <w:gridCol w:w="2530"/>
        <w:gridCol w:w="3080"/>
      </w:tblGrid>
      <w:tr w:rsidR="009D1BB0" w:rsidRPr="00742B20" w:rsidTr="00742B20">
        <w:tc>
          <w:tcPr>
            <w:tcW w:w="7920" w:type="dxa"/>
            <w:gridSpan w:val="3"/>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Среднегодовая эффективная эквивалентная доза внутреннего облучения.</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Радионуклид.</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Полураспада.</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Среднегодовая эффективная эквивалентная доза мкЗв.</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vertAlign w:val="superscript"/>
              </w:rPr>
              <w:t>40</w:t>
            </w:r>
            <w:r w:rsidRPr="00742B20">
              <w:rPr>
                <w:sz w:val="20"/>
                <w:szCs w:val="20"/>
              </w:rPr>
              <w:t>К</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lang w:val="en-US"/>
              </w:rPr>
              <w:t>1.4*10</w:t>
            </w:r>
            <w:r w:rsidRPr="00742B20">
              <w:rPr>
                <w:sz w:val="20"/>
                <w:szCs w:val="20"/>
                <w:vertAlign w:val="superscript"/>
                <w:lang w:val="en-US"/>
              </w:rPr>
              <w:t>9</w:t>
            </w:r>
            <w:r w:rsidRPr="00742B20">
              <w:rPr>
                <w:sz w:val="20"/>
                <w:szCs w:val="20"/>
                <w:lang w:val="en-US"/>
              </w:rPr>
              <w:t xml:space="preserve"> </w:t>
            </w:r>
            <w:r w:rsidRPr="00742B20">
              <w:rPr>
                <w:sz w:val="20"/>
                <w:szCs w:val="20"/>
              </w:rPr>
              <w:t>лет</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180</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lang w:val="en-US"/>
              </w:rPr>
            </w:pPr>
            <w:r w:rsidRPr="00742B20">
              <w:rPr>
                <w:sz w:val="20"/>
                <w:szCs w:val="20"/>
                <w:vertAlign w:val="superscript"/>
              </w:rPr>
              <w:t>87</w:t>
            </w:r>
            <w:r w:rsidRPr="00742B20">
              <w:rPr>
                <w:sz w:val="20"/>
                <w:szCs w:val="20"/>
                <w:lang w:val="en-US"/>
              </w:rPr>
              <w:t>Rb</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lang w:val="en-US"/>
              </w:rPr>
              <w:t>4.8*10</w:t>
            </w:r>
            <w:r w:rsidRPr="00742B20">
              <w:rPr>
                <w:sz w:val="20"/>
                <w:szCs w:val="20"/>
                <w:vertAlign w:val="superscript"/>
                <w:lang w:val="en-US"/>
              </w:rPr>
              <w:t>10</w:t>
            </w:r>
            <w:r w:rsidRPr="00742B20">
              <w:rPr>
                <w:sz w:val="20"/>
                <w:szCs w:val="20"/>
                <w:lang w:val="en-US"/>
              </w:rPr>
              <w:t xml:space="preserve"> </w:t>
            </w:r>
            <w:r w:rsidRPr="00742B20">
              <w:rPr>
                <w:sz w:val="20"/>
                <w:szCs w:val="20"/>
              </w:rPr>
              <w:t>лет</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6</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lang w:val="en-US"/>
              </w:rPr>
            </w:pPr>
            <w:r w:rsidRPr="00742B20">
              <w:rPr>
                <w:sz w:val="20"/>
                <w:szCs w:val="20"/>
                <w:vertAlign w:val="superscript"/>
              </w:rPr>
              <w:t>210</w:t>
            </w:r>
            <w:r w:rsidRPr="00742B20">
              <w:rPr>
                <w:sz w:val="20"/>
                <w:szCs w:val="20"/>
                <w:lang w:val="en-US"/>
              </w:rPr>
              <w:t>Po</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lang w:val="en-US"/>
              </w:rPr>
              <w:t xml:space="preserve">160 </w:t>
            </w:r>
            <w:r w:rsidRPr="00742B20">
              <w:rPr>
                <w:sz w:val="20"/>
                <w:szCs w:val="20"/>
              </w:rPr>
              <w:t>сут</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130</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lang w:val="en-US"/>
              </w:rPr>
            </w:pPr>
            <w:r w:rsidRPr="00742B20">
              <w:rPr>
                <w:sz w:val="20"/>
                <w:szCs w:val="20"/>
                <w:vertAlign w:val="superscript"/>
              </w:rPr>
              <w:t>220</w:t>
            </w:r>
            <w:r w:rsidRPr="00742B20">
              <w:rPr>
                <w:sz w:val="20"/>
                <w:szCs w:val="20"/>
                <w:lang w:val="en-US"/>
              </w:rPr>
              <w:t>Rn</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lang w:val="en-US"/>
              </w:rPr>
              <w:t xml:space="preserve">54 </w:t>
            </w:r>
            <w:r w:rsidRPr="00742B20">
              <w:rPr>
                <w:sz w:val="20"/>
                <w:szCs w:val="20"/>
              </w:rPr>
              <w:t xml:space="preserve">с </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170-220</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lang w:val="en-US"/>
              </w:rPr>
            </w:pPr>
            <w:r w:rsidRPr="00742B20">
              <w:rPr>
                <w:sz w:val="20"/>
                <w:szCs w:val="20"/>
                <w:vertAlign w:val="superscript"/>
              </w:rPr>
              <w:t>222</w:t>
            </w:r>
            <w:r w:rsidRPr="00742B20">
              <w:rPr>
                <w:sz w:val="20"/>
                <w:szCs w:val="20"/>
                <w:lang w:val="en-US"/>
              </w:rPr>
              <w:t>Rn</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3,8 сут</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800-1000</w:t>
            </w:r>
          </w:p>
        </w:tc>
      </w:tr>
      <w:tr w:rsidR="009D1BB0" w:rsidRPr="00742B20" w:rsidTr="00742B20">
        <w:tc>
          <w:tcPr>
            <w:tcW w:w="2310" w:type="dxa"/>
            <w:vAlign w:val="center"/>
          </w:tcPr>
          <w:p w:rsidR="009D1BB0" w:rsidRPr="00742B20" w:rsidRDefault="009D1BB0" w:rsidP="00742B20">
            <w:pPr>
              <w:pStyle w:val="a8"/>
              <w:spacing w:after="0" w:line="360" w:lineRule="auto"/>
              <w:ind w:left="0" w:firstLine="110"/>
              <w:jc w:val="both"/>
              <w:rPr>
                <w:sz w:val="20"/>
                <w:szCs w:val="20"/>
                <w:lang w:val="en-US"/>
              </w:rPr>
            </w:pPr>
            <w:r w:rsidRPr="00742B20">
              <w:rPr>
                <w:sz w:val="20"/>
                <w:szCs w:val="20"/>
                <w:vertAlign w:val="superscript"/>
              </w:rPr>
              <w:t>226</w:t>
            </w:r>
            <w:r w:rsidRPr="00742B20">
              <w:rPr>
                <w:sz w:val="20"/>
                <w:szCs w:val="20"/>
                <w:lang w:val="en-US"/>
              </w:rPr>
              <w:t>Ra</w:t>
            </w:r>
          </w:p>
        </w:tc>
        <w:tc>
          <w:tcPr>
            <w:tcW w:w="253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1600 лет</w:t>
            </w:r>
          </w:p>
        </w:tc>
        <w:tc>
          <w:tcPr>
            <w:tcW w:w="308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13</w:t>
            </w:r>
          </w:p>
        </w:tc>
      </w:tr>
    </w:tbl>
    <w:p w:rsidR="009D1BB0" w:rsidRPr="00742B20" w:rsidRDefault="009D1BB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Таблица 5.</w:t>
      </w:r>
    </w:p>
    <w:tbl>
      <w:tblPr>
        <w:tblW w:w="7920"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0"/>
        <w:gridCol w:w="3410"/>
      </w:tblGrid>
      <w:tr w:rsidR="009D1BB0" w:rsidRPr="00742B20" w:rsidTr="00742B20">
        <w:tc>
          <w:tcPr>
            <w:tcW w:w="7920" w:type="dxa"/>
            <w:gridSpan w:val="2"/>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Мощность излучения различных источников радона.</w:t>
            </w:r>
          </w:p>
        </w:tc>
      </w:tr>
      <w:tr w:rsidR="009D1BB0" w:rsidRPr="00742B20" w:rsidTr="00742B20">
        <w:tc>
          <w:tcPr>
            <w:tcW w:w="45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Источник радона.</w:t>
            </w:r>
          </w:p>
        </w:tc>
        <w:tc>
          <w:tcPr>
            <w:tcW w:w="34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Мощность излучения кБк</w:t>
            </w:r>
            <w:r w:rsidRPr="00742B20">
              <w:rPr>
                <w:sz w:val="20"/>
                <w:szCs w:val="20"/>
                <w:lang w:val="en-US"/>
              </w:rPr>
              <w:t>/</w:t>
            </w:r>
            <w:r w:rsidRPr="00742B20">
              <w:rPr>
                <w:sz w:val="20"/>
                <w:szCs w:val="20"/>
              </w:rPr>
              <w:t>сут.</w:t>
            </w:r>
          </w:p>
        </w:tc>
      </w:tr>
      <w:tr w:rsidR="009D1BB0" w:rsidRPr="00742B20" w:rsidTr="00742B20">
        <w:tc>
          <w:tcPr>
            <w:tcW w:w="45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Природный газ</w:t>
            </w:r>
          </w:p>
        </w:tc>
        <w:tc>
          <w:tcPr>
            <w:tcW w:w="34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3</w:t>
            </w:r>
          </w:p>
        </w:tc>
      </w:tr>
      <w:tr w:rsidR="009D1BB0" w:rsidRPr="00742B20" w:rsidTr="00742B20">
        <w:tc>
          <w:tcPr>
            <w:tcW w:w="45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 xml:space="preserve">Вода </w:t>
            </w:r>
          </w:p>
        </w:tc>
        <w:tc>
          <w:tcPr>
            <w:tcW w:w="34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4</w:t>
            </w:r>
          </w:p>
        </w:tc>
      </w:tr>
      <w:tr w:rsidR="009D1BB0" w:rsidRPr="00742B20" w:rsidTr="00742B20">
        <w:tc>
          <w:tcPr>
            <w:tcW w:w="45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Наружный воздух</w:t>
            </w:r>
          </w:p>
        </w:tc>
        <w:tc>
          <w:tcPr>
            <w:tcW w:w="34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10</w:t>
            </w:r>
          </w:p>
        </w:tc>
      </w:tr>
      <w:tr w:rsidR="009D1BB0" w:rsidRPr="00742B20" w:rsidTr="00742B20">
        <w:tc>
          <w:tcPr>
            <w:tcW w:w="45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Стройматериалы и грунт под зданием</w:t>
            </w:r>
          </w:p>
        </w:tc>
        <w:tc>
          <w:tcPr>
            <w:tcW w:w="3410" w:type="dxa"/>
            <w:vAlign w:val="center"/>
          </w:tcPr>
          <w:p w:rsidR="009D1BB0" w:rsidRPr="00742B20" w:rsidRDefault="009D1BB0" w:rsidP="00742B20">
            <w:pPr>
              <w:pStyle w:val="a8"/>
              <w:spacing w:after="0" w:line="360" w:lineRule="auto"/>
              <w:ind w:left="0" w:firstLine="110"/>
              <w:jc w:val="both"/>
              <w:rPr>
                <w:sz w:val="20"/>
                <w:szCs w:val="20"/>
              </w:rPr>
            </w:pPr>
            <w:r w:rsidRPr="00742B20">
              <w:rPr>
                <w:sz w:val="20"/>
                <w:szCs w:val="20"/>
              </w:rPr>
              <w:t>60</w:t>
            </w:r>
          </w:p>
        </w:tc>
      </w:tr>
    </w:tbl>
    <w:p w:rsidR="009D1BB0" w:rsidRPr="00742B20" w:rsidRDefault="009D1BB0" w:rsidP="00742B20">
      <w:pPr>
        <w:pStyle w:val="a8"/>
        <w:spacing w:after="0" w:line="360" w:lineRule="auto"/>
        <w:ind w:left="0" w:firstLine="709"/>
        <w:jc w:val="both"/>
        <w:rPr>
          <w:sz w:val="28"/>
          <w:szCs w:val="28"/>
        </w:rPr>
      </w:pPr>
    </w:p>
    <w:p w:rsidR="009D1BB0" w:rsidRPr="00742B20" w:rsidRDefault="009D1BB0" w:rsidP="00742B20">
      <w:pPr>
        <w:pStyle w:val="a8"/>
        <w:spacing w:after="0" w:line="360" w:lineRule="auto"/>
        <w:ind w:left="0" w:firstLine="709"/>
        <w:jc w:val="both"/>
        <w:rPr>
          <w:sz w:val="28"/>
          <w:szCs w:val="28"/>
        </w:rPr>
      </w:pPr>
      <w:r w:rsidRPr="00742B20">
        <w:rPr>
          <w:sz w:val="28"/>
          <w:szCs w:val="28"/>
        </w:rPr>
        <w:t>Доля домов, внутри которых концентрация радона и его ядерных продуктов равна от 10</w:t>
      </w:r>
      <w:r w:rsidRPr="00742B20">
        <w:rPr>
          <w:sz w:val="28"/>
          <w:szCs w:val="28"/>
          <w:vertAlign w:val="superscript"/>
        </w:rPr>
        <w:t>3</w:t>
      </w:r>
      <w:r w:rsidRPr="00742B20">
        <w:rPr>
          <w:sz w:val="28"/>
          <w:szCs w:val="28"/>
        </w:rPr>
        <w:t xml:space="preserve"> до 10</w:t>
      </w:r>
      <w:r w:rsidRPr="00742B20">
        <w:rPr>
          <w:sz w:val="28"/>
          <w:szCs w:val="28"/>
          <w:vertAlign w:val="superscript"/>
        </w:rPr>
        <w:t>4</w:t>
      </w:r>
      <w:r w:rsidRPr="00742B20">
        <w:rPr>
          <w:sz w:val="28"/>
          <w:szCs w:val="28"/>
        </w:rPr>
        <w:t xml:space="preserve"> Бк/см</w:t>
      </w:r>
      <w:r w:rsidRPr="00742B20">
        <w:rPr>
          <w:sz w:val="28"/>
          <w:szCs w:val="28"/>
          <w:vertAlign w:val="superscript"/>
        </w:rPr>
        <w:t>3</w:t>
      </w:r>
      <w:r w:rsidRPr="00742B20">
        <w:rPr>
          <w:sz w:val="28"/>
          <w:szCs w:val="28"/>
        </w:rPr>
        <w:t>, составляет от 0,01 до 0,1% в различных странах. Это означает, что значительное число людей подвергаются заметному облучению из-за высокой концентрации радона внутри домов, где они живут.</w:t>
      </w:r>
    </w:p>
    <w:p w:rsidR="009D1BB0" w:rsidRPr="00742B20" w:rsidRDefault="009D1BB0" w:rsidP="00742B20">
      <w:pPr>
        <w:pStyle w:val="a8"/>
        <w:spacing w:after="0" w:line="360" w:lineRule="auto"/>
        <w:ind w:left="0" w:firstLine="709"/>
        <w:jc w:val="both"/>
        <w:rPr>
          <w:sz w:val="28"/>
          <w:szCs w:val="28"/>
        </w:rPr>
      </w:pPr>
      <w:r w:rsidRPr="00742B20">
        <w:rPr>
          <w:sz w:val="28"/>
          <w:szCs w:val="28"/>
        </w:rPr>
        <w:t>В качестве удобрений ежегодно используются несколько десятков млн. тонн фосфатов. Большинство разрабатываемых в настоящее время фосфатных месторождений содержит уран, присутствующий в довольно высокой концентрации. Содержащиеся в удобрениях радиоизотопы проникают из почвы в пищевые продукты, приводят к повышению радиоактивности молока и других продуктов питания.</w:t>
      </w:r>
    </w:p>
    <w:p w:rsidR="00742B20" w:rsidRDefault="009D1BB0" w:rsidP="00742B20">
      <w:pPr>
        <w:pStyle w:val="a8"/>
        <w:spacing w:after="0" w:line="360" w:lineRule="auto"/>
        <w:ind w:left="0" w:firstLine="709"/>
        <w:jc w:val="both"/>
        <w:rPr>
          <w:sz w:val="28"/>
          <w:szCs w:val="28"/>
        </w:rPr>
      </w:pPr>
      <w:r w:rsidRPr="00742B20">
        <w:rPr>
          <w:sz w:val="28"/>
          <w:szCs w:val="28"/>
        </w:rPr>
        <w:t>Таким образом, эффективная доза от внутреннего облучения за счет естественных источников (1,35 мЗв/год) в среднем примерно в два раза превышает дозу внешнего облучения от них (0,65 мЗв/год). Следовательно, суммарная доза внешнего и внутреннего облучения от естественных источников радиации в среднем равна 2 мЗв/год. Для отдельных континентов населения она может быть выше. Причем максимальное превышение над средним уровнем может достигать одного порядка.</w:t>
      </w:r>
    </w:p>
    <w:p w:rsidR="009D1BB0" w:rsidRPr="00742B20" w:rsidRDefault="00742B20" w:rsidP="00742B20">
      <w:pPr>
        <w:pStyle w:val="a8"/>
        <w:spacing w:after="0" w:line="360" w:lineRule="auto"/>
        <w:jc w:val="both"/>
        <w:rPr>
          <w:b/>
          <w:sz w:val="28"/>
          <w:szCs w:val="28"/>
        </w:rPr>
      </w:pPr>
      <w:r>
        <w:rPr>
          <w:sz w:val="28"/>
          <w:szCs w:val="28"/>
        </w:rPr>
        <w:br w:type="page"/>
      </w:r>
      <w:r w:rsidRPr="00742B20">
        <w:rPr>
          <w:b/>
          <w:sz w:val="28"/>
          <w:szCs w:val="28"/>
        </w:rPr>
        <w:t>Список литературы</w:t>
      </w:r>
    </w:p>
    <w:p w:rsidR="00742B20" w:rsidRPr="00742B20" w:rsidRDefault="00742B20" w:rsidP="00742B20">
      <w:pPr>
        <w:pStyle w:val="a8"/>
        <w:spacing w:after="0" w:line="360" w:lineRule="auto"/>
        <w:jc w:val="both"/>
        <w:rPr>
          <w:sz w:val="28"/>
          <w:szCs w:val="28"/>
        </w:rPr>
      </w:pPr>
    </w:p>
    <w:p w:rsidR="009D1BB0" w:rsidRPr="00742B20" w:rsidRDefault="009D1BB0" w:rsidP="00742B20">
      <w:pPr>
        <w:pStyle w:val="a8"/>
        <w:numPr>
          <w:ilvl w:val="0"/>
          <w:numId w:val="3"/>
        </w:numPr>
        <w:spacing w:after="0" w:line="360" w:lineRule="auto"/>
        <w:ind w:left="0" w:firstLine="0"/>
        <w:jc w:val="both"/>
        <w:rPr>
          <w:sz w:val="28"/>
          <w:szCs w:val="28"/>
        </w:rPr>
      </w:pPr>
      <w:r w:rsidRPr="00742B20">
        <w:rPr>
          <w:sz w:val="28"/>
          <w:szCs w:val="28"/>
        </w:rPr>
        <w:t>Допустимые выбросы радиоактивных и вредных химических веществ в приземный слой атмосферы</w:t>
      </w:r>
      <w:r w:rsidR="00742B20">
        <w:rPr>
          <w:sz w:val="28"/>
          <w:szCs w:val="28"/>
        </w:rPr>
        <w:t xml:space="preserve"> </w:t>
      </w:r>
      <w:r w:rsidRPr="00742B20">
        <w:rPr>
          <w:sz w:val="28"/>
          <w:szCs w:val="28"/>
        </w:rPr>
        <w:t>/ Артемова Н.Е., Бондарев А.А., Карпов В.И., Курдюмов Б.С., Романов Г.Н., Руженцова И.Н., Семова Р.В., Теверовский Е.Н., Терновский И.А.;</w:t>
      </w:r>
      <w:r w:rsidR="00742B20">
        <w:rPr>
          <w:sz w:val="28"/>
          <w:szCs w:val="28"/>
        </w:rPr>
        <w:t xml:space="preserve"> </w:t>
      </w:r>
      <w:r w:rsidRPr="00742B20">
        <w:rPr>
          <w:sz w:val="28"/>
          <w:szCs w:val="28"/>
        </w:rPr>
        <w:t>под общ.</w:t>
      </w:r>
      <w:r w:rsidR="00742B20">
        <w:rPr>
          <w:sz w:val="28"/>
          <w:szCs w:val="28"/>
        </w:rPr>
        <w:t xml:space="preserve"> </w:t>
      </w:r>
      <w:r w:rsidRPr="00742B20">
        <w:rPr>
          <w:sz w:val="28"/>
          <w:szCs w:val="28"/>
        </w:rPr>
        <w:t>ред.</w:t>
      </w:r>
      <w:r w:rsidR="00742B20">
        <w:rPr>
          <w:sz w:val="28"/>
          <w:szCs w:val="28"/>
        </w:rPr>
        <w:t xml:space="preserve"> </w:t>
      </w:r>
      <w:r w:rsidRPr="00742B20">
        <w:rPr>
          <w:sz w:val="28"/>
          <w:szCs w:val="28"/>
        </w:rPr>
        <w:t>Е.Н.</w:t>
      </w:r>
      <w:r w:rsidR="00742B20">
        <w:rPr>
          <w:sz w:val="28"/>
          <w:szCs w:val="28"/>
        </w:rPr>
        <w:t xml:space="preserve"> </w:t>
      </w:r>
      <w:r w:rsidRPr="00742B20">
        <w:rPr>
          <w:sz w:val="28"/>
          <w:szCs w:val="28"/>
        </w:rPr>
        <w:t>Теверовского и И.А.</w:t>
      </w:r>
      <w:r w:rsidR="00742B20">
        <w:rPr>
          <w:sz w:val="28"/>
          <w:szCs w:val="28"/>
        </w:rPr>
        <w:t xml:space="preserve"> </w:t>
      </w:r>
      <w:r w:rsidRPr="00742B20">
        <w:rPr>
          <w:sz w:val="28"/>
          <w:szCs w:val="28"/>
        </w:rPr>
        <w:t>Терновского.</w:t>
      </w:r>
      <w:r w:rsidR="00742B20">
        <w:rPr>
          <w:sz w:val="28"/>
          <w:szCs w:val="28"/>
        </w:rPr>
        <w:t xml:space="preserve"> </w:t>
      </w:r>
      <w:r w:rsidRPr="00742B20">
        <w:rPr>
          <w:sz w:val="28"/>
          <w:szCs w:val="28"/>
        </w:rPr>
        <w:t>-</w:t>
      </w:r>
      <w:r w:rsidR="00742B20">
        <w:rPr>
          <w:sz w:val="28"/>
          <w:szCs w:val="28"/>
        </w:rPr>
        <w:t xml:space="preserve"> </w:t>
      </w:r>
      <w:r w:rsidRPr="00742B20">
        <w:rPr>
          <w:sz w:val="28"/>
          <w:szCs w:val="28"/>
        </w:rPr>
        <w:t>М.:Атомиздат.1980.</w:t>
      </w:r>
      <w:r w:rsidR="00742B20">
        <w:rPr>
          <w:sz w:val="28"/>
          <w:szCs w:val="28"/>
        </w:rPr>
        <w:t xml:space="preserve"> </w:t>
      </w:r>
      <w:r w:rsidRPr="00742B20">
        <w:rPr>
          <w:sz w:val="28"/>
          <w:szCs w:val="28"/>
        </w:rPr>
        <w:t>240 с.</w:t>
      </w:r>
    </w:p>
    <w:p w:rsidR="009D1BB0" w:rsidRPr="00742B20" w:rsidRDefault="009D1BB0" w:rsidP="00742B20">
      <w:pPr>
        <w:pStyle w:val="a8"/>
        <w:numPr>
          <w:ilvl w:val="0"/>
          <w:numId w:val="3"/>
        </w:numPr>
        <w:spacing w:after="0" w:line="360" w:lineRule="auto"/>
        <w:ind w:left="0" w:firstLine="0"/>
        <w:jc w:val="both"/>
        <w:rPr>
          <w:sz w:val="28"/>
          <w:szCs w:val="28"/>
        </w:rPr>
      </w:pPr>
      <w:r w:rsidRPr="00742B20">
        <w:rPr>
          <w:sz w:val="28"/>
          <w:szCs w:val="28"/>
        </w:rPr>
        <w:t>Дозиметрия и защита от ионизирующих излучений</w:t>
      </w:r>
      <w:r w:rsidR="00742B20">
        <w:rPr>
          <w:sz w:val="28"/>
          <w:szCs w:val="28"/>
        </w:rPr>
        <w:t xml:space="preserve"> </w:t>
      </w:r>
      <w:r w:rsidRPr="00742B20">
        <w:rPr>
          <w:sz w:val="28"/>
          <w:szCs w:val="28"/>
        </w:rPr>
        <w:t>/ Под ред. Е.Л.</w:t>
      </w:r>
      <w:r w:rsidR="00742B20">
        <w:rPr>
          <w:sz w:val="28"/>
          <w:szCs w:val="28"/>
        </w:rPr>
        <w:t xml:space="preserve"> </w:t>
      </w:r>
      <w:r w:rsidRPr="00742B20">
        <w:rPr>
          <w:sz w:val="28"/>
          <w:szCs w:val="28"/>
        </w:rPr>
        <w:t>Столяровой.-4-е изд., перераб. И доп.-М.:Энергоатомиздат,1986.-464 с.</w:t>
      </w:r>
    </w:p>
    <w:p w:rsidR="009D1BB0" w:rsidRPr="00742B20" w:rsidRDefault="009D1BB0" w:rsidP="00742B20">
      <w:pPr>
        <w:pStyle w:val="a8"/>
        <w:numPr>
          <w:ilvl w:val="0"/>
          <w:numId w:val="3"/>
        </w:numPr>
        <w:spacing w:after="0" w:line="360" w:lineRule="auto"/>
        <w:ind w:left="0" w:firstLine="0"/>
        <w:jc w:val="both"/>
        <w:rPr>
          <w:sz w:val="28"/>
          <w:szCs w:val="28"/>
        </w:rPr>
      </w:pPr>
      <w:r w:rsidRPr="00742B20">
        <w:rPr>
          <w:sz w:val="28"/>
          <w:szCs w:val="28"/>
        </w:rPr>
        <w:t>Дозиметрический и радиометрический контроль при работе с радиоактивными веществами и источниками ионизирующих излучений. (Методическое руководство). Т.1. организация и методы контроля.</w:t>
      </w:r>
      <w:r w:rsidR="00742B20">
        <w:rPr>
          <w:sz w:val="28"/>
          <w:szCs w:val="28"/>
        </w:rPr>
        <w:t xml:space="preserve"> </w:t>
      </w:r>
      <w:r w:rsidRPr="00742B20">
        <w:rPr>
          <w:sz w:val="28"/>
          <w:szCs w:val="28"/>
        </w:rPr>
        <w:t>-</w:t>
      </w:r>
      <w:r w:rsidR="00742B20">
        <w:rPr>
          <w:sz w:val="28"/>
          <w:szCs w:val="28"/>
        </w:rPr>
        <w:t xml:space="preserve"> </w:t>
      </w:r>
      <w:r w:rsidRPr="00742B20">
        <w:rPr>
          <w:sz w:val="28"/>
          <w:szCs w:val="28"/>
        </w:rPr>
        <w:t>М.: Атомиздат, 1980, 272 с.</w:t>
      </w:r>
    </w:p>
    <w:p w:rsidR="009D1BB0" w:rsidRPr="00742B20" w:rsidRDefault="009D1BB0" w:rsidP="00742B20">
      <w:pPr>
        <w:pStyle w:val="a8"/>
        <w:numPr>
          <w:ilvl w:val="0"/>
          <w:numId w:val="3"/>
        </w:numPr>
        <w:spacing w:after="0" w:line="360" w:lineRule="auto"/>
        <w:ind w:left="0" w:firstLine="0"/>
        <w:jc w:val="both"/>
        <w:rPr>
          <w:sz w:val="28"/>
          <w:szCs w:val="28"/>
        </w:rPr>
      </w:pPr>
      <w:r w:rsidRPr="00742B20">
        <w:rPr>
          <w:sz w:val="28"/>
          <w:szCs w:val="28"/>
        </w:rPr>
        <w:t>В.И.</w:t>
      </w:r>
      <w:r w:rsidR="00742B20">
        <w:rPr>
          <w:sz w:val="28"/>
          <w:szCs w:val="28"/>
        </w:rPr>
        <w:t xml:space="preserve"> </w:t>
      </w:r>
      <w:r w:rsidRPr="00742B20">
        <w:rPr>
          <w:sz w:val="28"/>
          <w:szCs w:val="28"/>
        </w:rPr>
        <w:t>Бойко, Ф.П.</w:t>
      </w:r>
      <w:r w:rsidR="00742B20">
        <w:rPr>
          <w:sz w:val="28"/>
          <w:szCs w:val="28"/>
        </w:rPr>
        <w:t xml:space="preserve"> </w:t>
      </w:r>
      <w:r w:rsidRPr="00742B20">
        <w:rPr>
          <w:sz w:val="28"/>
          <w:szCs w:val="28"/>
        </w:rPr>
        <w:t>Кошелев. Аргументы и проблемы атомной энергетики. Безопасность, экономика и экология ядерных технологий. Учебное пособие.-Томск: Изд-во ООО «Компания Янсон», 2001.</w:t>
      </w:r>
      <w:r w:rsidR="00742B20">
        <w:rPr>
          <w:sz w:val="28"/>
          <w:szCs w:val="28"/>
        </w:rPr>
        <w:t xml:space="preserve"> </w:t>
      </w:r>
      <w:r w:rsidRPr="00742B20">
        <w:rPr>
          <w:sz w:val="28"/>
          <w:szCs w:val="28"/>
        </w:rPr>
        <w:t>-</w:t>
      </w:r>
      <w:r w:rsidR="00742B20">
        <w:rPr>
          <w:sz w:val="28"/>
          <w:szCs w:val="28"/>
        </w:rPr>
        <w:t xml:space="preserve"> </w:t>
      </w:r>
      <w:r w:rsidRPr="00742B20">
        <w:rPr>
          <w:sz w:val="28"/>
          <w:szCs w:val="28"/>
        </w:rPr>
        <w:t>80 с.</w:t>
      </w:r>
    </w:p>
    <w:p w:rsidR="009D1BB0" w:rsidRPr="00742B20" w:rsidRDefault="009D1BB0" w:rsidP="00742B20">
      <w:pPr>
        <w:pStyle w:val="a8"/>
        <w:spacing w:after="0" w:line="360" w:lineRule="auto"/>
        <w:jc w:val="both"/>
        <w:rPr>
          <w:sz w:val="28"/>
          <w:szCs w:val="28"/>
        </w:rPr>
      </w:pPr>
      <w:bookmarkStart w:id="0" w:name="_GoBack"/>
      <w:bookmarkEnd w:id="0"/>
    </w:p>
    <w:sectPr w:rsidR="009D1BB0" w:rsidRPr="00742B20" w:rsidSect="00742B20">
      <w:footerReference w:type="first" r:id="rId11"/>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5CC" w:rsidRDefault="00F875CC" w:rsidP="00B2217A">
      <w:pPr>
        <w:spacing w:after="0" w:line="240" w:lineRule="auto"/>
      </w:pPr>
      <w:r>
        <w:separator/>
      </w:r>
    </w:p>
  </w:endnote>
  <w:endnote w:type="continuationSeparator" w:id="0">
    <w:p w:rsidR="00F875CC" w:rsidRDefault="00F875CC" w:rsidP="00B2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BB0" w:rsidRPr="00B2217A" w:rsidRDefault="009D1BB0" w:rsidP="00B2217A">
    <w:pPr>
      <w:pStyle w:val="a6"/>
      <w:spacing w:line="360" w:lineRule="auto"/>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5CC" w:rsidRDefault="00F875CC" w:rsidP="00B2217A">
      <w:pPr>
        <w:spacing w:after="0" w:line="240" w:lineRule="auto"/>
      </w:pPr>
      <w:r>
        <w:separator/>
      </w:r>
    </w:p>
  </w:footnote>
  <w:footnote w:type="continuationSeparator" w:id="0">
    <w:p w:rsidR="00F875CC" w:rsidRDefault="00F875CC" w:rsidP="00B22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81C268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AC24E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860BD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BC8CC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9404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DCB7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3CB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1C55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C68CA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0184020"/>
    <w:lvl w:ilvl="0">
      <w:start w:val="1"/>
      <w:numFmt w:val="bullet"/>
      <w:lvlText w:val=""/>
      <w:lvlJc w:val="left"/>
      <w:pPr>
        <w:tabs>
          <w:tab w:val="num" w:pos="360"/>
        </w:tabs>
        <w:ind w:left="360" w:hanging="360"/>
      </w:pPr>
      <w:rPr>
        <w:rFonts w:ascii="Symbol" w:hAnsi="Symbol" w:hint="default"/>
      </w:rPr>
    </w:lvl>
  </w:abstractNum>
  <w:abstractNum w:abstractNumId="10">
    <w:nsid w:val="1D9E6739"/>
    <w:multiLevelType w:val="hybridMultilevel"/>
    <w:tmpl w:val="4E183F5A"/>
    <w:lvl w:ilvl="0" w:tplc="C73859E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231A44A4"/>
    <w:multiLevelType w:val="hybridMultilevel"/>
    <w:tmpl w:val="EEA24538"/>
    <w:lvl w:ilvl="0" w:tplc="47504B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7A640B6"/>
    <w:multiLevelType w:val="hybridMultilevel"/>
    <w:tmpl w:val="CB14369C"/>
    <w:lvl w:ilvl="0" w:tplc="7288630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17A"/>
    <w:rsid w:val="000270A3"/>
    <w:rsid w:val="00051EF7"/>
    <w:rsid w:val="000D5E03"/>
    <w:rsid w:val="000D5F5F"/>
    <w:rsid w:val="00162290"/>
    <w:rsid w:val="00373D25"/>
    <w:rsid w:val="003C0AB8"/>
    <w:rsid w:val="004A4CC0"/>
    <w:rsid w:val="005F3709"/>
    <w:rsid w:val="00605A8C"/>
    <w:rsid w:val="0070155C"/>
    <w:rsid w:val="00742B20"/>
    <w:rsid w:val="007549FF"/>
    <w:rsid w:val="00774CE4"/>
    <w:rsid w:val="00856BA2"/>
    <w:rsid w:val="009548F2"/>
    <w:rsid w:val="00974CEC"/>
    <w:rsid w:val="009D1BB0"/>
    <w:rsid w:val="00A87C84"/>
    <w:rsid w:val="00B2217A"/>
    <w:rsid w:val="00B378F1"/>
    <w:rsid w:val="00B51FC7"/>
    <w:rsid w:val="00BF1983"/>
    <w:rsid w:val="00C42B10"/>
    <w:rsid w:val="00C503B2"/>
    <w:rsid w:val="00C63BA6"/>
    <w:rsid w:val="00D87A32"/>
    <w:rsid w:val="00E20B90"/>
    <w:rsid w:val="00E23092"/>
    <w:rsid w:val="00E239A9"/>
    <w:rsid w:val="00E33B09"/>
    <w:rsid w:val="00EE6443"/>
    <w:rsid w:val="00F368EC"/>
    <w:rsid w:val="00F875CC"/>
    <w:rsid w:val="00FD4269"/>
    <w:rsid w:val="00FE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C4224779-7EA6-41A1-BFE1-DEB917E0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DED"/>
    <w:pPr>
      <w:spacing w:after="200" w:line="276" w:lineRule="auto"/>
    </w:pPr>
    <w:rPr>
      <w:sz w:val="22"/>
      <w:szCs w:val="22"/>
    </w:rPr>
  </w:style>
  <w:style w:type="paragraph" w:styleId="1">
    <w:name w:val="heading 1"/>
    <w:basedOn w:val="a"/>
    <w:next w:val="a"/>
    <w:link w:val="10"/>
    <w:uiPriority w:val="99"/>
    <w:qFormat/>
    <w:rsid w:val="00605A8C"/>
    <w:pPr>
      <w:keepNext/>
      <w:keepLines/>
      <w:spacing w:before="480" w:after="0"/>
      <w:outlineLvl w:val="0"/>
    </w:pPr>
    <w:rPr>
      <w:rFonts w:ascii="Arial" w:hAnsi="Arial"/>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605A8C"/>
    <w:pPr>
      <w:outlineLvl w:val="9"/>
    </w:pPr>
    <w:rPr>
      <w:lang w:eastAsia="en-US"/>
    </w:rPr>
  </w:style>
  <w:style w:type="paragraph" w:styleId="a4">
    <w:name w:val="header"/>
    <w:basedOn w:val="a"/>
    <w:link w:val="a5"/>
    <w:uiPriority w:val="99"/>
    <w:semiHidden/>
    <w:rsid w:val="00B2217A"/>
    <w:pPr>
      <w:tabs>
        <w:tab w:val="center" w:pos="4677"/>
        <w:tab w:val="right" w:pos="9355"/>
      </w:tabs>
      <w:spacing w:after="0" w:line="240" w:lineRule="auto"/>
    </w:pPr>
  </w:style>
  <w:style w:type="paragraph" w:styleId="a6">
    <w:name w:val="footer"/>
    <w:basedOn w:val="a"/>
    <w:link w:val="a7"/>
    <w:uiPriority w:val="99"/>
    <w:rsid w:val="00B2217A"/>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B2217A"/>
    <w:rPr>
      <w:rFonts w:cs="Times New Roman"/>
    </w:rPr>
  </w:style>
  <w:style w:type="paragraph" w:styleId="a8">
    <w:name w:val="List Paragraph"/>
    <w:basedOn w:val="a"/>
    <w:uiPriority w:val="99"/>
    <w:qFormat/>
    <w:rsid w:val="00051EF7"/>
    <w:pPr>
      <w:ind w:left="720"/>
      <w:contextualSpacing/>
    </w:pPr>
  </w:style>
  <w:style w:type="character" w:customStyle="1" w:styleId="a7">
    <w:name w:val="Нижний колонтитул Знак"/>
    <w:link w:val="a6"/>
    <w:uiPriority w:val="99"/>
    <w:locked/>
    <w:rsid w:val="00B2217A"/>
    <w:rPr>
      <w:rFonts w:cs="Times New Roman"/>
    </w:rPr>
  </w:style>
  <w:style w:type="character" w:styleId="a9">
    <w:name w:val="Placeholder Text"/>
    <w:uiPriority w:val="99"/>
    <w:semiHidden/>
    <w:rsid w:val="0070155C"/>
    <w:rPr>
      <w:rFonts w:cs="Times New Roman"/>
      <w:color w:val="808080"/>
    </w:rPr>
  </w:style>
  <w:style w:type="paragraph" w:styleId="aa">
    <w:name w:val="Balloon Text"/>
    <w:basedOn w:val="a"/>
    <w:link w:val="ab"/>
    <w:uiPriority w:val="99"/>
    <w:semiHidden/>
    <w:rsid w:val="0070155C"/>
    <w:pPr>
      <w:spacing w:after="0" w:line="240" w:lineRule="auto"/>
    </w:pPr>
    <w:rPr>
      <w:rFonts w:ascii="Tahoma" w:hAnsi="Tahoma" w:cs="Tahoma"/>
      <w:sz w:val="16"/>
      <w:szCs w:val="16"/>
    </w:rPr>
  </w:style>
  <w:style w:type="table" w:styleId="ac">
    <w:name w:val="Table Grid"/>
    <w:basedOn w:val="a1"/>
    <w:uiPriority w:val="99"/>
    <w:rsid w:val="00856B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Текст выноски Знак"/>
    <w:link w:val="aa"/>
    <w:uiPriority w:val="99"/>
    <w:semiHidden/>
    <w:locked/>
    <w:rsid w:val="0070155C"/>
    <w:rPr>
      <w:rFonts w:ascii="Tahoma" w:hAnsi="Tahoma" w:cs="Tahoma"/>
      <w:sz w:val="16"/>
      <w:szCs w:val="16"/>
    </w:rPr>
  </w:style>
  <w:style w:type="character" w:customStyle="1" w:styleId="10">
    <w:name w:val="Заголовок 1 Знак"/>
    <w:link w:val="1"/>
    <w:uiPriority w:val="99"/>
    <w:locked/>
    <w:rsid w:val="00605A8C"/>
    <w:rPr>
      <w:rFonts w:ascii="Arial" w:hAnsi="Arial" w:cs="Times New Roman"/>
      <w:b/>
      <w:bCs/>
      <w:color w:val="365F91"/>
      <w:sz w:val="28"/>
      <w:szCs w:val="28"/>
    </w:rPr>
  </w:style>
  <w:style w:type="paragraph" w:styleId="2">
    <w:name w:val="toc 2"/>
    <w:basedOn w:val="a"/>
    <w:next w:val="a"/>
    <w:autoRedefine/>
    <w:uiPriority w:val="99"/>
    <w:semiHidden/>
    <w:rsid w:val="00605A8C"/>
    <w:pPr>
      <w:spacing w:after="100"/>
      <w:ind w:left="220"/>
    </w:pPr>
    <w:rPr>
      <w:lang w:eastAsia="en-US"/>
    </w:rPr>
  </w:style>
  <w:style w:type="paragraph" w:styleId="11">
    <w:name w:val="toc 1"/>
    <w:basedOn w:val="a"/>
    <w:next w:val="a"/>
    <w:autoRedefine/>
    <w:uiPriority w:val="99"/>
    <w:semiHidden/>
    <w:rsid w:val="00605A8C"/>
    <w:pPr>
      <w:spacing w:after="100"/>
    </w:pPr>
    <w:rPr>
      <w:lang w:eastAsia="en-US"/>
    </w:rPr>
  </w:style>
  <w:style w:type="paragraph" w:styleId="3">
    <w:name w:val="toc 3"/>
    <w:basedOn w:val="a"/>
    <w:next w:val="a"/>
    <w:autoRedefine/>
    <w:uiPriority w:val="99"/>
    <w:semiHidden/>
    <w:rsid w:val="00742B20"/>
    <w:pPr>
      <w:tabs>
        <w:tab w:val="right" w:leader="dot" w:pos="9638"/>
      </w:tabs>
      <w:spacing w:after="0" w:line="360" w:lineRule="auto"/>
      <w:ind w:left="770"/>
      <w:jc w:val="both"/>
    </w:pPr>
    <w:rPr>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1685</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ТОМСКИЙ ГОСУДАРСТВЕННЫЙ УНИВЕРСИТЕТ</vt:lpstr>
    </vt:vector>
  </TitlesOfParts>
  <Company>Дом</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ТОМСКИЙ ГОСУДАРСТВЕННЫЙ УНИВЕРСИТЕТ</dc:title>
  <dc:subject/>
  <dc:creator>Хозяин</dc:creator>
  <cp:keywords/>
  <dc:description/>
  <cp:lastModifiedBy>admin</cp:lastModifiedBy>
  <cp:revision>2</cp:revision>
  <cp:lastPrinted>2007-11-15T03:55:00Z</cp:lastPrinted>
  <dcterms:created xsi:type="dcterms:W3CDTF">2014-04-04T13:12:00Z</dcterms:created>
  <dcterms:modified xsi:type="dcterms:W3CDTF">2014-04-04T13:12:00Z</dcterms:modified>
</cp:coreProperties>
</file>