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AE" w:rsidRDefault="00E776AE" w:rsidP="006E072C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FB5365" w:rsidRDefault="00FB5365" w:rsidP="006E072C">
      <w:pPr>
        <w:spacing w:line="360" w:lineRule="auto"/>
        <w:jc w:val="center"/>
        <w:rPr>
          <w:b/>
          <w:sz w:val="32"/>
          <w:szCs w:val="32"/>
        </w:rPr>
      </w:pPr>
      <w:r w:rsidRPr="006E072C">
        <w:rPr>
          <w:b/>
          <w:sz w:val="32"/>
          <w:szCs w:val="32"/>
          <w:lang w:val="en-US"/>
        </w:rPr>
        <w:t>I</w:t>
      </w:r>
      <w:r w:rsidR="00A84CE7">
        <w:rPr>
          <w:b/>
          <w:sz w:val="32"/>
          <w:szCs w:val="32"/>
          <w:lang w:val="en-US"/>
        </w:rPr>
        <w:t>I</w:t>
      </w:r>
      <w:r w:rsidR="006E072C" w:rsidRPr="006E072C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ТЕОРЕТИЧЕСКАЯ ЧАСТЬ</w:t>
      </w:r>
    </w:p>
    <w:p w:rsidR="006E072C" w:rsidRPr="006E072C" w:rsidRDefault="00FB5365" w:rsidP="006E072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6E072C" w:rsidRPr="006E072C">
        <w:rPr>
          <w:b/>
          <w:sz w:val="32"/>
          <w:szCs w:val="32"/>
        </w:rPr>
        <w:t>Понятие среды обитания и виды её загрязнения</w:t>
      </w:r>
    </w:p>
    <w:p w:rsidR="006E072C" w:rsidRDefault="006E072C" w:rsidP="006E072C">
      <w:pPr>
        <w:spacing w:line="360" w:lineRule="auto"/>
        <w:ind w:firstLine="720"/>
        <w:rPr>
          <w:sz w:val="28"/>
          <w:szCs w:val="28"/>
        </w:rPr>
      </w:pPr>
      <w:r w:rsidRPr="001976FA">
        <w:rPr>
          <w:i/>
          <w:sz w:val="28"/>
          <w:szCs w:val="28"/>
        </w:rPr>
        <w:t>Среда обитания</w:t>
      </w:r>
      <w:r>
        <w:rPr>
          <w:sz w:val="28"/>
          <w:szCs w:val="28"/>
        </w:rPr>
        <w:t xml:space="preserve"> – окружающая человека среда, обусловленная в данный момент совокупностью факторов (физических, химических, биологических, социальных), способных оказывать прямое или косвенное, немедленное или отдалённое воздействие на деятельность человека, его здоровье и потомство. </w:t>
      </w:r>
      <w:r w:rsidR="001976FA">
        <w:rPr>
          <w:sz w:val="28"/>
          <w:szCs w:val="28"/>
        </w:rPr>
        <w:t>[4 С.10]</w:t>
      </w:r>
    </w:p>
    <w:p w:rsidR="006E072C" w:rsidRDefault="00ED2EEE" w:rsidP="006E072C">
      <w:pPr>
        <w:spacing w:line="360" w:lineRule="auto"/>
        <w:ind w:firstLine="720"/>
        <w:rPr>
          <w:sz w:val="28"/>
          <w:szCs w:val="28"/>
        </w:rPr>
      </w:pPr>
      <w:r w:rsidRPr="001976FA">
        <w:rPr>
          <w:i/>
          <w:sz w:val="28"/>
          <w:szCs w:val="28"/>
        </w:rPr>
        <w:t>Загрязнение</w:t>
      </w:r>
      <w:r w:rsidRPr="00ED2EEE">
        <w:rPr>
          <w:sz w:val="28"/>
          <w:szCs w:val="28"/>
        </w:rPr>
        <w:t xml:space="preserve"> – неблагоприятное изменение среды обитания, являющееся полностью или в основном побочным резу</w:t>
      </w:r>
      <w:r>
        <w:rPr>
          <w:sz w:val="28"/>
          <w:szCs w:val="28"/>
        </w:rPr>
        <w:t>льтатом деятельности человека. Некоторые «изменения», такие как загрязнение воздуха или воды, могут непосредственно влиять на здоровье и жизнедеятельность организма. Другие чреваты косвенными эффектами, например, выбросы углекислого газа сказываются на климате, что в свою очередь отражается на производстве продуктов питания;</w:t>
      </w:r>
      <w:r w:rsidR="000126D9">
        <w:rPr>
          <w:sz w:val="28"/>
          <w:szCs w:val="28"/>
        </w:rPr>
        <w:t xml:space="preserve"> сдвиги в концентрации </w:t>
      </w:r>
      <w:r w:rsidR="00747499">
        <w:rPr>
          <w:sz w:val="28"/>
          <w:szCs w:val="28"/>
        </w:rPr>
        <w:t>биогенов приводят к гибели одних популяций и бурному размножению других. Кроме того, такие изменения, как, например засорение мест отдыха, просто уменьшают возможности для полноценного отдыха и общения с природой.</w:t>
      </w:r>
    </w:p>
    <w:p w:rsidR="006E072C" w:rsidRDefault="00747499" w:rsidP="006E072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качестве загрязнителей выступают нормальные побочные продукты жизнедеятельности любых организмов, в том числе и человека как чисто биологического вида и как социального, творческого существа. </w:t>
      </w:r>
    </w:p>
    <w:p w:rsidR="006E072C" w:rsidRDefault="00747499" w:rsidP="006E072C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 протяжении большей части своей истории люди избавлялись от отходов за счет природных процессов. Но сегодня ситуация стала крайне нестабильной. Демографический взрыв в сочетании с возрастающим расходом сырья и энергии привели к поступлению в окружающую среду огромных количеств отходов и других ненужных человечеству материалов</w:t>
      </w:r>
      <w:r w:rsidR="00A94190">
        <w:rPr>
          <w:sz w:val="28"/>
          <w:szCs w:val="28"/>
        </w:rPr>
        <w:t>. Даже в том случае, если они биодеградируют, т.е. способны ассимилироваться и рециклироваться организмами, их объемы превосходят возможности естественных экосистем.</w:t>
      </w:r>
      <w:r w:rsidR="007432CB">
        <w:rPr>
          <w:sz w:val="28"/>
          <w:szCs w:val="28"/>
        </w:rPr>
        <w:t xml:space="preserve"> [3 С.177]</w:t>
      </w:r>
    </w:p>
    <w:p w:rsidR="00034E0B" w:rsidRDefault="00A94190" w:rsidP="00034E0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4E58D2">
        <w:rPr>
          <w:sz w:val="28"/>
          <w:szCs w:val="28"/>
        </w:rPr>
        <w:t>зависимости от природы происхожде</w:t>
      </w:r>
      <w:r w:rsidR="0029769E">
        <w:rPr>
          <w:sz w:val="28"/>
          <w:szCs w:val="28"/>
        </w:rPr>
        <w:t>ния можно выделить следующие вид</w:t>
      </w:r>
      <w:r w:rsidR="004E58D2">
        <w:rPr>
          <w:sz w:val="28"/>
          <w:szCs w:val="28"/>
        </w:rPr>
        <w:t xml:space="preserve">ы загрязнений среды обитания: </w:t>
      </w:r>
    </w:p>
    <w:p w:rsidR="00034E0B" w:rsidRDefault="004E58D2" w:rsidP="00034E0B">
      <w:pPr>
        <w:spacing w:line="360" w:lineRule="auto"/>
        <w:ind w:firstLine="720"/>
        <w:rPr>
          <w:sz w:val="28"/>
          <w:szCs w:val="28"/>
        </w:rPr>
      </w:pPr>
      <w:r w:rsidRPr="0029769E">
        <w:rPr>
          <w:b/>
          <w:i/>
          <w:sz w:val="28"/>
          <w:szCs w:val="28"/>
        </w:rPr>
        <w:t>1. Физические загрязнения</w:t>
      </w:r>
      <w:r>
        <w:rPr>
          <w:sz w:val="28"/>
          <w:szCs w:val="28"/>
        </w:rPr>
        <w:t xml:space="preserve"> – радиоактивные вещества, электромагнитные излучения, тепловое загрязнение, шумы, вибрация. </w:t>
      </w:r>
    </w:p>
    <w:p w:rsidR="00034E0B" w:rsidRDefault="004E58D2" w:rsidP="00034E0B">
      <w:pPr>
        <w:spacing w:line="360" w:lineRule="auto"/>
        <w:ind w:firstLine="720"/>
        <w:rPr>
          <w:sz w:val="28"/>
          <w:szCs w:val="28"/>
        </w:rPr>
      </w:pPr>
      <w:r w:rsidRPr="0029769E">
        <w:rPr>
          <w:b/>
          <w:i/>
          <w:sz w:val="28"/>
          <w:szCs w:val="28"/>
        </w:rPr>
        <w:t>2. Химические загрязнения</w:t>
      </w:r>
      <w:r>
        <w:rPr>
          <w:sz w:val="28"/>
          <w:szCs w:val="28"/>
        </w:rPr>
        <w:t xml:space="preserve"> – производные углерода и серы, углеводороды, моющие средства, пестициды, фтористые соединения, тяжелые металлы, аэрозоли (дисперсные системы, состоящие из твёрдых или жидких частиц, взвешенных в газообразной среде)</w:t>
      </w:r>
      <w:r w:rsidR="00034E0B">
        <w:rPr>
          <w:sz w:val="28"/>
          <w:szCs w:val="28"/>
        </w:rPr>
        <w:t>.</w:t>
      </w:r>
    </w:p>
    <w:p w:rsidR="00034E0B" w:rsidRDefault="004E58D2" w:rsidP="00034E0B">
      <w:pPr>
        <w:spacing w:line="360" w:lineRule="auto"/>
        <w:ind w:firstLine="720"/>
        <w:rPr>
          <w:sz w:val="28"/>
          <w:szCs w:val="28"/>
        </w:rPr>
      </w:pPr>
      <w:r w:rsidRPr="0029769E">
        <w:rPr>
          <w:b/>
          <w:i/>
          <w:sz w:val="28"/>
          <w:szCs w:val="28"/>
        </w:rPr>
        <w:t>3. Биологические загрязнения</w:t>
      </w:r>
      <w:r>
        <w:rPr>
          <w:sz w:val="28"/>
          <w:szCs w:val="28"/>
        </w:rPr>
        <w:t xml:space="preserve"> – болезнетворные бактерии и вирусы, гельминты, простейшие, нарушения </w:t>
      </w:r>
      <w:r w:rsidR="00383F89">
        <w:rPr>
          <w:sz w:val="28"/>
          <w:szCs w:val="28"/>
        </w:rPr>
        <w:t>биоценозов из-за неумелого внедрения новых видов организмов.</w:t>
      </w:r>
    </w:p>
    <w:p w:rsidR="006E072C" w:rsidRDefault="00383F89" w:rsidP="00034E0B">
      <w:pPr>
        <w:spacing w:line="360" w:lineRule="auto"/>
        <w:ind w:firstLine="720"/>
        <w:rPr>
          <w:sz w:val="28"/>
          <w:szCs w:val="28"/>
        </w:rPr>
      </w:pPr>
      <w:r w:rsidRPr="0029769E">
        <w:rPr>
          <w:b/>
          <w:i/>
          <w:sz w:val="28"/>
          <w:szCs w:val="28"/>
        </w:rPr>
        <w:t xml:space="preserve"> 4. Эстетический вред</w:t>
      </w:r>
      <w:r>
        <w:rPr>
          <w:sz w:val="28"/>
          <w:szCs w:val="28"/>
        </w:rPr>
        <w:t xml:space="preserve"> – нарушение естественных ландшафтов грубой урбанизацией, строительство индустриальных центров в девственных лесах и др.</w:t>
      </w:r>
      <w:r w:rsidR="007432CB" w:rsidRPr="007432CB">
        <w:rPr>
          <w:sz w:val="28"/>
          <w:szCs w:val="28"/>
        </w:rPr>
        <w:t xml:space="preserve"> </w:t>
      </w:r>
      <w:r w:rsidR="007432CB">
        <w:rPr>
          <w:sz w:val="28"/>
          <w:szCs w:val="28"/>
        </w:rPr>
        <w:t>[3 С.180]</w:t>
      </w:r>
    </w:p>
    <w:p w:rsidR="00383F89" w:rsidRDefault="00804FB4" w:rsidP="006E072C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141.65pt;margin-top:33.55pt;width:2in;height:64.55pt;z-index:251655168">
            <v:textbox style="mso-next-textbox:#_x0000_s1037">
              <w:txbxContent>
                <w:p w:rsidR="00093602" w:rsidRDefault="00093602" w:rsidP="00093602">
                  <w:pPr>
                    <w:jc w:val="center"/>
                  </w:pPr>
                  <w:r>
                    <w:t xml:space="preserve">Биологическое накопление </w:t>
                  </w:r>
                  <w:r w:rsidR="00600125">
                    <w:t>(концентрация)</w:t>
                  </w:r>
                  <w:r w:rsidR="00171E66">
                    <w:t xml:space="preserve"> загрязняющ</w:t>
                  </w:r>
                  <w:r>
                    <w:t>их веществ</w:t>
                  </w:r>
                </w:p>
                <w:p w:rsidR="00093602" w:rsidRDefault="00093602"/>
              </w:txbxContent>
            </v:textbox>
          </v:shape>
        </w:pict>
      </w:r>
      <w:r w:rsidR="00383F89">
        <w:rPr>
          <w:sz w:val="28"/>
          <w:szCs w:val="28"/>
        </w:rPr>
        <w:t xml:space="preserve">Процесс загрязнения </w:t>
      </w:r>
      <w:r w:rsidR="001E18C4">
        <w:rPr>
          <w:sz w:val="28"/>
          <w:szCs w:val="28"/>
        </w:rPr>
        <w:t xml:space="preserve">среды обитания можно представить в виде схемы: </w: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39" editas="canvas" style="width:2in;height:54pt;mso-position-horizontal-relative:char;mso-position-vertical-relative:line" coordorigin="4537,4524" coordsize="2259,8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4537;top:4524;width:2259;height:837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383F89">
        <w:rPr>
          <w:sz w:val="28"/>
          <w:szCs w:val="28"/>
        </w:rPr>
        <w:t xml:space="preserve"> </w:t>
      </w:r>
    </w:p>
    <w:p w:rsidR="00171E66" w:rsidRDefault="00804FB4" w:rsidP="00171E6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3" style="position:absolute;flip:x y;z-index:-251660288" from="3in,11.85pt" to="216.05pt,38.85pt">
            <v:stroke endarrow="block"/>
          </v:line>
        </w:pict>
      </w:r>
      <w:r w:rsidR="00117890">
        <w:rPr>
          <w:sz w:val="28"/>
          <w:szCs w:val="28"/>
        </w:rPr>
        <w:t xml:space="preserve">                                                            </w:t>
      </w:r>
    </w:p>
    <w:p w:rsidR="00B73569" w:rsidRDefault="00804FB4" w:rsidP="00171E6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109" style="position:absolute;margin-left:2in;margin-top:14.7pt;width:2in;height:54pt;z-index:251657216">
            <v:textbox style="mso-next-textbox:#_x0000_s1044">
              <w:txbxContent>
                <w:p w:rsidR="00B73569" w:rsidRDefault="00B73569" w:rsidP="00B73569">
                  <w:pPr>
                    <w:jc w:val="center"/>
                  </w:pPr>
                  <w:r>
                    <w:t>Включение загрязняющих веществ в биомассу</w:t>
                  </w:r>
                </w:p>
                <w:p w:rsidR="00B73569" w:rsidRDefault="00B73569" w:rsidP="00B73569">
                  <w:pPr>
                    <w:jc w:val="center"/>
                  </w:pPr>
                </w:p>
                <w:p w:rsidR="00B73569" w:rsidRDefault="00B73569" w:rsidP="00B73569"/>
              </w:txbxContent>
            </v:textbox>
          </v:shape>
        </w:pict>
      </w:r>
    </w:p>
    <w:p w:rsidR="00B73569" w:rsidRDefault="00B73569" w:rsidP="00B73569">
      <w:pPr>
        <w:rPr>
          <w:sz w:val="28"/>
          <w:szCs w:val="28"/>
        </w:rPr>
      </w:pPr>
    </w:p>
    <w:p w:rsidR="00B73569" w:rsidRDefault="00B73569" w:rsidP="00B73569">
      <w:pPr>
        <w:rPr>
          <w:sz w:val="28"/>
          <w:szCs w:val="28"/>
        </w:rPr>
      </w:pPr>
    </w:p>
    <w:p w:rsidR="00117890" w:rsidRDefault="00804FB4" w:rsidP="00B7356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5" style="position:absolute;flip:x y;z-index:251658240" from="3in,12.35pt" to="216.05pt,39.35pt">
            <v:stroke endarrow="block"/>
          </v:line>
        </w:pict>
      </w:r>
      <w:r w:rsidR="00B73569">
        <w:rPr>
          <w:sz w:val="28"/>
          <w:szCs w:val="28"/>
        </w:rPr>
        <w:t xml:space="preserve">                                                             </w:t>
      </w:r>
    </w:p>
    <w:p w:rsidR="00034E0B" w:rsidRDefault="00804FB4" w:rsidP="00034E0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109" style="position:absolute;left:0;text-align:left;margin-left:2in;margin-top:23.25pt;width:2in;height:54pt;z-index:251659264">
            <v:textbox>
              <w:txbxContent>
                <w:p w:rsidR="00343024" w:rsidRDefault="00343024" w:rsidP="00D70C56">
                  <w:pPr>
                    <w:jc w:val="center"/>
                  </w:pPr>
                  <w:r>
                    <w:t>Распространение загрязнения</w:t>
                  </w:r>
                </w:p>
                <w:p w:rsidR="00343024" w:rsidRDefault="00343024" w:rsidP="00D70C56">
                  <w:pPr>
                    <w:jc w:val="center"/>
                  </w:pPr>
                </w:p>
              </w:txbxContent>
            </v:textbox>
          </v:shape>
        </w:pict>
      </w:r>
      <w:r w:rsidR="00343024">
        <w:rPr>
          <w:sz w:val="28"/>
          <w:szCs w:val="28"/>
        </w:rPr>
        <w:t xml:space="preserve">                    </w:t>
      </w:r>
    </w:p>
    <w:p w:rsidR="00034E0B" w:rsidRDefault="00034E0B" w:rsidP="00034E0B">
      <w:pPr>
        <w:spacing w:line="360" w:lineRule="auto"/>
        <w:jc w:val="center"/>
        <w:rPr>
          <w:sz w:val="28"/>
          <w:szCs w:val="28"/>
        </w:rPr>
      </w:pPr>
    </w:p>
    <w:p w:rsidR="00034E0B" w:rsidRDefault="00034E0B" w:rsidP="00034E0B">
      <w:pPr>
        <w:spacing w:line="360" w:lineRule="auto"/>
        <w:jc w:val="center"/>
        <w:rPr>
          <w:sz w:val="28"/>
          <w:szCs w:val="28"/>
        </w:rPr>
      </w:pPr>
    </w:p>
    <w:p w:rsidR="00034E0B" w:rsidRDefault="00034E0B" w:rsidP="00034E0B">
      <w:pPr>
        <w:spacing w:line="360" w:lineRule="auto"/>
        <w:jc w:val="center"/>
        <w:rPr>
          <w:sz w:val="28"/>
          <w:szCs w:val="28"/>
        </w:rPr>
      </w:pPr>
    </w:p>
    <w:p w:rsidR="00034E0B" w:rsidRDefault="00343024" w:rsidP="00034E0B">
      <w:pPr>
        <w:spacing w:line="36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034E0B">
        <w:rPr>
          <w:b/>
          <w:sz w:val="32"/>
          <w:szCs w:val="32"/>
        </w:rPr>
        <w:t xml:space="preserve">2. </w:t>
      </w:r>
      <w:r w:rsidR="00034E0B" w:rsidRPr="004F3668">
        <w:rPr>
          <w:b/>
          <w:sz w:val="32"/>
          <w:szCs w:val="32"/>
        </w:rPr>
        <w:t>Организация систем мониторинга в России</w:t>
      </w:r>
    </w:p>
    <w:p w:rsidR="00034E0B" w:rsidRPr="004F3668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4F3668">
        <w:rPr>
          <w:sz w:val="28"/>
          <w:szCs w:val="28"/>
        </w:rPr>
        <w:t>В государственной системе управления природоохранной деятельностью в Российской Федерации важную роль играет формирование Единой государственной системы экологического мониторинга (ЕГСЭМ).</w:t>
      </w:r>
    </w:p>
    <w:p w:rsidR="00034E0B" w:rsidRDefault="00034E0B" w:rsidP="00034E0B">
      <w:pPr>
        <w:spacing w:line="360" w:lineRule="auto"/>
        <w:ind w:firstLine="720"/>
        <w:rPr>
          <w:b/>
          <w:sz w:val="28"/>
          <w:szCs w:val="28"/>
        </w:rPr>
      </w:pPr>
      <w:r w:rsidRPr="004F3668">
        <w:rPr>
          <w:sz w:val="28"/>
          <w:szCs w:val="28"/>
        </w:rPr>
        <w:t>ЕГСЭМ включает в себя следующие основные компоненты:</w:t>
      </w:r>
    </w:p>
    <w:p w:rsidR="00034E0B" w:rsidRDefault="00034E0B" w:rsidP="00034E0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668">
        <w:rPr>
          <w:sz w:val="28"/>
          <w:szCs w:val="28"/>
        </w:rPr>
        <w:t>мониторинг источников антропогенного воздействия на окружающую среду;</w:t>
      </w:r>
    </w:p>
    <w:p w:rsidR="00034E0B" w:rsidRDefault="00034E0B" w:rsidP="00034E0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668">
        <w:rPr>
          <w:sz w:val="28"/>
          <w:szCs w:val="28"/>
        </w:rPr>
        <w:t>мониторинг загрязнения абиотического компонента окружающей природной среды;</w:t>
      </w:r>
    </w:p>
    <w:p w:rsidR="00034E0B" w:rsidRDefault="00034E0B" w:rsidP="00034E0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668">
        <w:rPr>
          <w:sz w:val="28"/>
          <w:szCs w:val="28"/>
        </w:rPr>
        <w:t>мониторинг биотической компоненты окружающей природной среды;</w:t>
      </w:r>
    </w:p>
    <w:p w:rsidR="00034E0B" w:rsidRDefault="00034E0B" w:rsidP="00034E0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668">
        <w:rPr>
          <w:sz w:val="28"/>
          <w:szCs w:val="28"/>
        </w:rPr>
        <w:t>социально-гигиенический мониторинг;</w:t>
      </w:r>
    </w:p>
    <w:p w:rsidR="00034E0B" w:rsidRPr="004F3668" w:rsidRDefault="00034E0B" w:rsidP="00034E0B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668">
        <w:rPr>
          <w:sz w:val="28"/>
          <w:szCs w:val="28"/>
        </w:rPr>
        <w:t>обеспечение создания и функционирования экологических информационных систем.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sz w:val="28"/>
          <w:szCs w:val="28"/>
        </w:rPr>
        <w:t>При этом распределение функций между центральными органами федеральной исполнительной власти осуществляется следующим образом.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Госкомэкологии</w:t>
      </w:r>
      <w:r w:rsidRPr="007E2C4B">
        <w:rPr>
          <w:sz w:val="28"/>
          <w:szCs w:val="28"/>
        </w:rPr>
        <w:t xml:space="preserve"> (бывш. Минприроды России): координация деятельности министерств и ведомств, предприятий и организаций в области мониторинга окружающей природной среды; организация мониторинга источников антропогенного воздействия на окружающую среду и зон их прямого воздействия; организация мониторинга животного и растительного мира, мониторинг наземной фауны и флоры (кроме лесов); обеспечение создания и функционирования экологических информационных систем; ведение с заинтересованными министерствами и ведомствами банков данных об окружающей природной среде, природных ресурсах и их использовании.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Росгидромет</w:t>
      </w:r>
      <w:r>
        <w:rPr>
          <w:sz w:val="28"/>
          <w:szCs w:val="28"/>
        </w:rPr>
        <w:t xml:space="preserve">: </w:t>
      </w:r>
      <w:r w:rsidRPr="007E2C4B">
        <w:rPr>
          <w:sz w:val="28"/>
          <w:szCs w:val="28"/>
        </w:rPr>
        <w:t>организация мониторинга состояния атмосферы, поверхностных вод суши, морской среды, почв, околоземного космического пространства, в том числе комплексного фонового и космического мониторинга состояния окружающей природной среды; координация развития и функционирования ведомственных подсистем фонового мониторинга загрязнения окружающей природной среды; ведение государственного фонда данных о загрязнении окружающей природной среды.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Роскомзем</w:t>
      </w:r>
      <w:r w:rsidRPr="007E2C4B">
        <w:rPr>
          <w:sz w:val="28"/>
          <w:szCs w:val="28"/>
        </w:rPr>
        <w:t>: мониторинг земель.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Министерство природных ресурсов</w:t>
      </w:r>
      <w:r w:rsidRPr="007E2C4B">
        <w:rPr>
          <w:sz w:val="28"/>
          <w:szCs w:val="28"/>
        </w:rPr>
        <w:t xml:space="preserve"> (включая бывш. Роскомнедра и Роскомвоз): мониторинг недр (геологической среды), включая мониторинг подземных вод и опасных экзогенных и эндогенных геологических процессов; мониторинг водной среды водохозяйственных систем и сооружений в местах водосбора и сброса сточных вод.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Роскомрыболовство</w:t>
      </w:r>
      <w:r w:rsidRPr="007E2C4B">
        <w:rPr>
          <w:sz w:val="28"/>
          <w:szCs w:val="28"/>
        </w:rPr>
        <w:t>: мониторинг рыб, других животных и растений.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Рослесхоз</w:t>
      </w:r>
      <w:r w:rsidRPr="007E2C4B">
        <w:rPr>
          <w:sz w:val="28"/>
          <w:szCs w:val="28"/>
        </w:rPr>
        <w:t>: мониторинг лесов.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Роскартография</w:t>
      </w:r>
      <w:r w:rsidRPr="007E2C4B">
        <w:rPr>
          <w:sz w:val="28"/>
          <w:szCs w:val="28"/>
        </w:rPr>
        <w:t>: осуществление топографо-геодезического и картографического обеспечения ЕГСЭМ, включая создание цифровых, электронных карт и геоинформационных систем.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Госгортехнадзор</w:t>
      </w:r>
      <w:r w:rsidRPr="007E2C4B">
        <w:rPr>
          <w:sz w:val="28"/>
          <w:szCs w:val="28"/>
        </w:rPr>
        <w:t>: координация развития и функционирования подсистем мониторинга геологической среды, связанных с использованием ресурсов недр на предприятиях добывающих отраслей промышленности; мониторинг обеспечения промышленной безопасности (за исключением объектов Минобороны России и Минатома России).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Госкомэпиднадзор</w:t>
      </w:r>
      <w:r w:rsidRPr="007E2C4B">
        <w:rPr>
          <w:sz w:val="28"/>
          <w:szCs w:val="28"/>
        </w:rPr>
        <w:t>: мониторинг воздействия факторов среды обитания на состоянием здоровья населения.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b/>
          <w:i/>
          <w:sz w:val="28"/>
          <w:szCs w:val="28"/>
        </w:rPr>
        <w:t>Минобороны России</w:t>
      </w:r>
      <w:r w:rsidRPr="007E2C4B">
        <w:rPr>
          <w:sz w:val="28"/>
          <w:szCs w:val="28"/>
        </w:rPr>
        <w:t>: мониторинг окружающей природной среды</w:t>
      </w:r>
      <w:r>
        <w:rPr>
          <w:sz w:val="28"/>
          <w:szCs w:val="28"/>
        </w:rPr>
        <w:t xml:space="preserve"> и источников воздействия на неё</w:t>
      </w:r>
      <w:r w:rsidRPr="007E2C4B">
        <w:rPr>
          <w:sz w:val="28"/>
          <w:szCs w:val="28"/>
        </w:rPr>
        <w:t xml:space="preserve"> на военных объектах; обеспечение ЕГСЭМ средствами и системами военной техники двойного применения.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DC58B2">
        <w:rPr>
          <w:b/>
          <w:i/>
          <w:sz w:val="28"/>
          <w:szCs w:val="28"/>
        </w:rPr>
        <w:t>Госкомсевер России</w:t>
      </w:r>
      <w:r w:rsidRPr="007E2C4B">
        <w:rPr>
          <w:sz w:val="28"/>
          <w:szCs w:val="28"/>
        </w:rPr>
        <w:t>: участие в развитии и функционировании ЕГСЭМ в районах Арктики и Крайнего Севера.</w:t>
      </w:r>
    </w:p>
    <w:p w:rsidR="00034E0B" w:rsidRPr="007E2C4B" w:rsidRDefault="00034E0B" w:rsidP="00034E0B">
      <w:pPr>
        <w:spacing w:line="360" w:lineRule="auto"/>
        <w:ind w:firstLine="720"/>
        <w:rPr>
          <w:sz w:val="28"/>
          <w:szCs w:val="28"/>
        </w:rPr>
      </w:pPr>
      <w:r w:rsidRPr="007E2C4B">
        <w:rPr>
          <w:sz w:val="28"/>
          <w:szCs w:val="28"/>
        </w:rPr>
        <w:t>С учётом федеративного государственного устройства Российской Федерации мониторинг по территориальному признаку подразделяется на:</w:t>
      </w:r>
    </w:p>
    <w:p w:rsidR="00034E0B" w:rsidRPr="007E2C4B" w:rsidRDefault="00034E0B" w:rsidP="00034E0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C58B2">
        <w:rPr>
          <w:sz w:val="28"/>
          <w:szCs w:val="28"/>
          <w:u w:val="single"/>
        </w:rPr>
        <w:t>государственный</w:t>
      </w:r>
      <w:r w:rsidRPr="007E2C4B">
        <w:rPr>
          <w:sz w:val="28"/>
          <w:szCs w:val="28"/>
        </w:rPr>
        <w:t xml:space="preserve"> – проводимый на территории государства</w:t>
      </w:r>
    </w:p>
    <w:p w:rsidR="00034E0B" w:rsidRPr="007E2C4B" w:rsidRDefault="00034E0B" w:rsidP="00034E0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C58B2">
        <w:rPr>
          <w:sz w:val="28"/>
          <w:szCs w:val="28"/>
          <w:u w:val="single"/>
        </w:rPr>
        <w:t>региональный</w:t>
      </w:r>
      <w:r w:rsidRPr="007E2C4B">
        <w:rPr>
          <w:sz w:val="28"/>
          <w:szCs w:val="28"/>
        </w:rPr>
        <w:t xml:space="preserve"> – проводимый на большом участке территории одного государства или сопредельных участках нескольких государств, например внутреннем море и его побережье</w:t>
      </w:r>
    </w:p>
    <w:p w:rsidR="00034E0B" w:rsidRPr="007E2C4B" w:rsidRDefault="00034E0B" w:rsidP="00034E0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C58B2">
        <w:rPr>
          <w:sz w:val="28"/>
          <w:szCs w:val="28"/>
          <w:u w:val="single"/>
        </w:rPr>
        <w:t>локальный</w:t>
      </w:r>
      <w:r w:rsidRPr="007E2C4B">
        <w:rPr>
          <w:sz w:val="28"/>
          <w:szCs w:val="28"/>
        </w:rPr>
        <w:t xml:space="preserve"> – проводимый на сравнительно небольшой территории города, водного объекта, района крупного предприятия и т.п.</w:t>
      </w:r>
    </w:p>
    <w:p w:rsidR="00034E0B" w:rsidRPr="007E2C4B" w:rsidRDefault="00034E0B" w:rsidP="00034E0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C58B2">
        <w:rPr>
          <w:sz w:val="28"/>
          <w:szCs w:val="28"/>
          <w:u w:val="single"/>
        </w:rPr>
        <w:t>«точечный»</w:t>
      </w:r>
      <w:r w:rsidRPr="007E2C4B">
        <w:rPr>
          <w:sz w:val="28"/>
          <w:szCs w:val="28"/>
        </w:rPr>
        <w:t xml:space="preserve"> - мониторинг источников загрязнения, являющийся по сути импактным, максимально приближенным к источнику поступления загрязняющих веществ в окружающую среду.</w:t>
      </w:r>
    </w:p>
    <w:p w:rsidR="00034E0B" w:rsidRDefault="00034E0B" w:rsidP="00034E0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C58B2">
        <w:rPr>
          <w:sz w:val="28"/>
          <w:szCs w:val="28"/>
          <w:u w:val="single"/>
        </w:rPr>
        <w:t>фоновый</w:t>
      </w:r>
      <w:r w:rsidRPr="007E2C4B">
        <w:rPr>
          <w:sz w:val="28"/>
          <w:szCs w:val="28"/>
        </w:rPr>
        <w:t xml:space="preserve"> – данные которого необходимы для анализа результатов всех видов мониторинга</w:t>
      </w:r>
    </w:p>
    <w:p w:rsidR="0059019C" w:rsidRPr="00DC2598" w:rsidRDefault="0059019C" w:rsidP="00DC2598">
      <w:pPr>
        <w:jc w:val="center"/>
        <w:rPr>
          <w:b/>
          <w:sz w:val="32"/>
          <w:szCs w:val="32"/>
        </w:rPr>
      </w:pPr>
      <w:r w:rsidRPr="00DC2598">
        <w:rPr>
          <w:b/>
          <w:sz w:val="32"/>
          <w:szCs w:val="32"/>
        </w:rPr>
        <w:t>3. Методы и средства контроля среды обитания: контактные, дистанционные и биологические методы оценки качества воздуха, воды и почвы</w:t>
      </w:r>
    </w:p>
    <w:p w:rsidR="001B274A" w:rsidRPr="001B274A" w:rsidRDefault="001B274A" w:rsidP="001B274A">
      <w:pPr>
        <w:spacing w:line="360" w:lineRule="auto"/>
        <w:ind w:firstLine="720"/>
        <w:rPr>
          <w:sz w:val="28"/>
          <w:szCs w:val="28"/>
        </w:rPr>
      </w:pPr>
      <w:r w:rsidRPr="001B274A">
        <w:rPr>
          <w:sz w:val="28"/>
          <w:szCs w:val="28"/>
        </w:rPr>
        <w:t xml:space="preserve">По методам проведения различают </w:t>
      </w:r>
      <w:r w:rsidRPr="001B274A">
        <w:rPr>
          <w:i/>
          <w:sz w:val="28"/>
          <w:szCs w:val="28"/>
        </w:rPr>
        <w:t>биологический</w:t>
      </w:r>
      <w:r w:rsidRPr="001B274A">
        <w:rPr>
          <w:sz w:val="28"/>
          <w:szCs w:val="28"/>
        </w:rPr>
        <w:t xml:space="preserve"> (с помощью биоиндикаторов), </w:t>
      </w:r>
      <w:r w:rsidRPr="001B274A">
        <w:rPr>
          <w:i/>
          <w:sz w:val="28"/>
          <w:szCs w:val="28"/>
        </w:rPr>
        <w:t>дистанционный</w:t>
      </w:r>
      <w:r w:rsidRPr="001B274A">
        <w:rPr>
          <w:sz w:val="28"/>
          <w:szCs w:val="28"/>
        </w:rPr>
        <w:t xml:space="preserve"> (авиационный и космический), </w:t>
      </w:r>
      <w:r w:rsidRPr="001B274A">
        <w:rPr>
          <w:i/>
          <w:sz w:val="28"/>
          <w:szCs w:val="28"/>
        </w:rPr>
        <w:t>контактный</w:t>
      </w:r>
      <w:r w:rsidRPr="001B274A">
        <w:rPr>
          <w:sz w:val="28"/>
          <w:szCs w:val="28"/>
        </w:rPr>
        <w:t xml:space="preserve"> (аналитический) (физический, химический и физико-химический анализ) мониторинг.</w:t>
      </w:r>
    </w:p>
    <w:p w:rsidR="001B274A" w:rsidRPr="001B274A" w:rsidRDefault="001B274A" w:rsidP="001B274A">
      <w:pPr>
        <w:spacing w:line="360" w:lineRule="auto"/>
        <w:ind w:firstLine="720"/>
        <w:rPr>
          <w:sz w:val="28"/>
          <w:szCs w:val="28"/>
        </w:rPr>
      </w:pPr>
      <w:r w:rsidRPr="001B274A">
        <w:rPr>
          <w:b/>
          <w:i/>
          <w:sz w:val="28"/>
          <w:szCs w:val="28"/>
        </w:rPr>
        <w:t xml:space="preserve">Биоиндикация </w:t>
      </w:r>
      <w:r w:rsidRPr="001B274A">
        <w:rPr>
          <w:sz w:val="28"/>
          <w:szCs w:val="28"/>
        </w:rPr>
        <w:t>– это обнаружение и определение антропогенных нагрузок по реакциям на них живых организмов и их сообществ. Так, радиоактивное загрязнение можно определить по состоянию хвойных пород деревьев, промышленные загрязнения часто определяют по многим представителям почвенной фауны, а загрязнения воздуха очень чутко воспринимаются мха</w:t>
      </w:r>
      <w:r>
        <w:rPr>
          <w:sz w:val="28"/>
          <w:szCs w:val="28"/>
        </w:rPr>
        <w:t>ми и лишайниками. Например</w:t>
      </w:r>
      <w:r w:rsidRPr="001B274A">
        <w:rPr>
          <w:sz w:val="28"/>
          <w:szCs w:val="28"/>
        </w:rPr>
        <w:t>, если в лесу на стволах деревьев исчезают лишайники, значит, в воздухе присутствует сернистый газ. По цвету лишайников (этот метод назван лихеноиндикацией) судят также о наличии в почве некоторых тяжелых металлов, например, меди и т.д.</w:t>
      </w:r>
    </w:p>
    <w:p w:rsidR="001B274A" w:rsidRPr="001B274A" w:rsidRDefault="001B274A" w:rsidP="001B274A">
      <w:pPr>
        <w:spacing w:line="360" w:lineRule="auto"/>
        <w:ind w:firstLine="720"/>
        <w:rPr>
          <w:sz w:val="28"/>
          <w:szCs w:val="28"/>
        </w:rPr>
      </w:pPr>
      <w:r w:rsidRPr="001B274A">
        <w:rPr>
          <w:sz w:val="28"/>
          <w:szCs w:val="28"/>
        </w:rPr>
        <w:t>Биоиндикация позволяет вовремя выявить ещё не опасный уровень загрязнения и принять меры по восстановлению экологического равновесия окружающей среды.</w:t>
      </w:r>
    </w:p>
    <w:p w:rsidR="001B274A" w:rsidRPr="001B274A" w:rsidRDefault="001B274A" w:rsidP="001B274A">
      <w:pPr>
        <w:spacing w:line="360" w:lineRule="auto"/>
        <w:ind w:firstLine="720"/>
        <w:rPr>
          <w:sz w:val="28"/>
          <w:szCs w:val="28"/>
        </w:rPr>
      </w:pPr>
      <w:r w:rsidRPr="001B274A">
        <w:rPr>
          <w:sz w:val="28"/>
          <w:szCs w:val="28"/>
        </w:rPr>
        <w:t>Прекрасным биоиндикатором загрязнения воды служат бактерии типа кишечной палочки. Сама кишечная палочка не является токсикантом, но увеличение ее количества в воде свидетельствует о возможном появлении бактерий-токсикантов. Поэтому в подмосковных садоводческих хозяйствах постоянно проводят тестирование воды из летних водопроводов с применением кишечной палочки в качестве биоиндикатора с целью выяснения ее пригодности для полива.</w:t>
      </w:r>
    </w:p>
    <w:p w:rsidR="001B274A" w:rsidRPr="001B274A" w:rsidRDefault="00EA2381" w:rsidP="00EA238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последние годы</w:t>
      </w:r>
      <w:r w:rsidR="001B274A" w:rsidRPr="001B274A">
        <w:rPr>
          <w:sz w:val="28"/>
          <w:szCs w:val="28"/>
        </w:rPr>
        <w:t xml:space="preserve"> много внимания уделяется блоку биологических изменений, т.е. тому, как организмы, живущие в объектах природы (озерах, реках, лесах), реагируют на эту среду.</w:t>
      </w:r>
    </w:p>
    <w:p w:rsidR="001B274A" w:rsidRPr="001B274A" w:rsidRDefault="001B274A" w:rsidP="00EA2381">
      <w:pPr>
        <w:spacing w:line="360" w:lineRule="auto"/>
        <w:ind w:firstLine="720"/>
        <w:rPr>
          <w:sz w:val="28"/>
          <w:szCs w:val="28"/>
        </w:rPr>
      </w:pPr>
      <w:r w:rsidRPr="001B274A">
        <w:rPr>
          <w:sz w:val="28"/>
          <w:szCs w:val="28"/>
        </w:rPr>
        <w:t>Некоторые живые организмы и отдельные органы человека могут концентрировать вредные вещества. Так, накопление ртути в районе реки Огана привело к заболеваниям «болезнью Миномата» в Японии; известно и накопление мышьяка в человеческих волосах. Биотестирование с помощью растений применяется в Голландии, где такие полезные для человека растения, как гладиолусы, тюльпаны (тестобъекты на накопление фторидов), итальянская трава (тестобъекты на накопление ионов тяжелых металлов), используются для анализа на больших площадях страны. Методы биотестирования в искусственных условиях с помощью таких живых организмов, как рачки дафнии, пиявки, черви, инфузории (простейшие) и т.д., находят в настоящее время широкое применение во многих странах.</w:t>
      </w:r>
    </w:p>
    <w:p w:rsidR="001B274A" w:rsidRPr="001B274A" w:rsidRDefault="001B274A" w:rsidP="00EA2381">
      <w:pPr>
        <w:spacing w:line="360" w:lineRule="auto"/>
        <w:ind w:firstLine="720"/>
        <w:rPr>
          <w:sz w:val="28"/>
          <w:szCs w:val="28"/>
        </w:rPr>
      </w:pPr>
      <w:r w:rsidRPr="00EA2381">
        <w:rPr>
          <w:b/>
          <w:i/>
          <w:sz w:val="28"/>
          <w:szCs w:val="28"/>
        </w:rPr>
        <w:t>Дистанционные методы</w:t>
      </w:r>
      <w:r w:rsidRPr="001B274A">
        <w:rPr>
          <w:sz w:val="28"/>
          <w:szCs w:val="28"/>
        </w:rPr>
        <w:t xml:space="preserve"> используются в основном для ведения глобального мониторинга. Размещение приборов в труднодоступных местах, аэро- и космическая съёмка. Так, аэрофотосъёмку часто используют как эффективный метод для определения масштаба загрязнения при разливе нефти в море или на суше, т.е. при аварии танкеров или при разрыве трубопроводов. Другие методы в этих случаях не могут дать столь исчерпывающей информации.</w:t>
      </w:r>
    </w:p>
    <w:p w:rsidR="00EA2381" w:rsidRDefault="001B274A" w:rsidP="00EA2381">
      <w:pPr>
        <w:spacing w:line="360" w:lineRule="auto"/>
        <w:ind w:firstLine="720"/>
        <w:rPr>
          <w:sz w:val="28"/>
          <w:szCs w:val="28"/>
        </w:rPr>
      </w:pPr>
      <w:r w:rsidRPr="00EA2381">
        <w:rPr>
          <w:b/>
          <w:i/>
          <w:sz w:val="28"/>
          <w:szCs w:val="28"/>
        </w:rPr>
        <w:t>Контактные методы</w:t>
      </w:r>
      <w:r w:rsidRPr="001B274A">
        <w:rPr>
          <w:sz w:val="28"/>
          <w:szCs w:val="28"/>
        </w:rPr>
        <w:t xml:space="preserve"> используются для мониторинга отдельных компонентов окружающей природной среды: почвы, воды, воздуха; они основаны на анализе отдельных проб. </w:t>
      </w:r>
    </w:p>
    <w:p w:rsidR="001B274A" w:rsidRPr="001B274A" w:rsidRDefault="001B274A" w:rsidP="00EA2381">
      <w:pPr>
        <w:spacing w:line="360" w:lineRule="auto"/>
        <w:ind w:firstLine="720"/>
        <w:rPr>
          <w:sz w:val="28"/>
          <w:szCs w:val="28"/>
        </w:rPr>
      </w:pPr>
      <w:r w:rsidRPr="001B274A">
        <w:rPr>
          <w:sz w:val="28"/>
          <w:szCs w:val="28"/>
        </w:rPr>
        <w:t>Почвенный мониторинг предусматривает определение кислотности, засоления почв и потери гумуса. Кислотность почв определяют по значению водородного показателя рН в водных растворах почвы с помощью рН-метра (потенциометра). Содержание гумуса определяют по окисляемости органического вещества. Количество окислителя в почве оценивают титриметрическим или спектрометрическим методами. Засоление почв, т.е. содерержание в них солей, определяют по значению электрической проводимости, поскольку растворы солей являются электролитами. Загрязнение вод определяется по: перманганатному индексу, химическому (ХПК) или биохимическому (БПК) потреблению кислорода, расходуемого на окисление органических и неорганических веществ, содержащихся в загрязнённой воде.</w:t>
      </w:r>
    </w:p>
    <w:p w:rsidR="001B274A" w:rsidRDefault="001B274A" w:rsidP="00EA2381">
      <w:pPr>
        <w:spacing w:line="360" w:lineRule="auto"/>
        <w:ind w:firstLine="720"/>
        <w:rPr>
          <w:sz w:val="28"/>
          <w:szCs w:val="28"/>
        </w:rPr>
      </w:pPr>
      <w:r w:rsidRPr="001B274A">
        <w:rPr>
          <w:sz w:val="28"/>
          <w:szCs w:val="28"/>
        </w:rPr>
        <w:t>Атмосферные загрязнения анализируются газоанализаторами, позволяющими получить информацию о концентрации в воздухе газообразных поллюгантов. При этом применяют многокомпонентные методы анализа, которые дают непрерывные во времени характеристики загрязнения воздуха.</w:t>
      </w:r>
    </w:p>
    <w:p w:rsidR="00CC636D" w:rsidRDefault="00CC636D" w:rsidP="00CC636D">
      <w:pPr>
        <w:spacing w:line="360" w:lineRule="auto"/>
        <w:jc w:val="center"/>
        <w:rPr>
          <w:b/>
          <w:sz w:val="32"/>
          <w:szCs w:val="32"/>
        </w:rPr>
      </w:pPr>
      <w:r w:rsidRPr="006E072C">
        <w:rPr>
          <w:b/>
          <w:sz w:val="32"/>
          <w:szCs w:val="32"/>
          <w:lang w:val="en-US"/>
        </w:rPr>
        <w:t>II</w:t>
      </w:r>
      <w:r w:rsidR="00A84CE7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>. АНАЛИТИЧЕСКАЯ ЧАСТЬ</w:t>
      </w:r>
    </w:p>
    <w:p w:rsidR="00916504" w:rsidRDefault="00916504" w:rsidP="0091650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Методы контроля энергетических загрязнений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Промышленные предприятия, объекты энергетики, связи и транспорт являются основными источниками энергетического загрязнения промышленных регионов, городской среды, жилищ и природных зон. К энергетическим загрязнениям относят вибрационное и акустическое воздействия, электромагнитные поля и излучения, воздействия радионуклидов и ионизирующих излучений.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Вибрации в городской среде и жилых зданиях, источником которых является технологическое оборудование ударного действия, рельсовый транспорт, строительные машины и тяжелый автотранспорт, распространяются по грунту. Измеряют виброметром.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Шум в городской среде и жилых зданиях создается транспортными средствами, промышленным оборудованием, санитарно-техническими установками и устройствами и др. Измеряют шумометром.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Источниками электромагнитных полей радиочастот являются радиотехнические объекты, телевизионные и радиолокационные станции, термические цеха. Измеряют ваттметрами.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Источниками теплового загрязнения среды обитания являются тепловые и атомные электростанции.</w:t>
      </w:r>
    </w:p>
    <w:p w:rsid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 xml:space="preserve">Источниками ионизирующего облучения человека в окружающей среде являются космические облучения, облучение от природных источников, медицинское обследование, ТЭС и АЭС, радиоактивные осадки и т.п. Загрязнение гамма-излучением может быть измерено полевым дозиметром (рентгенметр). Загрязнение бета-активными радионуклидами, к числу которых относится такой опасный изотоп, как стронций-90, при этом не регистрируется. Бета-загрязнение (описываемое плотностью потока бета-частиц) регистрируется специальными бета-радиометрами, которые часто совмещают с гамма-дозиметрами. Точность такой оценки гораздо ниже, и информация об уровнях бета-загрязнения, полученная полевыми методами, может носить только сигнальный характер. Хотя радиометры, регистрирующие альфа-частицы, существуют, малая проникающая способность альфа-частиц накладывает принципиальные ограничения на возможности полевой оценки уровня этого типа загрязнения. Эти ограничения не зависят от чувствительности регистрирующего устройства. 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Поэтому для корректной оценки уровня загрязнения альфа-излучателями необходимо проведение лабораторных анализов.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DC2598">
        <w:rPr>
          <w:sz w:val="28"/>
          <w:szCs w:val="28"/>
        </w:rPr>
        <w:t>В соответствии с законодательством РФ существуют нормы, контролирующие энергетические загрязнения: нормативы предельно допустимых уровней (ПДУ) воздействия радиации, шума, вибрации, магнитных полей. Критериями безопасности техносферы при загрязнении являются предельно допустимые интенсивности потоков энергии (ПДУ) и предельно допустимые энергетические воздействия (ПДЭВ).</w:t>
      </w:r>
    </w:p>
    <w:p w:rsidR="00916504" w:rsidRPr="00916504" w:rsidRDefault="00DC2598" w:rsidP="00DC2598">
      <w:pPr>
        <w:ind w:firstLine="720"/>
        <w:jc w:val="center"/>
        <w:rPr>
          <w:sz w:val="28"/>
          <w:szCs w:val="28"/>
        </w:rPr>
      </w:pPr>
      <w:r>
        <w:rPr>
          <w:b/>
          <w:sz w:val="32"/>
          <w:szCs w:val="32"/>
        </w:rPr>
        <w:t>2. Обработка результатов и оценка экологической ситуации</w:t>
      </w:r>
    </w:p>
    <w:p w:rsidR="00DC2598" w:rsidRPr="000A6374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Государственная экологическая экспертиза представляет собой систему государственных природоохранных мероприятий, направленных на проверку соответствия проектов, планов и мероприятий в области народного хозяйства и природных ресурсов требованиям защиты окружающей среды от вредных воздействий.</w:t>
      </w:r>
    </w:p>
    <w:p w:rsidR="00DC2598" w:rsidRPr="000A6374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Токсикологическая характеристика технологических процессов требует обоснования рекомендаций по такому изменению производства, чтобы уменьшить количество вредных продуктов и побочных соединений или исключить их, и медико-технических требований к планированию производственных помещений, аппаратуре, санитарно-техническому оборудованию, в том числе очистному и рассеивающему, и – в случае необходимости – к индивидуальным средствам защиты. В основе этого лежит установление предельно допустимых концентраций (ПДК) вредных веществ в различных средах.</w:t>
      </w:r>
    </w:p>
    <w:p w:rsidR="00DC2598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воздушной среде:</w:t>
      </w:r>
    </w:p>
    <w:p w:rsidR="00DC2598" w:rsidRDefault="00DC2598" w:rsidP="00DC259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 w:rsidRPr="0029501E">
        <w:rPr>
          <w:sz w:val="32"/>
          <w:szCs w:val="32"/>
          <w:vertAlign w:val="subscript"/>
        </w:rPr>
        <w:t>р.з</w:t>
      </w:r>
      <w:r w:rsidRPr="0029501E">
        <w:rPr>
          <w:sz w:val="32"/>
          <w:szCs w:val="32"/>
        </w:rPr>
        <w:t xml:space="preserve"> </w:t>
      </w:r>
      <w:r>
        <w:rPr>
          <w:sz w:val="28"/>
          <w:szCs w:val="28"/>
        </w:rPr>
        <w:t>– предельно допустимая концентрация вещества в воздухе рабочей зоны, мг/м</w:t>
      </w:r>
      <w:r w:rsidRPr="0029501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Эта концентрация при ежедневной (кроме выходных дней) работе в пределах 8 часов или другой продолжительности, но не более 41 часа в неделю, в течение всего рабочего стажа не должна вызывать в состоянии здоровья настоящего и последующего поколений заболеваний или отклонений, обнаруживаемых современными методами исследования в процессе работы. Рабочей зоной считается пространство высотой до </w:t>
      </w:r>
      <w:smartTag w:uri="urn:schemas-microsoft-com:office:smarttags" w:element="metricconverter">
        <w:smartTagPr>
          <w:attr w:name="ProductID" w:val="2 метров"/>
        </w:smartTagPr>
        <w:r>
          <w:rPr>
            <w:sz w:val="28"/>
            <w:szCs w:val="28"/>
          </w:rPr>
          <w:t>2 метров</w:t>
        </w:r>
      </w:smartTag>
      <w:r>
        <w:rPr>
          <w:sz w:val="28"/>
          <w:szCs w:val="28"/>
        </w:rPr>
        <w:t xml:space="preserve"> над уровнем пола или площадки, на которой находятся места постоянного или временного пребывания работающих;</w:t>
      </w:r>
    </w:p>
    <w:p w:rsidR="00DC2598" w:rsidRDefault="00DC2598" w:rsidP="00DC259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 w:rsidRPr="0029501E">
        <w:rPr>
          <w:sz w:val="32"/>
          <w:szCs w:val="32"/>
          <w:vertAlign w:val="subscript"/>
        </w:rPr>
        <w:t>м.р</w:t>
      </w:r>
      <w:r w:rsidRPr="0029501E">
        <w:rPr>
          <w:sz w:val="32"/>
          <w:szCs w:val="32"/>
        </w:rPr>
        <w:t xml:space="preserve"> </w:t>
      </w:r>
      <w:r>
        <w:rPr>
          <w:sz w:val="28"/>
          <w:szCs w:val="28"/>
        </w:rPr>
        <w:t>– предельно допустимая максимальная разовая концентрация вещества в воздухе населённых мест, мг/м</w:t>
      </w:r>
      <w:r w:rsidRPr="0029501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Эта концентрация при выдыхании в течение 20 минут не должна вызывать рефлекторных (в том числе субсенсорных) реакций в организме человека;</w:t>
      </w:r>
    </w:p>
    <w:p w:rsidR="00DC2598" w:rsidRDefault="00DC2598" w:rsidP="00DC259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 w:rsidRPr="0029501E">
        <w:rPr>
          <w:sz w:val="32"/>
          <w:szCs w:val="32"/>
          <w:vertAlign w:val="subscript"/>
        </w:rPr>
        <w:t>с.с</w:t>
      </w:r>
      <w:r w:rsidRPr="0029501E">
        <w:rPr>
          <w:sz w:val="32"/>
          <w:szCs w:val="32"/>
        </w:rPr>
        <w:t xml:space="preserve"> </w:t>
      </w:r>
      <w:r>
        <w:rPr>
          <w:sz w:val="28"/>
          <w:szCs w:val="28"/>
        </w:rPr>
        <w:t>– предельно допустимая среднесуточная концентрация токсичного вещества в воздухе населённых мест, мг/м</w:t>
      </w:r>
      <w:r w:rsidRPr="0029501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Эта концентрация не должна оказывать на человека прямого или косвенного вредного воздействия при неограниченно продолжительном дыхании.</w:t>
      </w:r>
    </w:p>
    <w:p w:rsidR="00DC2598" w:rsidRDefault="00DC2598" w:rsidP="00DC25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В водной среде:</w:t>
      </w:r>
    </w:p>
    <w:p w:rsidR="00DC2598" w:rsidRDefault="00DC2598" w:rsidP="00DC2598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 w:rsidRPr="0029501E">
        <w:rPr>
          <w:sz w:val="32"/>
          <w:szCs w:val="32"/>
          <w:vertAlign w:val="subscript"/>
        </w:rPr>
        <w:t>в</w:t>
      </w:r>
      <w:r>
        <w:rPr>
          <w:sz w:val="28"/>
          <w:szCs w:val="28"/>
        </w:rPr>
        <w:t xml:space="preserve"> – предельно допустимая концентрация вещества в воде водоёма хозяйственно-питьевого и культурно-бытового водопользования, мг/л. Эта концентрация не должна оказывать прямого или косвенного влияния на органы человека в течение всей его жизни, а также на здоровье последующих поколений и не должна ухудшать гигиенические условия водопользования;</w:t>
      </w:r>
    </w:p>
    <w:p w:rsidR="00DC2598" w:rsidRDefault="00DC2598" w:rsidP="00DC2598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 w:rsidRPr="0029501E">
        <w:rPr>
          <w:sz w:val="32"/>
          <w:szCs w:val="32"/>
          <w:vertAlign w:val="subscript"/>
        </w:rPr>
        <w:t>в.р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 xml:space="preserve">– </w:t>
      </w:r>
      <w:r w:rsidRPr="0029501E">
        <w:rPr>
          <w:sz w:val="28"/>
          <w:szCs w:val="28"/>
        </w:rPr>
        <w:t xml:space="preserve">предельно </w:t>
      </w:r>
      <w:r>
        <w:rPr>
          <w:sz w:val="28"/>
          <w:szCs w:val="28"/>
        </w:rPr>
        <w:t>допустимая концентрация вещества в воде водоёма, используемого для рыбохозяйственных целей, мг/л;</w:t>
      </w:r>
    </w:p>
    <w:p w:rsidR="00DC2598" w:rsidRDefault="00DC2598" w:rsidP="00DC2598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Интегральные показатели для воды:</w:t>
      </w:r>
    </w:p>
    <w:p w:rsidR="00DC2598" w:rsidRDefault="00DC2598" w:rsidP="00DC2598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БПК – биологическая потребность в кислороде – количество кислорода, использованного при биохимических процессах окисления органических веществ (исключая процессы нитрификации) за определённое время инкубации пробы (2, 5, 20, 120 суток), мг О</w:t>
      </w:r>
      <w:r w:rsidRPr="00BB2132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/л воды (БПК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за 20 суток, БПК</w:t>
      </w:r>
      <w:r>
        <w:rPr>
          <w:sz w:val="28"/>
          <w:szCs w:val="28"/>
          <w:vertAlign w:val="subscript"/>
        </w:rPr>
        <w:t xml:space="preserve">5 </w:t>
      </w:r>
      <w:r>
        <w:rPr>
          <w:sz w:val="28"/>
          <w:szCs w:val="28"/>
        </w:rPr>
        <w:t xml:space="preserve">– за 5 суток); </w:t>
      </w:r>
    </w:p>
    <w:p w:rsidR="00DC2598" w:rsidRPr="000A6374" w:rsidRDefault="00DC2598" w:rsidP="00DC2598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ХПК – химическая потребность в кислороде, определённая бихроматным методом, т.е. количество кислорода, эквивалентное количеству расходуемого окислителя, необходимого для окисления всех восстановителей, содержащихся в воде, О</w:t>
      </w:r>
      <w:r w:rsidRPr="00BB2132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/л воды.</w:t>
      </w:r>
    </w:p>
    <w:p w:rsidR="00DC2598" w:rsidRPr="000A6374" w:rsidRDefault="00DC2598" w:rsidP="00DC2598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По отношению БПК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/ХПК судят об эффективности биохимического окисления веществ.</w:t>
      </w:r>
    </w:p>
    <w:p w:rsidR="00DC2598" w:rsidRDefault="00DC2598" w:rsidP="00DC2598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В почве:</w:t>
      </w:r>
    </w:p>
    <w:p w:rsidR="00DC2598" w:rsidRDefault="00DC2598" w:rsidP="00DC259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</w:rPr>
        <w:t>– предельно допустимая концентрация вещества в плотном слое почвы, мг/кг. Эта концентрация не должна вызывать прямого и косвенного отрицательного влияния на здоровье человека, а также на самоочищающую способность почвы;</w:t>
      </w:r>
    </w:p>
    <w:p w:rsidR="00DC2598" w:rsidRPr="000A6374" w:rsidRDefault="00DC2598" w:rsidP="00DC2598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 xml:space="preserve">пр  </w:t>
      </w:r>
      <w:r>
        <w:rPr>
          <w:sz w:val="28"/>
          <w:szCs w:val="28"/>
        </w:rPr>
        <w:t>(ДОК) – предельно допустимая концентрация (допустимое остаточное количество) вещества в продуктах питания, мг/кг.</w:t>
      </w:r>
    </w:p>
    <w:p w:rsidR="00DC2598" w:rsidRPr="000A6374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Если величина ПДК в различных средах не установлена, действует временный гигиенический норматив ВДК (ОБУВ) – временно допустимая концентрация (ориентировочно безопасный уровень воздействия) вещества. Временный норматив устанавливается на определённый срок (2 – 3 года).</w:t>
      </w:r>
    </w:p>
    <w:p w:rsidR="00DC2598" w:rsidRPr="000A6374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Различные вещества могут оказывать сходное неблагоприятное воздействие на организм. Например, существует эффект суммации для диоксида азота и формальдегида, фенола и ацетона, этанола и целой группы органических веществ. Для токсичных веществ безопасная концентрация определяется соотношением С/ПДК ≤ 1, где С – фактическая концентрация вещества в среде.</w:t>
      </w:r>
    </w:p>
    <w:p w:rsidR="00DC2598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Допустим, что в воздухе концентрация фенола С</w:t>
      </w:r>
      <w:r>
        <w:rPr>
          <w:sz w:val="28"/>
          <w:szCs w:val="28"/>
          <w:vertAlign w:val="subscript"/>
        </w:rPr>
        <w:t xml:space="preserve">ф </w:t>
      </w:r>
      <w:r>
        <w:rPr>
          <w:sz w:val="28"/>
          <w:szCs w:val="28"/>
        </w:rPr>
        <w:t>= 0,345 мг/л, ацетона С</w:t>
      </w:r>
      <w:r>
        <w:rPr>
          <w:sz w:val="28"/>
          <w:szCs w:val="28"/>
          <w:vertAlign w:val="subscript"/>
        </w:rPr>
        <w:t xml:space="preserve">а </w:t>
      </w:r>
      <w:r>
        <w:rPr>
          <w:sz w:val="28"/>
          <w:szCs w:val="28"/>
        </w:rPr>
        <w:t>= = 0,009 мг/л, а ПДК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= 0,35 мг/л, ПДК</w:t>
      </w:r>
      <w:r>
        <w:rPr>
          <w:sz w:val="28"/>
          <w:szCs w:val="28"/>
          <w:vertAlign w:val="subscript"/>
        </w:rPr>
        <w:t>ац</w:t>
      </w:r>
      <w:r>
        <w:rPr>
          <w:sz w:val="28"/>
          <w:szCs w:val="28"/>
        </w:rPr>
        <w:t xml:space="preserve"> = 0,01 мг/л. Таким образом, для каждого из веществ указанное соотношение меньше единицы:</w:t>
      </w:r>
    </w:p>
    <w:p w:rsidR="00DC2598" w:rsidRDefault="00DC2598" w:rsidP="00DC25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</w:t>
      </w:r>
      <w:r w:rsidRPr="00B32331">
        <w:rPr>
          <w:sz w:val="28"/>
          <w:szCs w:val="28"/>
        </w:rPr>
        <w:t xml:space="preserve"> </w:t>
      </w: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˂ 1; 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r w:rsidRPr="00B32331">
        <w:rPr>
          <w:sz w:val="28"/>
          <w:szCs w:val="28"/>
        </w:rPr>
        <w:t xml:space="preserve"> </w:t>
      </w: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˂ 1.</w:t>
      </w:r>
    </w:p>
    <w:p w:rsidR="00DC2598" w:rsidRDefault="00DC2598" w:rsidP="00DC25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 поскольку эти вещества обладают эффектом суммации, то общее загрязнение фенолом и ацетоном превысит предельно допустимое, так как</w:t>
      </w:r>
    </w:p>
    <w:p w:rsidR="00DC2598" w:rsidRPr="000A6374" w:rsidRDefault="00DC2598" w:rsidP="00DC25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/ ПДК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>+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r w:rsidRPr="00B32331">
        <w:rPr>
          <w:sz w:val="28"/>
          <w:szCs w:val="28"/>
        </w:rPr>
        <w:t xml:space="preserve"> </w:t>
      </w:r>
      <w:r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 0, 986 + 0,9 = 1,886 ˃ 1.</w:t>
      </w:r>
    </w:p>
    <w:p w:rsidR="00DC2598" w:rsidRPr="000A6374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Таким образом, сумма отношений концентраций к ПДК веществ, обладающих эффектом суммации, не должна превышать единицы.</w:t>
      </w:r>
    </w:p>
    <w:p w:rsidR="00DC2598" w:rsidRPr="000A6374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более полной оценки качества среды сравнительно недавно стали использовать другой критерий – ПЭДН – предельно допустимую экологическую нагрузку: для воды – это ПДС – предельно допустимый сброс, г/с; для воздуха – ПДВ – предельно допустимый выброс, г/с. Эти величины характеризуют нагрузку, оказываемую предприятием на окружающую среду в единицу времени, и должны обязательно входить в экологический паспорт (или другой подобный документ) предприятия.</w:t>
      </w:r>
    </w:p>
    <w:p w:rsidR="00DC2598" w:rsidRPr="00DC2598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Недостатком изложенной выше схемы критериев оценки качества среды является разрозненность природоохранных функций различных министерств и ведомств, а также часто очень различающиеся значения ПДК в разных странах. [1 С.50-52]</w:t>
      </w:r>
    </w:p>
    <w:p w:rsidR="00DC2598" w:rsidRPr="00AD0E60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процессов экологической дестабилизации природной среды предполагает ранжирование  нарушения экосистем по глубине и необратимости. Выделяют три уровня экологического нарушения: </w:t>
      </w:r>
    </w:p>
    <w:p w:rsidR="00DC2598" w:rsidRPr="00AD0E60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162D31">
        <w:rPr>
          <w:i/>
          <w:sz w:val="28"/>
          <w:szCs w:val="28"/>
        </w:rPr>
        <w:t>Зона экологического риска</w:t>
      </w:r>
      <w:r>
        <w:rPr>
          <w:sz w:val="28"/>
          <w:szCs w:val="28"/>
        </w:rPr>
        <w:t xml:space="preserve"> включает территории с заметным снижением продуктивности и устойчивости экосистем, максимумом нестабильности, ведущим в дальнейшем к спонтанной деградации экосистем, но ещё с обратимыми нарушениями экосистем, предполагающими сокращение хозяйственного использования и планирование поверхностного улучшения. Деградация земель наблюдается на 5-20% площади.</w:t>
      </w:r>
    </w:p>
    <w:p w:rsidR="00DC2598" w:rsidRPr="00AD0E60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162D31">
        <w:rPr>
          <w:i/>
          <w:sz w:val="28"/>
          <w:szCs w:val="28"/>
        </w:rPr>
        <w:t>Зона экологического кризиса</w:t>
      </w:r>
      <w:r>
        <w:rPr>
          <w:sz w:val="28"/>
          <w:szCs w:val="28"/>
        </w:rPr>
        <w:t xml:space="preserve"> включает территории с сильным снижением продуктивности и потерей устойчивости, трудно обратимыми нарушениями экосистем, предполагающими лишь выборочное их хозяйственное использование и планирование глубокого улучшения. Деградация земель наблюдается на 20-50% площади.</w:t>
      </w:r>
    </w:p>
    <w:p w:rsidR="00DC2598" w:rsidRPr="00820A05" w:rsidRDefault="00DC2598" w:rsidP="00DC2598">
      <w:pPr>
        <w:spacing w:line="360" w:lineRule="auto"/>
        <w:ind w:firstLine="720"/>
        <w:rPr>
          <w:sz w:val="28"/>
          <w:szCs w:val="28"/>
        </w:rPr>
      </w:pPr>
      <w:r w:rsidRPr="00162D31">
        <w:rPr>
          <w:i/>
          <w:sz w:val="28"/>
          <w:szCs w:val="28"/>
        </w:rPr>
        <w:t>Зона экологического бедствия – катастрофы</w:t>
      </w:r>
      <w:r>
        <w:rPr>
          <w:sz w:val="28"/>
          <w:szCs w:val="28"/>
        </w:rPr>
        <w:t xml:space="preserve"> включает территории с полной потерей продуктивности, практически необратимыми нарушениями экосистем, полностью исключающими территорию из хозяйственного пользования и требующими коренного улучшения. Деградация земель превышает 50% площади.</w:t>
      </w:r>
    </w:p>
    <w:p w:rsidR="00DC2598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Названные уровни экологического нарушения определяются с помощью следующих критериев: </w:t>
      </w:r>
    </w:p>
    <w:p w:rsidR="00DC2598" w:rsidRPr="0029173A" w:rsidRDefault="00DC2598" w:rsidP="00DC2598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 w:rsidRPr="0029173A">
        <w:rPr>
          <w:i/>
          <w:sz w:val="28"/>
          <w:szCs w:val="28"/>
        </w:rPr>
        <w:t xml:space="preserve">Ботанические критерии </w:t>
      </w:r>
      <w:r>
        <w:rPr>
          <w:sz w:val="28"/>
          <w:szCs w:val="28"/>
        </w:rPr>
        <w:t>(учитываются признаки на разных уровнях: организменном (фитопатологические изменения), популяционном (ухудшение видового состава и фитоценометрических признаков) и экосистемном (соотношение площади в ландшафте)</w:t>
      </w:r>
    </w:p>
    <w:p w:rsidR="00DC2598" w:rsidRPr="0029173A" w:rsidRDefault="00DC2598" w:rsidP="00DC2598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 w:rsidRPr="0029173A">
        <w:rPr>
          <w:i/>
          <w:sz w:val="28"/>
          <w:szCs w:val="28"/>
        </w:rPr>
        <w:t>Зоологические критерии</w:t>
      </w:r>
      <w:r>
        <w:rPr>
          <w:sz w:val="28"/>
          <w:szCs w:val="28"/>
        </w:rPr>
        <w:t xml:space="preserve"> – показатели нарушения животного мира (видовое разнообразие, пространственная структура, биомасса и продуктивность, численность и плотность, поведение, демографическая и генетическая структура)</w:t>
      </w:r>
    </w:p>
    <w:p w:rsidR="00DC2598" w:rsidRDefault="00DC2598" w:rsidP="00DC2598">
      <w:pPr>
        <w:numPr>
          <w:ilvl w:val="0"/>
          <w:numId w:val="7"/>
        </w:numPr>
        <w:spacing w:line="360" w:lineRule="auto"/>
        <w:rPr>
          <w:i/>
          <w:sz w:val="28"/>
          <w:szCs w:val="28"/>
        </w:rPr>
      </w:pPr>
      <w:r w:rsidRPr="0029173A">
        <w:rPr>
          <w:i/>
          <w:sz w:val="28"/>
          <w:szCs w:val="28"/>
        </w:rPr>
        <w:t>Критерий ухудшения свойств почв</w:t>
      </w:r>
      <w:r>
        <w:rPr>
          <w:sz w:val="28"/>
          <w:szCs w:val="28"/>
        </w:rPr>
        <w:t xml:space="preserve"> (снижение плодородия,эрозия почв)</w:t>
      </w:r>
    </w:p>
    <w:p w:rsidR="00DC2598" w:rsidRDefault="00DC2598" w:rsidP="00DC259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Для оценки степени и направления изменения окружающей среды во времени и в пространстве используются временные (динамические) показатели, характеризующие скорости нарастания неблагоприятных изменений. Выделяется четыре динамических класса природных систем:</w:t>
      </w:r>
    </w:p>
    <w:p w:rsidR="00DC2598" w:rsidRDefault="00DC2598" w:rsidP="00DC259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C59EF">
        <w:rPr>
          <w:i/>
          <w:sz w:val="28"/>
          <w:szCs w:val="28"/>
        </w:rPr>
        <w:t>Стабильные</w:t>
      </w:r>
      <w:r>
        <w:rPr>
          <w:sz w:val="28"/>
          <w:szCs w:val="28"/>
        </w:rPr>
        <w:t xml:space="preserve"> – скорость увеличения площадей нарушенных земель менее 0,5% в год;</w:t>
      </w:r>
    </w:p>
    <w:p w:rsidR="00DC2598" w:rsidRDefault="00DC2598" w:rsidP="00DC259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C59EF">
        <w:rPr>
          <w:i/>
          <w:sz w:val="28"/>
          <w:szCs w:val="28"/>
        </w:rPr>
        <w:t>Умеренно динамичные</w:t>
      </w:r>
      <w:r>
        <w:rPr>
          <w:sz w:val="28"/>
          <w:szCs w:val="28"/>
        </w:rPr>
        <w:t xml:space="preserve">  - площади увеличиваются до 2% в год (возможна полная смена биогеоценотического покрова за 50-100 лет);</w:t>
      </w:r>
    </w:p>
    <w:p w:rsidR="00DC2598" w:rsidRDefault="00DC2598" w:rsidP="00DC259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C59EF">
        <w:rPr>
          <w:i/>
          <w:sz w:val="28"/>
          <w:szCs w:val="28"/>
        </w:rPr>
        <w:t>Среднединамичные</w:t>
      </w:r>
      <w:r>
        <w:rPr>
          <w:sz w:val="28"/>
          <w:szCs w:val="28"/>
        </w:rPr>
        <w:t xml:space="preserve"> – до 2-3% в год (возможна полная смена экосистем в течение 3-50 лет);</w:t>
      </w:r>
    </w:p>
    <w:p w:rsidR="00DC2598" w:rsidRPr="00A30D1A" w:rsidRDefault="00DC2598" w:rsidP="00DC2598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C59EF">
        <w:rPr>
          <w:i/>
          <w:sz w:val="28"/>
          <w:szCs w:val="28"/>
        </w:rPr>
        <w:t xml:space="preserve">Сильнодинамичные </w:t>
      </w:r>
      <w:r>
        <w:rPr>
          <w:sz w:val="28"/>
          <w:szCs w:val="28"/>
        </w:rPr>
        <w:t>– более 4% в год (полная смена экосистем возможна за 25 лет) [2 С.287]</w:t>
      </w:r>
    </w:p>
    <w:p w:rsidR="0059019C" w:rsidRPr="00A84CE7" w:rsidRDefault="00A84CE7" w:rsidP="00A84CE7">
      <w:pPr>
        <w:jc w:val="center"/>
        <w:rPr>
          <w:b/>
          <w:sz w:val="28"/>
          <w:szCs w:val="28"/>
        </w:rPr>
      </w:pPr>
      <w:r w:rsidRPr="00A84CE7">
        <w:rPr>
          <w:b/>
          <w:sz w:val="28"/>
          <w:szCs w:val="28"/>
          <w:lang w:val="en-US"/>
        </w:rPr>
        <w:t>IV</w:t>
      </w:r>
      <w:r w:rsidRPr="00A84C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ПРЕДЛОЖЕНИЯ И МЕРОПРИЯТИЯ</w:t>
      </w:r>
      <w:r w:rsidRPr="00A84C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Pr="00A84C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УЛУЧШЕНИЮ СРЕДЫ ОБИТАНИЯ, ОЖИДАЕМЫЙ ЭФФЕКТ ОТ РЕАЛИЗАЦИИ ПРЕДЛОЖЕННЫХ МЕР</w:t>
      </w:r>
    </w:p>
    <w:p w:rsidR="00343024" w:rsidRDefault="00A84CE7" w:rsidP="00AA305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Улучшение качества жизни людей зависит также и от решения проблем экологии, которые, к сожалению</w:t>
      </w:r>
      <w:r w:rsidR="00AA3056">
        <w:rPr>
          <w:sz w:val="28"/>
          <w:szCs w:val="28"/>
        </w:rPr>
        <w:t>,</w:t>
      </w:r>
      <w:r>
        <w:rPr>
          <w:sz w:val="28"/>
          <w:szCs w:val="28"/>
        </w:rPr>
        <w:t xml:space="preserve"> всё чаще становятся причинами серьёзных заболеваний</w:t>
      </w:r>
      <w:r w:rsidR="00AA3056">
        <w:rPr>
          <w:sz w:val="28"/>
          <w:szCs w:val="28"/>
        </w:rPr>
        <w:t xml:space="preserve">, недомоганий, психических расстройств, оказывают геномутационное влияние на новые поколения. </w:t>
      </w:r>
    </w:p>
    <w:p w:rsidR="00460A64" w:rsidRDefault="00AA3056" w:rsidP="00AA305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Конечно, мы можем сказать, что правительством разработан целый комплекс законодательных актов об охране природы, экологическими службами определены предельно допустимые концентрации вредных веществ, но, как видно из сложившейся ситуации на сегодняшний день, этих </w:t>
      </w:r>
      <w:r w:rsidR="00460A64">
        <w:rPr>
          <w:sz w:val="28"/>
          <w:szCs w:val="28"/>
        </w:rPr>
        <w:t xml:space="preserve">мер недостаточно для комфортной среды обитания. </w:t>
      </w:r>
    </w:p>
    <w:p w:rsidR="00A662DB" w:rsidRDefault="00460A64" w:rsidP="00AA305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Среда обитания – это наш общий дом, где мы живём, учимся, работаем, воспитываем детей, отдыхаем. Прежде всего каждый человек должен осознавать свою ответственность за сохранение природы и не проявлять пассивность при решении экологических проблем, так как только совместными усилиями можно добиться положительной динамики комфортности окружающей среды. </w:t>
      </w:r>
    </w:p>
    <w:p w:rsidR="00AA3056" w:rsidRDefault="00A662DB" w:rsidP="00AA305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Каждый человек может внести свой вклад в сохранение природы, рационально, экономно используя такие ресурсы, как вода, электроэнергия, пользоваться по возможности не личным автомобилем, а общественным транспортом</w:t>
      </w:r>
      <w:r w:rsidR="00842AC1">
        <w:rPr>
          <w:sz w:val="28"/>
          <w:szCs w:val="28"/>
        </w:rPr>
        <w:t>, выбрасывать мусор в специально отведённые для этого контейнеры и урны, выведенную из строя бытовую технику сдавать в утилизацию, поддерживать производство с использованием переработанного повторно сырья</w:t>
      </w:r>
      <w:r>
        <w:rPr>
          <w:sz w:val="28"/>
          <w:szCs w:val="28"/>
        </w:rPr>
        <w:t>. Это позволит избежать лишних выбросов в атмосферу вредных веществ, также снизит уровень шума</w:t>
      </w:r>
      <w:r w:rsidR="00842AC1">
        <w:rPr>
          <w:sz w:val="28"/>
          <w:szCs w:val="28"/>
        </w:rPr>
        <w:t>, загрязнения почвы и водоёмов</w:t>
      </w:r>
      <w:r w:rsidR="00793598">
        <w:rPr>
          <w:sz w:val="28"/>
          <w:szCs w:val="28"/>
        </w:rPr>
        <w:t xml:space="preserve">, сохранить растительный мир. </w:t>
      </w:r>
    </w:p>
    <w:p w:rsidR="001E296E" w:rsidRDefault="0013427A" w:rsidP="0013427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A84CE7">
        <w:rPr>
          <w:b/>
          <w:sz w:val="28"/>
          <w:szCs w:val="28"/>
          <w:lang w:val="en-US"/>
        </w:rPr>
        <w:t>V</w:t>
      </w:r>
      <w:r w:rsidRPr="00A84C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ПРИМЕРЫ</w:t>
      </w:r>
    </w:p>
    <w:p w:rsidR="00F85977" w:rsidRPr="00F85977" w:rsidRDefault="00D75398" w:rsidP="00F859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85977" w:rsidRPr="00F85977">
        <w:rPr>
          <w:sz w:val="28"/>
          <w:szCs w:val="28"/>
        </w:rPr>
        <w:t>В рамках осуществления социально-гигиенического мониторинга в августе 2010 года</w:t>
      </w:r>
      <w:r w:rsidR="002F4A38">
        <w:rPr>
          <w:rStyle w:val="a7"/>
          <w:sz w:val="28"/>
          <w:szCs w:val="28"/>
        </w:rPr>
        <w:footnoteReference w:id="1"/>
      </w:r>
      <w:r w:rsidR="00F85977" w:rsidRPr="00F85977">
        <w:rPr>
          <w:sz w:val="28"/>
          <w:szCs w:val="28"/>
        </w:rPr>
        <w:t xml:space="preserve">: </w:t>
      </w:r>
    </w:p>
    <w:p w:rsidR="00F85977" w:rsidRPr="00F85977" w:rsidRDefault="00F85977" w:rsidP="00F85977">
      <w:pPr>
        <w:ind w:firstLine="720"/>
        <w:jc w:val="center"/>
      </w:pPr>
      <w:r w:rsidRPr="00F85977">
        <w:rPr>
          <w:b/>
          <w:bCs/>
          <w:u w:val="single"/>
        </w:rPr>
        <w:t xml:space="preserve">РЕЗУЛЬТАТЫ ЛАБОРАТОРНОГО КОНТРОЛЯ СРЕДЫ ОБИТАНИЯ </w:t>
      </w:r>
    </w:p>
    <w:p w:rsidR="00F85977" w:rsidRPr="00F85977" w:rsidRDefault="00F85977" w:rsidP="00F85977">
      <w:pPr>
        <w:ind w:firstLine="720"/>
        <w:jc w:val="center"/>
      </w:pPr>
      <w:r w:rsidRPr="00F85977">
        <w:rPr>
          <w:b/>
          <w:bCs/>
          <w:u w:val="single"/>
        </w:rPr>
        <w:t xml:space="preserve">В РАМКАХ ОСУЩЕСТВЛЕНИЯ СОЦИАЛЬНО-ГИГИЕНИЧЕСКОГО МОНИТОРИНГА В АВГУСТЕ 2010г. </w:t>
      </w:r>
    </w:p>
    <w:p w:rsidR="00F85977" w:rsidRPr="00F85977" w:rsidRDefault="00F85977" w:rsidP="00F85977">
      <w:pPr>
        <w:pStyle w:val="a4"/>
        <w:jc w:val="center"/>
      </w:pPr>
      <w:bookmarkStart w:id="0" w:name="Бабынинский"/>
      <w:bookmarkEnd w:id="0"/>
      <w:r w:rsidRPr="00F85977">
        <w:rPr>
          <w:b/>
          <w:bCs/>
          <w:u w:val="single"/>
        </w:rPr>
        <w:t>Г. КАЛУГА</w:t>
      </w:r>
    </w:p>
    <w:p w:rsidR="00F85977" w:rsidRPr="00F85977" w:rsidRDefault="00F85977" w:rsidP="00F85977">
      <w:pPr>
        <w:pStyle w:val="a4"/>
      </w:pPr>
      <w:r w:rsidRPr="00F85977">
        <w:t>            В результате осуществления программы лабораторного контроля по МТ СГМ на территории г. Калуги получены следующие данные: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2345"/>
        <w:gridCol w:w="5562"/>
      </w:tblGrid>
      <w:tr w:rsidR="00F85977" w:rsidRPr="00F85977" w:rsidTr="00F85977">
        <w:trPr>
          <w:tblCellSpacing w:w="0" w:type="dxa"/>
        </w:trPr>
        <w:tc>
          <w:tcPr>
            <w:tcW w:w="0" w:type="auto"/>
            <w:vAlign w:val="center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rPr>
                <w:b/>
                <w:bCs/>
              </w:rPr>
              <w:t>Раздел контроля</w:t>
            </w:r>
          </w:p>
        </w:tc>
        <w:tc>
          <w:tcPr>
            <w:tcW w:w="0" w:type="auto"/>
            <w:vAlign w:val="center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rPr>
                <w:b/>
                <w:bCs/>
              </w:rPr>
              <w:t>Исследования</w:t>
            </w:r>
          </w:p>
        </w:tc>
        <w:tc>
          <w:tcPr>
            <w:tcW w:w="0" w:type="auto"/>
            <w:vAlign w:val="center"/>
          </w:tcPr>
          <w:p w:rsidR="00F85977" w:rsidRPr="00F85977" w:rsidRDefault="00F85977" w:rsidP="00430CD1">
            <w:pPr>
              <w:pStyle w:val="a4"/>
              <w:jc w:val="center"/>
            </w:pPr>
            <w:r w:rsidRPr="00F85977">
              <w:rPr>
                <w:b/>
                <w:bCs/>
              </w:rPr>
              <w:t>Результаты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vMerge w:val="restart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Почва</w:t>
            </w:r>
          </w:p>
        </w:tc>
        <w:tc>
          <w:tcPr>
            <w:tcW w:w="0" w:type="auto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Микробиологические</w:t>
            </w:r>
          </w:p>
        </w:tc>
        <w:tc>
          <w:tcPr>
            <w:tcW w:w="0" w:type="auto"/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 xml:space="preserve">Результаты проведенных исследований в пределах </w:t>
            </w:r>
            <w:r>
              <w:t xml:space="preserve">    </w:t>
            </w:r>
            <w:r w:rsidRPr="00F85977">
              <w:t>нормы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vMerge/>
            <w:vAlign w:val="center"/>
          </w:tcPr>
          <w:p w:rsidR="00F85977" w:rsidRPr="00F85977" w:rsidRDefault="00F85977" w:rsidP="00F85977">
            <w:pPr>
              <w:jc w:val="center"/>
            </w:pPr>
          </w:p>
        </w:tc>
        <w:tc>
          <w:tcPr>
            <w:tcW w:w="0" w:type="auto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Паразитологические</w:t>
            </w:r>
          </w:p>
        </w:tc>
        <w:tc>
          <w:tcPr>
            <w:tcW w:w="0" w:type="auto"/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 xml:space="preserve">Результаты проведенных исследований в пределах </w:t>
            </w:r>
            <w:r>
              <w:t xml:space="preserve"> </w:t>
            </w:r>
            <w:r w:rsidRPr="00F85977">
              <w:t>нормы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vMerge w:val="restart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Вода питьевая</w:t>
            </w:r>
          </w:p>
        </w:tc>
        <w:tc>
          <w:tcPr>
            <w:tcW w:w="0" w:type="auto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Микробиологические</w:t>
            </w:r>
          </w:p>
        </w:tc>
        <w:tc>
          <w:tcPr>
            <w:tcW w:w="0" w:type="auto"/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>Результаты проведенных исследований в пределах нормы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vMerge/>
            <w:vAlign w:val="center"/>
          </w:tcPr>
          <w:p w:rsidR="00F85977" w:rsidRPr="00F85977" w:rsidRDefault="00F85977" w:rsidP="00F85977">
            <w:pPr>
              <w:jc w:val="center"/>
            </w:pPr>
          </w:p>
        </w:tc>
        <w:tc>
          <w:tcPr>
            <w:tcW w:w="0" w:type="auto"/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Санитарно-химические</w:t>
            </w:r>
          </w:p>
        </w:tc>
        <w:tc>
          <w:tcPr>
            <w:tcW w:w="0" w:type="auto"/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>Незначительное превышение нормы по органолептическим показателям  (мутность)</w:t>
            </w:r>
          </w:p>
        </w:tc>
      </w:tr>
    </w:tbl>
    <w:p w:rsidR="00F85977" w:rsidRDefault="00F85977" w:rsidP="00F85977">
      <w:pPr>
        <w:pStyle w:val="a4"/>
        <w:ind w:firstLine="720"/>
      </w:pPr>
      <w:r w:rsidRPr="00F85977">
        <w:t>В результате проведения радиологического контроля в рамках СГМ получены следующие данные:</w:t>
      </w:r>
    </w:p>
    <w:p w:rsidR="00F85977" w:rsidRDefault="00F85977" w:rsidP="00F85977">
      <w:pPr>
        <w:pStyle w:val="a4"/>
        <w:ind w:firstLine="720"/>
      </w:pPr>
    </w:p>
    <w:p w:rsidR="00F85977" w:rsidRDefault="00F85977" w:rsidP="00F85977">
      <w:pPr>
        <w:pStyle w:val="a4"/>
        <w:ind w:firstLine="720"/>
      </w:pPr>
    </w:p>
    <w:p w:rsidR="00F85977" w:rsidRPr="00F85977" w:rsidRDefault="00F85977" w:rsidP="00F85977">
      <w:pPr>
        <w:pStyle w:val="a4"/>
        <w:ind w:firstLine="72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4"/>
        <w:gridCol w:w="7051"/>
      </w:tblGrid>
      <w:tr w:rsidR="00F85977" w:rsidRPr="00F85977" w:rsidTr="00F85977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5977" w:rsidRPr="00F85977" w:rsidRDefault="00F85977" w:rsidP="00430CD1">
            <w:pPr>
              <w:pStyle w:val="a4"/>
              <w:jc w:val="center"/>
            </w:pPr>
            <w:r w:rsidRPr="00F85977">
              <w:rPr>
                <w:b/>
                <w:bCs/>
              </w:rPr>
              <w:t>Раздел контроля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5977" w:rsidRPr="00F85977" w:rsidRDefault="00F85977" w:rsidP="00430CD1">
            <w:pPr>
              <w:pStyle w:val="a4"/>
              <w:jc w:val="center"/>
            </w:pPr>
            <w:r w:rsidRPr="00F85977">
              <w:rPr>
                <w:b/>
                <w:bCs/>
              </w:rPr>
              <w:t>Результаты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Определение гамма-фона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>Результаты проведенных исследований в пределах нормы (максимальное значение - 0,12 мкГр/час, среднее - 0,11 мкГр/час)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Вода открытых водоемов (УАР)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>Исследования не проводились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Почва (ПЗТР и УАР)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>Исследования не проводились</w:t>
            </w:r>
          </w:p>
        </w:tc>
      </w:tr>
      <w:tr w:rsidR="00F85977" w:rsidRPr="00F85977" w:rsidTr="00F85977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F85977">
            <w:pPr>
              <w:pStyle w:val="a4"/>
              <w:jc w:val="center"/>
            </w:pPr>
            <w:r w:rsidRPr="00F85977">
              <w:t>Продукты питания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77" w:rsidRPr="00F85977" w:rsidRDefault="00F85977" w:rsidP="005B6783">
            <w:pPr>
              <w:pStyle w:val="a4"/>
              <w:jc w:val="center"/>
            </w:pPr>
            <w:r w:rsidRPr="00F85977">
              <w:t>Результаты проведенных исследований в пределах нормы</w:t>
            </w:r>
          </w:p>
        </w:tc>
      </w:tr>
    </w:tbl>
    <w:p w:rsidR="005B6783" w:rsidRDefault="005B6783" w:rsidP="005B6783">
      <w:pPr>
        <w:pStyle w:val="a4"/>
        <w:jc w:val="center"/>
        <w:rPr>
          <w:rFonts w:ascii="Verdana" w:hAnsi="Verdana"/>
          <w:b/>
          <w:bCs/>
          <w:color w:val="4F4F4F"/>
          <w:sz w:val="18"/>
          <w:szCs w:val="18"/>
          <w:u w:val="single"/>
        </w:rPr>
      </w:pPr>
    </w:p>
    <w:p w:rsidR="005B6783" w:rsidRPr="005B6783" w:rsidRDefault="005B6783" w:rsidP="005B6783">
      <w:pPr>
        <w:pStyle w:val="a4"/>
        <w:jc w:val="center"/>
        <w:rPr>
          <w:rFonts w:ascii="Verdana" w:hAnsi="Verdana"/>
          <w:sz w:val="18"/>
          <w:szCs w:val="18"/>
          <w:u w:val="single"/>
        </w:rPr>
      </w:pPr>
      <w:r w:rsidRPr="005B6783">
        <w:rPr>
          <w:rFonts w:ascii="Verdana" w:hAnsi="Verdana"/>
          <w:b/>
          <w:bCs/>
          <w:sz w:val="18"/>
          <w:szCs w:val="18"/>
          <w:u w:val="single"/>
        </w:rPr>
        <w:t>КИРОВСКИЙ РАЙОН</w:t>
      </w:r>
    </w:p>
    <w:p w:rsidR="005B6783" w:rsidRPr="005B6783" w:rsidRDefault="005B6783" w:rsidP="005B6783">
      <w:pPr>
        <w:pStyle w:val="a4"/>
        <w:spacing w:line="360" w:lineRule="auto"/>
        <w:ind w:firstLine="720"/>
        <w:rPr>
          <w:sz w:val="28"/>
          <w:szCs w:val="28"/>
        </w:rPr>
      </w:pPr>
      <w:r w:rsidRPr="005B6783">
        <w:rPr>
          <w:sz w:val="28"/>
          <w:szCs w:val="28"/>
        </w:rPr>
        <w:t>В результате осуществления программы лабораторного контроля по МТ СГМ на территории Кировского района получены следующие данные: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2347"/>
        <w:gridCol w:w="5547"/>
      </w:tblGrid>
      <w:tr w:rsidR="005B6783" w:rsidTr="005B6783">
        <w:trPr>
          <w:tblCellSpacing w:w="0" w:type="dxa"/>
        </w:trPr>
        <w:tc>
          <w:tcPr>
            <w:tcW w:w="0" w:type="auto"/>
            <w:vAlign w:val="center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rPr>
                <w:b/>
                <w:bCs/>
              </w:rPr>
              <w:t>Раздел контроля</w:t>
            </w:r>
          </w:p>
        </w:tc>
        <w:tc>
          <w:tcPr>
            <w:tcW w:w="0" w:type="auto"/>
            <w:vAlign w:val="center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rPr>
                <w:b/>
                <w:bCs/>
              </w:rPr>
              <w:t>Исследования</w:t>
            </w:r>
          </w:p>
        </w:tc>
        <w:tc>
          <w:tcPr>
            <w:tcW w:w="0" w:type="auto"/>
            <w:vAlign w:val="center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rPr>
                <w:b/>
                <w:bCs/>
              </w:rPr>
              <w:t>Результаты</w:t>
            </w:r>
          </w:p>
        </w:tc>
      </w:tr>
      <w:tr w:rsidR="005B6783" w:rsidTr="005B6783">
        <w:trPr>
          <w:tblCellSpacing w:w="0" w:type="dxa"/>
        </w:trPr>
        <w:tc>
          <w:tcPr>
            <w:tcW w:w="0" w:type="auto"/>
            <w:vMerge w:val="restart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Почва</w:t>
            </w: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Микробиологические</w:t>
            </w: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Результаты проведенных исследований в пределах нормы</w:t>
            </w:r>
          </w:p>
        </w:tc>
      </w:tr>
      <w:tr w:rsidR="005B6783" w:rsidTr="005B6783">
        <w:trPr>
          <w:tblCellSpacing w:w="0" w:type="dxa"/>
        </w:trPr>
        <w:tc>
          <w:tcPr>
            <w:tcW w:w="0" w:type="auto"/>
            <w:vMerge/>
            <w:vAlign w:val="center"/>
          </w:tcPr>
          <w:p w:rsidR="005B6783" w:rsidRPr="005B6783" w:rsidRDefault="005B6783" w:rsidP="005B6783">
            <w:pPr>
              <w:jc w:val="center"/>
            </w:pP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Паразитологические</w:t>
            </w: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Результаты проведенных исследований в пределах нормы</w:t>
            </w:r>
          </w:p>
        </w:tc>
      </w:tr>
      <w:tr w:rsidR="005B6783" w:rsidTr="005B6783">
        <w:trPr>
          <w:tblCellSpacing w:w="0" w:type="dxa"/>
        </w:trPr>
        <w:tc>
          <w:tcPr>
            <w:tcW w:w="0" w:type="auto"/>
            <w:vMerge w:val="restart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Вода питьевая</w:t>
            </w: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Микробиологические</w:t>
            </w: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Результаты проведенных исследований в пределах нормы</w:t>
            </w:r>
          </w:p>
        </w:tc>
      </w:tr>
      <w:tr w:rsidR="005B6783" w:rsidTr="005B6783">
        <w:trPr>
          <w:tblCellSpacing w:w="0" w:type="dxa"/>
        </w:trPr>
        <w:tc>
          <w:tcPr>
            <w:tcW w:w="0" w:type="auto"/>
            <w:vMerge/>
            <w:vAlign w:val="center"/>
          </w:tcPr>
          <w:p w:rsidR="005B6783" w:rsidRPr="005B6783" w:rsidRDefault="005B6783" w:rsidP="005B6783">
            <w:pPr>
              <w:jc w:val="center"/>
            </w:pP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Санитарно-химические</w:t>
            </w:r>
          </w:p>
        </w:tc>
        <w:tc>
          <w:tcPr>
            <w:tcW w:w="0" w:type="auto"/>
          </w:tcPr>
          <w:p w:rsidR="005B6783" w:rsidRPr="005B6783" w:rsidRDefault="005B6783" w:rsidP="005B6783">
            <w:pPr>
              <w:pStyle w:val="a4"/>
              <w:jc w:val="center"/>
            </w:pPr>
            <w:r w:rsidRPr="005B6783">
              <w:t>Незначительное превышение нормы по санитарно-химическим показателям (железо)</w:t>
            </w:r>
          </w:p>
        </w:tc>
      </w:tr>
    </w:tbl>
    <w:p w:rsidR="005B6783" w:rsidRPr="005B6783" w:rsidRDefault="005B6783" w:rsidP="005B6783">
      <w:pPr>
        <w:pStyle w:val="a4"/>
        <w:spacing w:line="360" w:lineRule="auto"/>
        <w:ind w:firstLine="720"/>
        <w:rPr>
          <w:sz w:val="28"/>
          <w:szCs w:val="28"/>
        </w:rPr>
      </w:pPr>
      <w:r w:rsidRPr="005B6783">
        <w:rPr>
          <w:sz w:val="28"/>
          <w:szCs w:val="28"/>
        </w:rPr>
        <w:t>В результате проведения радиологического контроля в рамках СГМ получены следующие данные:</w:t>
      </w:r>
    </w:p>
    <w:tbl>
      <w:tblPr>
        <w:tblW w:w="0" w:type="auto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4"/>
        <w:gridCol w:w="7051"/>
      </w:tblGrid>
      <w:tr w:rsidR="005B6783" w:rsidRPr="005B6783" w:rsidTr="005B6783">
        <w:trPr>
          <w:tblCellSpacing w:w="0" w:type="dxa"/>
        </w:trPr>
        <w:tc>
          <w:tcPr>
            <w:tcW w:w="0" w:type="auto"/>
            <w:vAlign w:val="center"/>
          </w:tcPr>
          <w:p w:rsidR="005B6783" w:rsidRPr="005B6783" w:rsidRDefault="005B6783" w:rsidP="00430CD1">
            <w:pPr>
              <w:pStyle w:val="a4"/>
              <w:jc w:val="center"/>
            </w:pPr>
            <w:r w:rsidRPr="005B6783">
              <w:rPr>
                <w:b/>
                <w:bCs/>
              </w:rPr>
              <w:t>Раздел контроля</w:t>
            </w:r>
          </w:p>
        </w:tc>
        <w:tc>
          <w:tcPr>
            <w:tcW w:w="0" w:type="auto"/>
            <w:vAlign w:val="center"/>
          </w:tcPr>
          <w:p w:rsidR="005B6783" w:rsidRPr="005B6783" w:rsidRDefault="005B6783" w:rsidP="00430CD1">
            <w:pPr>
              <w:pStyle w:val="a4"/>
              <w:jc w:val="center"/>
            </w:pPr>
            <w:r w:rsidRPr="005B6783">
              <w:rPr>
                <w:b/>
                <w:bCs/>
              </w:rPr>
              <w:t>Результаты</w:t>
            </w:r>
          </w:p>
        </w:tc>
      </w:tr>
      <w:tr w:rsidR="005B6783" w:rsidRPr="005B6783" w:rsidTr="005B6783">
        <w:trPr>
          <w:tblCellSpacing w:w="0" w:type="dxa"/>
        </w:trPr>
        <w:tc>
          <w:tcPr>
            <w:tcW w:w="0" w:type="auto"/>
          </w:tcPr>
          <w:p w:rsidR="005B6783" w:rsidRPr="005B6783" w:rsidRDefault="005B6783" w:rsidP="00430CD1">
            <w:pPr>
              <w:pStyle w:val="a4"/>
            </w:pPr>
            <w:r w:rsidRPr="005B6783">
              <w:t>Определение гамма-фона</w:t>
            </w:r>
          </w:p>
        </w:tc>
        <w:tc>
          <w:tcPr>
            <w:tcW w:w="0" w:type="auto"/>
          </w:tcPr>
          <w:p w:rsidR="005B6783" w:rsidRPr="005B6783" w:rsidRDefault="005B6783" w:rsidP="00430CD1">
            <w:pPr>
              <w:pStyle w:val="a4"/>
            </w:pPr>
            <w:r w:rsidRPr="005B6783">
              <w:t>Результаты проведенных исследований в пределах нормы (максимальное значение - 0,12 мкГр/час, среднее - 0,11 мкГр/час)</w:t>
            </w:r>
          </w:p>
        </w:tc>
      </w:tr>
      <w:tr w:rsidR="005B6783" w:rsidRPr="005B6783" w:rsidTr="005B6783">
        <w:trPr>
          <w:tblCellSpacing w:w="0" w:type="dxa"/>
        </w:trPr>
        <w:tc>
          <w:tcPr>
            <w:tcW w:w="0" w:type="auto"/>
          </w:tcPr>
          <w:p w:rsidR="005B6783" w:rsidRPr="005B6783" w:rsidRDefault="005B6783" w:rsidP="00430CD1">
            <w:pPr>
              <w:pStyle w:val="a4"/>
            </w:pPr>
            <w:r w:rsidRPr="005B6783">
              <w:t>Вода открытых водоемов (УАР)</w:t>
            </w:r>
          </w:p>
        </w:tc>
        <w:tc>
          <w:tcPr>
            <w:tcW w:w="0" w:type="auto"/>
          </w:tcPr>
          <w:p w:rsidR="005B6783" w:rsidRPr="005B6783" w:rsidRDefault="005B6783" w:rsidP="00430CD1">
            <w:pPr>
              <w:pStyle w:val="a4"/>
            </w:pPr>
            <w:r w:rsidRPr="005B6783">
              <w:t>Исследования не проводились</w:t>
            </w:r>
          </w:p>
        </w:tc>
      </w:tr>
      <w:tr w:rsidR="005B6783" w:rsidRPr="005B6783" w:rsidTr="005B6783">
        <w:trPr>
          <w:tblCellSpacing w:w="0" w:type="dxa"/>
        </w:trPr>
        <w:tc>
          <w:tcPr>
            <w:tcW w:w="0" w:type="auto"/>
          </w:tcPr>
          <w:p w:rsidR="005B6783" w:rsidRPr="005B6783" w:rsidRDefault="005B6783" w:rsidP="00430CD1">
            <w:pPr>
              <w:pStyle w:val="a4"/>
            </w:pPr>
            <w:r w:rsidRPr="005B6783">
              <w:t>Продукты питания</w:t>
            </w:r>
          </w:p>
        </w:tc>
        <w:tc>
          <w:tcPr>
            <w:tcW w:w="0" w:type="auto"/>
          </w:tcPr>
          <w:p w:rsidR="005B6783" w:rsidRPr="005B6783" w:rsidRDefault="005B6783" w:rsidP="00430CD1">
            <w:pPr>
              <w:pStyle w:val="a4"/>
            </w:pPr>
            <w:r w:rsidRPr="005B6783">
              <w:t>Исследования не проводились</w:t>
            </w:r>
          </w:p>
        </w:tc>
      </w:tr>
    </w:tbl>
    <w:p w:rsidR="00F85977" w:rsidRDefault="00F85977" w:rsidP="00D75398">
      <w:pPr>
        <w:spacing w:line="360" w:lineRule="auto"/>
        <w:ind w:firstLine="720"/>
        <w:rPr>
          <w:sz w:val="28"/>
          <w:szCs w:val="28"/>
        </w:rPr>
      </w:pPr>
    </w:p>
    <w:p w:rsidR="00D75398" w:rsidRDefault="00D75398" w:rsidP="00D75398">
      <w:pPr>
        <w:spacing w:line="360" w:lineRule="auto"/>
        <w:ind w:firstLine="720"/>
        <w:rPr>
          <w:sz w:val="28"/>
          <w:szCs w:val="28"/>
        </w:rPr>
      </w:pPr>
    </w:p>
    <w:p w:rsidR="00D75398" w:rsidRPr="00D75398" w:rsidRDefault="00D75398" w:rsidP="00D75398">
      <w:pPr>
        <w:spacing w:line="360" w:lineRule="auto"/>
        <w:ind w:firstLine="720"/>
        <w:rPr>
          <w:sz w:val="28"/>
          <w:szCs w:val="28"/>
        </w:rPr>
      </w:pPr>
      <w:r w:rsidRPr="00D75398">
        <w:rPr>
          <w:sz w:val="28"/>
          <w:szCs w:val="28"/>
        </w:rPr>
        <w:t xml:space="preserve">2) Роспотребнадзор Северной Осетии провел мониторинг объектов среды обитания: </w:t>
      </w:r>
    </w:p>
    <w:p w:rsidR="00D75398" w:rsidRDefault="00D75398" w:rsidP="00D75398">
      <w:pPr>
        <w:spacing w:line="360" w:lineRule="auto"/>
        <w:ind w:firstLine="720"/>
        <w:rPr>
          <w:sz w:val="28"/>
          <w:szCs w:val="28"/>
        </w:rPr>
      </w:pPr>
      <w:r w:rsidRPr="00D75398">
        <w:rPr>
          <w:sz w:val="28"/>
          <w:szCs w:val="28"/>
        </w:rPr>
        <w:t xml:space="preserve">Управление Роспотребнадзора по Республике Северная Осетия – Алания осуществляет систематический мониторинг объектов среды обитания, в том числе: атмосферного воздуха, питьевой воды, почвы, пищевых продуктов, а также проводит радиационный контроль, определение шумового загрязнения.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     </w:t>
      </w:r>
      <w:r w:rsidRPr="00D75398">
        <w:rPr>
          <w:b/>
          <w:i/>
          <w:sz w:val="28"/>
          <w:szCs w:val="28"/>
          <w:u w:val="single"/>
        </w:rPr>
        <w:t>Воздух:</w:t>
      </w:r>
      <w:r w:rsidRPr="00D75398">
        <w:rPr>
          <w:sz w:val="28"/>
          <w:szCs w:val="28"/>
        </w:rPr>
        <w:t xml:space="preserve"> за прошедшие 9 месяцев текущего года ИЛЦ ФГУЗ “Центр гигиены и эпидемиологии в РСО–А” было проведено 2760 исследований по основным загрязнителям атмосферного воздуха: диоксиду серы, диоксиду азота, оксиду углерода, взвешенным веществам и наличию ионов свинца. В целом, картина вырисовывается вполне оптимистичная: отмечалось превышение предельно допустимых концентраций от 1,1 до 1,6 по максимально разовым выбросам в 13 исследованиях, что составляет всего 0,5%.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D75398">
        <w:rPr>
          <w:b/>
          <w:i/>
          <w:sz w:val="28"/>
          <w:szCs w:val="28"/>
          <w:u w:val="single"/>
        </w:rPr>
        <w:t>Почва</w:t>
      </w:r>
      <w:r w:rsidRPr="00D75398">
        <w:rPr>
          <w:b/>
          <w:i/>
          <w:sz w:val="28"/>
          <w:szCs w:val="28"/>
        </w:rPr>
        <w:t xml:space="preserve">: </w:t>
      </w:r>
      <w:r w:rsidRPr="00D75398">
        <w:rPr>
          <w:sz w:val="28"/>
          <w:szCs w:val="28"/>
        </w:rPr>
        <w:t xml:space="preserve">гораздо хуже дело обстоит с содержанием солей тяжелых металлов в почве: почти половина из 292 исследований (49,3 %) выявили превышение ПДК, установленных требованиями ГН 2.1.7. 2511-09 “Ориентировочно допустимые концентрации химических веществ в почве”. В некоторых случаях ПДК были превышены в 10 – 18 раз.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D75398">
        <w:rPr>
          <w:b/>
          <w:i/>
          <w:sz w:val="28"/>
          <w:szCs w:val="28"/>
          <w:u w:val="single"/>
        </w:rPr>
        <w:t>Вода:</w:t>
      </w:r>
      <w:r w:rsidRPr="00D75398">
        <w:rPr>
          <w:b/>
          <w:i/>
          <w:sz w:val="28"/>
          <w:szCs w:val="28"/>
        </w:rPr>
        <w:t xml:space="preserve"> </w:t>
      </w:r>
      <w:r w:rsidRPr="00D75398">
        <w:rPr>
          <w:sz w:val="28"/>
          <w:szCs w:val="28"/>
        </w:rPr>
        <w:t xml:space="preserve">города и села Северной Осетии снабжаются водой хорошего качества, в основном из подземных источников. За 9 месяцев по мониторинговым точкам отобрано и сделано 1546 исследований воды из водопроводной сети и 163 исследования из резервуаров на микробиологические и санитарно-химические показатели. Из них не соответствуют СанПиН 2.1.4.1074-01 по микробиологическим показателям 11 проб, в том числе 8 проб из разводящей сети и 3 – из резервуаров г. Владикавказа.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D75398">
        <w:rPr>
          <w:b/>
          <w:i/>
          <w:sz w:val="28"/>
          <w:szCs w:val="28"/>
          <w:u w:val="single"/>
        </w:rPr>
        <w:t>Пища:</w:t>
      </w:r>
      <w:r w:rsidRPr="00D75398">
        <w:rPr>
          <w:b/>
          <w:i/>
          <w:sz w:val="28"/>
          <w:szCs w:val="28"/>
        </w:rPr>
        <w:t xml:space="preserve"> </w:t>
      </w:r>
      <w:r w:rsidRPr="00D75398">
        <w:rPr>
          <w:sz w:val="28"/>
          <w:szCs w:val="28"/>
        </w:rPr>
        <w:t xml:space="preserve">управление Роспотребнадзора по РСО–А строго следит за качеством пищевого сырья и продуктов питания, ввозимых и производимых на территории республики. Требования, предъявляемые к продуктам питания и продовольственному сырью, в последние годы ужесточились.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D75398">
        <w:rPr>
          <w:i/>
          <w:sz w:val="28"/>
          <w:szCs w:val="28"/>
          <w:u w:val="single"/>
        </w:rPr>
        <w:t>Основной процент продукции, не отвечающей гигиеническим требованиям по санитарно-химическим показателям</w:t>
      </w:r>
      <w:r w:rsidRPr="00D75398">
        <w:rPr>
          <w:sz w:val="28"/>
          <w:szCs w:val="28"/>
        </w:rPr>
        <w:t xml:space="preserve">, составляют: овощи и зелень (35,7%), мясо (14,3%), молокопродукты (14,3%), алкогольные напитки (14,3%), безалкогольные напитки (7,1%).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D75398">
        <w:rPr>
          <w:i/>
          <w:sz w:val="28"/>
          <w:szCs w:val="28"/>
          <w:u w:val="single"/>
        </w:rPr>
        <w:t>Основной процент продукции, не отвечающей гигиеническим требованиям по микробиологическим показателям принадлежит</w:t>
      </w:r>
      <w:r w:rsidRPr="00D75398">
        <w:rPr>
          <w:sz w:val="28"/>
          <w:szCs w:val="28"/>
        </w:rPr>
        <w:t xml:space="preserve">: молокопродуктам (30,4%), кулинарным изделиям (13,4%), хлебобулочным и кондитерским изделиям (7,1%), мясу (8%), рыбе (5,4%), безалкогольным напиткам (6,3%). </w:t>
      </w:r>
      <w:r w:rsidRPr="00D75398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D75398">
        <w:rPr>
          <w:sz w:val="28"/>
          <w:szCs w:val="28"/>
        </w:rPr>
        <w:t>В 2010 году были исследованы растениеводческие культуры, фрукты и ягоды, произрастающие на территории Владикавказа, на наличие солей тяжелых металлов. Всего во всех муниципальных округах Владикавказа на частных подворьях был отобран 71 образец зелени, фруктов, ягод. В 45% от всех исследованных проб было превышено содержание солей свинца и кадмия.</w:t>
      </w:r>
      <w:r w:rsidR="002F4A38" w:rsidRPr="002F4A38">
        <w:rPr>
          <w:rStyle w:val="a7"/>
          <w:sz w:val="28"/>
          <w:szCs w:val="28"/>
        </w:rPr>
        <w:footnoteReference w:customMarkFollows="1" w:id="2"/>
        <w:sym w:font="Symbol" w:char="F02A"/>
      </w:r>
    </w:p>
    <w:p w:rsidR="002F4A38" w:rsidRPr="00C7367B" w:rsidRDefault="002F4A38" w:rsidP="002F4A38">
      <w:pPr>
        <w:spacing w:line="360" w:lineRule="auto"/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7367B">
        <w:rPr>
          <w:sz w:val="28"/>
          <w:szCs w:val="28"/>
        </w:rPr>
        <w:t>ПДК некоторых веществ в воздухе населённых мест (мг/м</w:t>
      </w:r>
      <w:r w:rsidRPr="00C7367B">
        <w:rPr>
          <w:sz w:val="28"/>
          <w:szCs w:val="28"/>
          <w:vertAlign w:val="superscript"/>
        </w:rPr>
        <w:t>3</w:t>
      </w:r>
      <w:r w:rsidRPr="00C7367B">
        <w:rPr>
          <w:sz w:val="28"/>
          <w:szCs w:val="28"/>
        </w:rPr>
        <w:t>)</w:t>
      </w:r>
    </w:p>
    <w:tbl>
      <w:tblPr>
        <w:tblW w:w="5960" w:type="dxa"/>
        <w:tblInd w:w="99" w:type="dxa"/>
        <w:tblLook w:val="0000" w:firstRow="0" w:lastRow="0" w:firstColumn="0" w:lastColumn="0" w:noHBand="0" w:noVBand="0"/>
      </w:tblPr>
      <w:tblGrid>
        <w:gridCol w:w="3540"/>
        <w:gridCol w:w="1240"/>
        <w:gridCol w:w="1196"/>
      </w:tblGrid>
      <w:tr w:rsidR="002F4A38" w:rsidTr="00430CD1">
        <w:trPr>
          <w:trHeight w:val="36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Загрязняющее вещество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ПДКс.с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ПДКм.р</w:t>
            </w:r>
          </w:p>
        </w:tc>
      </w:tr>
      <w:tr w:rsidR="002F4A38" w:rsidTr="00430CD1">
        <w:trPr>
          <w:trHeight w:val="360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 xml:space="preserve">Основные 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Азота диоксид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0,085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Серы диоксид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0,5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Твёрдые (пыль)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0,5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Углерода 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5</w:t>
            </w:r>
          </w:p>
        </w:tc>
      </w:tr>
      <w:tr w:rsidR="002F4A38" w:rsidTr="00430CD1">
        <w:trPr>
          <w:trHeight w:val="360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Специфические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Аммиак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0,2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Бенз(а)пирен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Ванадия 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Кадмия 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Марганца 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Медь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Мышьяк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0,003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Никель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Ртуть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Свинец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Сероуглерод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0,03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Фенол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0,01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Формальдегид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0,035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Фтористый водород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0,02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Хлористый водород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0,2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Хрома оксид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0,0015</w:t>
            </w:r>
          </w:p>
        </w:tc>
      </w:tr>
      <w:tr w:rsidR="002F4A38" w:rsidTr="00430CD1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Цинк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—</w:t>
            </w:r>
          </w:p>
        </w:tc>
      </w:tr>
    </w:tbl>
    <w:p w:rsidR="002F4A38" w:rsidRDefault="002F4A38" w:rsidP="002F4A38">
      <w:pPr>
        <w:spacing w:line="360" w:lineRule="auto"/>
      </w:pPr>
      <w:r>
        <w:t xml:space="preserve"> </w:t>
      </w:r>
    </w:p>
    <w:p w:rsidR="002F4A38" w:rsidRDefault="002F4A38" w:rsidP="002F4A38">
      <w:pPr>
        <w:spacing w:line="360" w:lineRule="auto"/>
      </w:pPr>
      <w:r>
        <w:t>[3 С.219]</w:t>
      </w:r>
    </w:p>
    <w:p w:rsidR="002F4A38" w:rsidRPr="00C7367B" w:rsidRDefault="002F4A38" w:rsidP="002F4A38">
      <w:pPr>
        <w:spacing w:line="360" w:lineRule="auto"/>
        <w:jc w:val="right"/>
        <w:rPr>
          <w:sz w:val="28"/>
          <w:szCs w:val="28"/>
        </w:rPr>
      </w:pPr>
      <w:r w:rsidRPr="00C7367B">
        <w:rPr>
          <w:sz w:val="28"/>
          <w:szCs w:val="28"/>
        </w:rPr>
        <w:t>ПДК</w:t>
      </w:r>
      <w:r w:rsidRPr="00C7367B">
        <w:rPr>
          <w:sz w:val="28"/>
          <w:szCs w:val="28"/>
          <w:vertAlign w:val="subscript"/>
        </w:rPr>
        <w:t>в</w:t>
      </w:r>
      <w:r w:rsidRPr="00C7367B">
        <w:rPr>
          <w:sz w:val="28"/>
          <w:szCs w:val="28"/>
        </w:rPr>
        <w:t xml:space="preserve"> некоторых веществ в водных объектах</w:t>
      </w:r>
      <w:r>
        <w:rPr>
          <w:sz w:val="28"/>
          <w:szCs w:val="28"/>
        </w:rPr>
        <w:t xml:space="preserve"> (мг/л)</w:t>
      </w:r>
    </w:p>
    <w:tbl>
      <w:tblPr>
        <w:tblW w:w="8780" w:type="dxa"/>
        <w:tblInd w:w="99" w:type="dxa"/>
        <w:tblLook w:val="0000" w:firstRow="0" w:lastRow="0" w:firstColumn="0" w:lastColumn="0" w:noHBand="0" w:noVBand="0"/>
      </w:tblPr>
      <w:tblGrid>
        <w:gridCol w:w="3760"/>
        <w:gridCol w:w="1200"/>
        <w:gridCol w:w="3820"/>
      </w:tblGrid>
      <w:tr w:rsidR="002F4A38" w:rsidTr="00430CD1">
        <w:trPr>
          <w:trHeight w:val="4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Загрязняющее вещество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ПДК</w:t>
            </w:r>
            <w:r>
              <w:rPr>
                <w:rFonts w:ascii="Arial CYR" w:hAnsi="Arial CYR" w:cs="Arial CYR"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Лимитирующий показатель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Кадмий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Токсилогический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Кобальт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Марганец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Медь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Мышьяк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Никель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Цианиды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Цинк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Свинец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Санитарно-токсилогический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Ртуть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Фтор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1,5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Железо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Органолептический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Хром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Аммиак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Токсилогический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Бензол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ДДТ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СПАВ анионактивные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Анизол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Санитарно-токсилогический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Метанол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Ацетон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Общесанитарный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Формальдегид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Нефть и нефтепродукты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Рыбохозяйственный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Фенолы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0,001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То же</w:t>
            </w:r>
          </w:p>
        </w:tc>
      </w:tr>
      <w:tr w:rsidR="002F4A38" w:rsidTr="00430CD1">
        <w:trPr>
          <w:trHeight w:val="3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Стирол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0,1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A38" w:rsidRDefault="002F4A38" w:rsidP="00430CD1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Органолептический</w:t>
            </w:r>
          </w:p>
        </w:tc>
      </w:tr>
    </w:tbl>
    <w:p w:rsidR="002F4A38" w:rsidRDefault="002F4A38" w:rsidP="002F4A38">
      <w:pPr>
        <w:spacing w:line="360" w:lineRule="auto"/>
      </w:pPr>
      <w:r>
        <w:t>[3 С.220]</w:t>
      </w: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Default="002076A4" w:rsidP="002F4A38">
      <w:pPr>
        <w:spacing w:line="360" w:lineRule="auto"/>
      </w:pPr>
    </w:p>
    <w:p w:rsidR="002076A4" w:rsidRPr="00103F5C" w:rsidRDefault="002076A4" w:rsidP="002076A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VI. </w:t>
      </w:r>
      <w:r w:rsidRPr="00103F5C">
        <w:rPr>
          <w:b/>
          <w:sz w:val="32"/>
          <w:szCs w:val="32"/>
        </w:rPr>
        <w:t>Список используемой литературы:</w:t>
      </w:r>
    </w:p>
    <w:p w:rsidR="002076A4" w:rsidRPr="00BA2632" w:rsidRDefault="002076A4" w:rsidP="002076A4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A2632">
        <w:rPr>
          <w:sz w:val="28"/>
          <w:szCs w:val="28"/>
        </w:rPr>
        <w:t>Экология и безопасность жизнедеятельности: Учеб. Пособие для вузов/ Д.А. Кривошеин, Л.А. Муравей, Н.Н. Роева и др.; Под ред. Л.А. Муравья. – М.: ЮНИТИ – ДАНА, 2000. – 447 с.</w:t>
      </w:r>
    </w:p>
    <w:p w:rsidR="002076A4" w:rsidRPr="00BA2632" w:rsidRDefault="002076A4" w:rsidP="002076A4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A2632">
        <w:rPr>
          <w:sz w:val="28"/>
          <w:szCs w:val="28"/>
        </w:rPr>
        <w:t>Петров К.М. Общая экология: Взаимодействие общества и природы: Учебное пособие для вузов. - 2-е изд., стер. – СПб: Химия, 1998. – 352 с., ил.</w:t>
      </w:r>
    </w:p>
    <w:p w:rsidR="002076A4" w:rsidRDefault="002076A4" w:rsidP="002076A4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A2632">
        <w:rPr>
          <w:sz w:val="28"/>
          <w:szCs w:val="28"/>
        </w:rPr>
        <w:t>Карташев А.Г. Введение в экологию. Учебное пособие. – Томск: Издательство «Водолей», 1998. – 384 с.</w:t>
      </w:r>
    </w:p>
    <w:p w:rsidR="002076A4" w:rsidRPr="00BA2632" w:rsidRDefault="002076A4" w:rsidP="002076A4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Маринченко А.В. Безопасность жизнидеятельности: Учебное пособие. – 2-е изд., доп. и перераб. – М.: Издательско-торговая корпорация «Дашков и К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», 2008. – 360 с.</w:t>
      </w:r>
    </w:p>
    <w:p w:rsidR="002F4A38" w:rsidRDefault="002F4A38" w:rsidP="00D75398">
      <w:pPr>
        <w:spacing w:line="360" w:lineRule="auto"/>
        <w:ind w:firstLine="720"/>
        <w:rPr>
          <w:sz w:val="28"/>
          <w:szCs w:val="28"/>
        </w:rPr>
      </w:pPr>
    </w:p>
    <w:p w:rsidR="002F4A38" w:rsidRPr="00D75398" w:rsidRDefault="002F4A38" w:rsidP="00D75398">
      <w:pPr>
        <w:spacing w:line="360" w:lineRule="auto"/>
        <w:ind w:firstLine="720"/>
        <w:rPr>
          <w:sz w:val="28"/>
          <w:szCs w:val="28"/>
        </w:rPr>
      </w:pPr>
    </w:p>
    <w:p w:rsidR="00D75398" w:rsidRPr="00A84CE7" w:rsidRDefault="00D75398" w:rsidP="00D75398">
      <w:pPr>
        <w:spacing w:line="360" w:lineRule="auto"/>
        <w:ind w:firstLine="720"/>
        <w:rPr>
          <w:sz w:val="28"/>
          <w:szCs w:val="28"/>
        </w:rPr>
      </w:pPr>
      <w:bookmarkStart w:id="1" w:name="_GoBack"/>
      <w:bookmarkEnd w:id="1"/>
    </w:p>
    <w:sectPr w:rsidR="00D75398" w:rsidRPr="00A84CE7" w:rsidSect="00926F9C">
      <w:footerReference w:type="even" r:id="rId7"/>
      <w:foot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8C" w:rsidRDefault="0049758C">
      <w:r>
        <w:separator/>
      </w:r>
    </w:p>
  </w:endnote>
  <w:endnote w:type="continuationSeparator" w:id="0">
    <w:p w:rsidR="0049758C" w:rsidRDefault="0049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9C" w:rsidRDefault="00926F9C" w:rsidP="0049758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6F9C" w:rsidRDefault="00926F9C" w:rsidP="00926F9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9C" w:rsidRDefault="00926F9C" w:rsidP="0049758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04FB4">
      <w:rPr>
        <w:rStyle w:val="ab"/>
        <w:noProof/>
      </w:rPr>
      <w:t>5</w:t>
    </w:r>
    <w:r>
      <w:rPr>
        <w:rStyle w:val="ab"/>
      </w:rPr>
      <w:fldChar w:fldCharType="end"/>
    </w:r>
  </w:p>
  <w:p w:rsidR="00926F9C" w:rsidRDefault="00926F9C" w:rsidP="00926F9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8C" w:rsidRDefault="0049758C">
      <w:r>
        <w:separator/>
      </w:r>
    </w:p>
  </w:footnote>
  <w:footnote w:type="continuationSeparator" w:id="0">
    <w:p w:rsidR="0049758C" w:rsidRDefault="0049758C">
      <w:r>
        <w:continuationSeparator/>
      </w:r>
    </w:p>
  </w:footnote>
  <w:footnote w:id="1">
    <w:p w:rsidR="002F4A38" w:rsidRDefault="002F4A38" w:rsidP="002F4A38">
      <w:pPr>
        <w:rPr>
          <w:lang w:val="en-US"/>
        </w:rPr>
      </w:pPr>
      <w:r>
        <w:rPr>
          <w:rStyle w:val="a7"/>
        </w:rPr>
        <w:footnoteRef/>
      </w:r>
      <w:r>
        <w:t xml:space="preserve"> </w:t>
      </w:r>
      <w:r w:rsidRPr="00804FB4">
        <w:t>http://40.rospotrebnadzor.ru/directions/monitoring/38850/</w:t>
      </w:r>
    </w:p>
    <w:p w:rsidR="002F4A38" w:rsidRPr="007567EE" w:rsidRDefault="002F4A38" w:rsidP="002F4A38">
      <w:pPr>
        <w:rPr>
          <w:lang w:val="en-US"/>
        </w:rPr>
      </w:pPr>
    </w:p>
    <w:p w:rsidR="002F4A38" w:rsidRDefault="002F4A38">
      <w:pPr>
        <w:pStyle w:val="a6"/>
      </w:pPr>
    </w:p>
  </w:footnote>
  <w:footnote w:id="2">
    <w:p w:rsidR="002F4A38" w:rsidRDefault="002F4A38" w:rsidP="002F4A38">
      <w:pPr>
        <w:rPr>
          <w:lang w:val="en-US"/>
        </w:rPr>
      </w:pPr>
      <w:r w:rsidRPr="002F4A38">
        <w:rPr>
          <w:rStyle w:val="a7"/>
        </w:rPr>
        <w:sym w:font="Symbol" w:char="F02A"/>
      </w:r>
      <w:r>
        <w:t xml:space="preserve"> </w:t>
      </w:r>
      <w:r w:rsidRPr="00804FB4">
        <w:rPr>
          <w:lang w:val="en-US"/>
        </w:rPr>
        <w:t>http://region15.ru/news/2010/10/23/18-13/</w:t>
      </w:r>
    </w:p>
    <w:p w:rsidR="002F4A38" w:rsidRDefault="002F4A38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85D"/>
    <w:multiLevelType w:val="hybridMultilevel"/>
    <w:tmpl w:val="79843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53E3"/>
    <w:multiLevelType w:val="hybridMultilevel"/>
    <w:tmpl w:val="684CC3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A7536"/>
    <w:multiLevelType w:val="hybridMultilevel"/>
    <w:tmpl w:val="0E5AD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834DA"/>
    <w:multiLevelType w:val="hybridMultilevel"/>
    <w:tmpl w:val="BC0CB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96199"/>
    <w:multiLevelType w:val="hybridMultilevel"/>
    <w:tmpl w:val="F594F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D1637B"/>
    <w:multiLevelType w:val="hybridMultilevel"/>
    <w:tmpl w:val="4146A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947CFD"/>
    <w:multiLevelType w:val="hybridMultilevel"/>
    <w:tmpl w:val="833C28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35354E"/>
    <w:multiLevelType w:val="hybridMultilevel"/>
    <w:tmpl w:val="2B142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4C16C1"/>
    <w:multiLevelType w:val="hybridMultilevel"/>
    <w:tmpl w:val="5678C0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EEE"/>
    <w:rsid w:val="000126D9"/>
    <w:rsid w:val="00034E0B"/>
    <w:rsid w:val="00057259"/>
    <w:rsid w:val="00093602"/>
    <w:rsid w:val="00117890"/>
    <w:rsid w:val="0013427A"/>
    <w:rsid w:val="00171E66"/>
    <w:rsid w:val="001976FA"/>
    <w:rsid w:val="001B274A"/>
    <w:rsid w:val="001E18C4"/>
    <w:rsid w:val="001E296E"/>
    <w:rsid w:val="002076A4"/>
    <w:rsid w:val="0029769E"/>
    <w:rsid w:val="002F4A38"/>
    <w:rsid w:val="00343024"/>
    <w:rsid w:val="00345D24"/>
    <w:rsid w:val="003679B6"/>
    <w:rsid w:val="00383F89"/>
    <w:rsid w:val="00430CD1"/>
    <w:rsid w:val="00460A64"/>
    <w:rsid w:val="0049758C"/>
    <w:rsid w:val="004E58D2"/>
    <w:rsid w:val="0052520D"/>
    <w:rsid w:val="0059019C"/>
    <w:rsid w:val="005B6783"/>
    <w:rsid w:val="00600125"/>
    <w:rsid w:val="00636581"/>
    <w:rsid w:val="006E072C"/>
    <w:rsid w:val="007432CB"/>
    <w:rsid w:val="00746C61"/>
    <w:rsid w:val="00747499"/>
    <w:rsid w:val="00793598"/>
    <w:rsid w:val="007E34C6"/>
    <w:rsid w:val="00804FB4"/>
    <w:rsid w:val="00842AC1"/>
    <w:rsid w:val="00916504"/>
    <w:rsid w:val="00926F9C"/>
    <w:rsid w:val="00A662DB"/>
    <w:rsid w:val="00A84CE7"/>
    <w:rsid w:val="00A94190"/>
    <w:rsid w:val="00AA3056"/>
    <w:rsid w:val="00B73569"/>
    <w:rsid w:val="00CC636D"/>
    <w:rsid w:val="00CD7B6A"/>
    <w:rsid w:val="00D70C56"/>
    <w:rsid w:val="00D75398"/>
    <w:rsid w:val="00DC2598"/>
    <w:rsid w:val="00DF21FC"/>
    <w:rsid w:val="00E776AE"/>
    <w:rsid w:val="00EA2381"/>
    <w:rsid w:val="00ED2EEE"/>
    <w:rsid w:val="00F85977"/>
    <w:rsid w:val="00F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2E957DF2-3A23-469D-9AEA-3084187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85977"/>
    <w:pPr>
      <w:spacing w:after="33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B27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rmal (Web)"/>
    <w:basedOn w:val="a"/>
    <w:rsid w:val="00F85977"/>
    <w:pPr>
      <w:spacing w:after="240"/>
    </w:pPr>
  </w:style>
  <w:style w:type="character" w:styleId="a5">
    <w:name w:val="Strong"/>
    <w:basedOn w:val="a0"/>
    <w:qFormat/>
    <w:rsid w:val="00D75398"/>
    <w:rPr>
      <w:b/>
      <w:bCs/>
    </w:rPr>
  </w:style>
  <w:style w:type="paragraph" w:styleId="a6">
    <w:name w:val="footnote text"/>
    <w:basedOn w:val="a"/>
    <w:semiHidden/>
    <w:rsid w:val="002F4A38"/>
    <w:rPr>
      <w:sz w:val="20"/>
      <w:szCs w:val="20"/>
    </w:rPr>
  </w:style>
  <w:style w:type="character" w:styleId="a7">
    <w:name w:val="footnote reference"/>
    <w:basedOn w:val="a0"/>
    <w:semiHidden/>
    <w:rsid w:val="002F4A38"/>
    <w:rPr>
      <w:vertAlign w:val="superscript"/>
    </w:rPr>
  </w:style>
  <w:style w:type="character" w:styleId="a8">
    <w:name w:val="Hyperlink"/>
    <w:basedOn w:val="a0"/>
    <w:rsid w:val="002F4A38"/>
    <w:rPr>
      <w:color w:val="0000FF"/>
      <w:u w:val="single"/>
    </w:rPr>
  </w:style>
  <w:style w:type="character" w:styleId="a9">
    <w:name w:val="FollowedHyperlink"/>
    <w:basedOn w:val="a0"/>
    <w:rsid w:val="002F4A38"/>
    <w:rPr>
      <w:color w:val="800080"/>
      <w:u w:val="single"/>
    </w:rPr>
  </w:style>
  <w:style w:type="paragraph" w:styleId="aa">
    <w:name w:val="footer"/>
    <w:basedOn w:val="a"/>
    <w:rsid w:val="00926F9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2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Загрязнение – неблагоприятное изменение среды обитания, являющееся полностью или в основном побочным результатом деятельности человека</vt:lpstr>
    </vt:vector>
  </TitlesOfParts>
  <Company>ВВК</Company>
  <LinksUpToDate>false</LinksUpToDate>
  <CharactersWithSpaces>29228</CharactersWithSpaces>
  <SharedDoc>false</SharedDoc>
  <HLinks>
    <vt:vector size="12" baseType="variant"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http://region15.ru/news/2010/10/23/18-13/</vt:lpwstr>
      </vt:variant>
      <vt:variant>
        <vt:lpwstr/>
      </vt:variant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http://40.rospotrebnadzor.ru/directions/monitoring/38850/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– неблагоприятное изменение среды обитания, являющееся полностью или в основном побочным результатом деятельности человека</dc:title>
  <dc:subject/>
  <dc:creator>Анна</dc:creator>
  <cp:keywords/>
  <dc:description/>
  <cp:lastModifiedBy>Irina</cp:lastModifiedBy>
  <cp:revision>2</cp:revision>
  <cp:lastPrinted>2010-12-17T10:17:00Z</cp:lastPrinted>
  <dcterms:created xsi:type="dcterms:W3CDTF">2014-08-13T17:39:00Z</dcterms:created>
  <dcterms:modified xsi:type="dcterms:W3CDTF">2014-08-13T17:39:00Z</dcterms:modified>
</cp:coreProperties>
</file>