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085BE0" w:rsidRDefault="00085BE0" w:rsidP="00085BE0">
      <w:pPr>
        <w:pStyle w:val="aff2"/>
      </w:pPr>
    </w:p>
    <w:p w:rsidR="00E63488" w:rsidRPr="00085BE0" w:rsidRDefault="00085BE0" w:rsidP="00085BE0">
      <w:pPr>
        <w:pStyle w:val="aff2"/>
      </w:pPr>
      <w:r>
        <w:t>П</w:t>
      </w:r>
      <w:r w:rsidR="00B32DAD" w:rsidRPr="00E63488">
        <w:t>роект строительства цеха по производству</w:t>
      </w:r>
      <w:r w:rsidR="00E63488" w:rsidRPr="00E63488">
        <w:t xml:space="preserve"> </w:t>
      </w:r>
      <w:r w:rsidR="00B32DAD" w:rsidRPr="00E63488">
        <w:t>огнетушителей и огнетушащего порошка</w:t>
      </w:r>
    </w:p>
    <w:p w:rsidR="00E63488" w:rsidRPr="00E63488" w:rsidRDefault="00085BE0" w:rsidP="00085BE0">
      <w:pPr>
        <w:pStyle w:val="2"/>
      </w:pPr>
      <w:r>
        <w:br w:type="page"/>
      </w:r>
      <w:r w:rsidR="002A5E2D" w:rsidRPr="00E63488">
        <w:t>1</w:t>
      </w:r>
      <w:r w:rsidR="00E63488" w:rsidRPr="00E63488">
        <w:t xml:space="preserve">. </w:t>
      </w:r>
      <w:r w:rsidR="002A5E2D" w:rsidRPr="00E63488">
        <w:t>Соответствие проектных решений действующим нормам и правилам, основания для проектирования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D03803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Настоящий </w:t>
      </w:r>
      <w:r w:rsidR="00DF270D" w:rsidRPr="00E63488">
        <w:rPr>
          <w:lang w:eastAsia="en-US"/>
        </w:rPr>
        <w:t xml:space="preserve">проект </w:t>
      </w:r>
      <w:r w:rsidR="002A5E2D" w:rsidRPr="00E63488">
        <w:rPr>
          <w:lang w:eastAsia="en-US"/>
        </w:rPr>
        <w:t xml:space="preserve">строительства </w:t>
      </w:r>
      <w:r w:rsidR="00DF270D" w:rsidRPr="00E63488">
        <w:rPr>
          <w:lang w:eastAsia="en-US"/>
        </w:rPr>
        <w:t>цеха по производству</w:t>
      </w:r>
      <w:r w:rsidR="00E63488" w:rsidRPr="00E63488">
        <w:rPr>
          <w:lang w:eastAsia="en-US"/>
        </w:rPr>
        <w:t xml:space="preserve"> </w:t>
      </w:r>
      <w:r w:rsidR="00DF270D" w:rsidRPr="00E63488">
        <w:rPr>
          <w:lang w:eastAsia="en-US"/>
        </w:rPr>
        <w:t>огнетушителей и огнетушащего порошка находящийся по адресу г</w:t>
      </w:r>
      <w:r w:rsidR="00E63488" w:rsidRPr="00E63488">
        <w:rPr>
          <w:lang w:eastAsia="en-US"/>
        </w:rPr>
        <w:t xml:space="preserve">. </w:t>
      </w:r>
      <w:r w:rsidR="00DF270D" w:rsidRPr="00E63488">
        <w:rPr>
          <w:lang w:eastAsia="en-US"/>
        </w:rPr>
        <w:t>Харьков пер</w:t>
      </w:r>
      <w:r w:rsidR="00E63488" w:rsidRPr="00E63488">
        <w:rPr>
          <w:lang w:eastAsia="en-US"/>
        </w:rPr>
        <w:t xml:space="preserve">. </w:t>
      </w:r>
      <w:r w:rsidR="00DF270D" w:rsidRPr="00E63488">
        <w:rPr>
          <w:lang w:eastAsia="en-US"/>
        </w:rPr>
        <w:t xml:space="preserve">Красностуденческий </w:t>
      </w:r>
      <w:r w:rsidR="002A5E2D" w:rsidRPr="00E63488">
        <w:rPr>
          <w:lang w:eastAsia="en-US"/>
        </w:rPr>
        <w:t>разработан в соответствии с действующими нормами и правилами, инструкциями и государственными стандартами и обеспечивает безопасную эксплуатацию проектируемого объекта при соблюдении предусмотренных мероприятий</w:t>
      </w:r>
      <w:r w:rsidR="00E63488" w:rsidRPr="00E63488">
        <w:rPr>
          <w:lang w:eastAsia="en-US"/>
        </w:rPr>
        <w:t>.</w:t>
      </w:r>
    </w:p>
    <w:p w:rsidR="00E63488" w:rsidRDefault="002A5E2D" w:rsidP="00E63488">
      <w:pPr>
        <w:ind w:firstLine="709"/>
        <w:rPr>
          <w:lang w:eastAsia="en-US"/>
        </w:rPr>
      </w:pPr>
      <w:r w:rsidRPr="00E63488">
        <w:rPr>
          <w:lang w:eastAsia="en-US"/>
        </w:rPr>
        <w:t>Настоящий проект разработан на основании</w:t>
      </w:r>
      <w:r w:rsidR="00E63488" w:rsidRPr="00E63488">
        <w:rPr>
          <w:lang w:eastAsia="en-US"/>
        </w:rPr>
        <w:t>:</w:t>
      </w:r>
    </w:p>
    <w:p w:rsidR="00E63488" w:rsidRDefault="002A5E2D" w:rsidP="00E63488">
      <w:pPr>
        <w:ind w:firstLine="709"/>
        <w:rPr>
          <w:lang w:eastAsia="en-US"/>
        </w:rPr>
      </w:pPr>
      <w:r w:rsidRPr="00E63488">
        <w:rPr>
          <w:lang w:eastAsia="en-US"/>
        </w:rPr>
        <w:t>архитектурно-планировочного задания</w:t>
      </w:r>
      <w:r w:rsidR="00E63488" w:rsidRPr="00E63488">
        <w:rPr>
          <w:lang w:eastAsia="en-US"/>
        </w:rPr>
        <w:t>;</w:t>
      </w:r>
    </w:p>
    <w:p w:rsidR="00E63488" w:rsidRDefault="002A5E2D" w:rsidP="00E63488">
      <w:pPr>
        <w:ind w:firstLine="709"/>
        <w:rPr>
          <w:lang w:eastAsia="en-US"/>
        </w:rPr>
      </w:pPr>
      <w:r w:rsidRPr="00E63488">
        <w:rPr>
          <w:lang w:eastAsia="en-US"/>
        </w:rPr>
        <w:t>комплекта технических условий и материалов топографо</w:t>
      </w:r>
      <w:r w:rsidR="00085BE0">
        <w:rPr>
          <w:lang w:eastAsia="en-US"/>
        </w:rPr>
        <w:t>-</w:t>
      </w:r>
      <w:r w:rsidRPr="00E63488">
        <w:rPr>
          <w:lang w:eastAsia="en-US"/>
        </w:rPr>
        <w:t>геодезических работ и инженерно-геологических изысканий</w: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Pr="00E63488" w:rsidRDefault="00080AD8" w:rsidP="00085BE0">
      <w:pPr>
        <w:pStyle w:val="2"/>
      </w:pPr>
      <w:r w:rsidRPr="00E63488">
        <w:t>2</w:t>
      </w:r>
      <w:r w:rsidR="00E63488" w:rsidRPr="00E63488">
        <w:t xml:space="preserve">. </w:t>
      </w:r>
      <w:r w:rsidR="00287F9F" w:rsidRPr="00E63488">
        <w:t>Архитектурно</w:t>
      </w:r>
      <w:r w:rsidR="00085BE0">
        <w:t>-</w:t>
      </w:r>
      <w:r w:rsidR="00287F9F" w:rsidRPr="00E63488">
        <w:t>планировочные решения генерального плана и его характеристика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Рельеф участка строительства ровный спокойный с общим уклоном к югу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Транспортное обслуживание решается с ул</w:t>
      </w:r>
      <w:r w:rsidR="00E63488" w:rsidRPr="00E63488">
        <w:rPr>
          <w:lang w:eastAsia="en-US"/>
        </w:rPr>
        <w:t xml:space="preserve">. </w:t>
      </w:r>
      <w:r w:rsidR="00DF270D" w:rsidRPr="00E63488">
        <w:rPr>
          <w:lang w:eastAsia="en-US"/>
        </w:rPr>
        <w:t>Пушкинская</w:t>
      </w:r>
      <w:r w:rsidR="00E63488" w:rsidRPr="00E63488">
        <w:rPr>
          <w:lang w:eastAsia="en-US"/>
        </w:rPr>
        <w:t xml:space="preserve">. </w:t>
      </w:r>
      <w:r w:rsidR="00C4772F" w:rsidRPr="00E63488">
        <w:rPr>
          <w:lang w:eastAsia="en-US"/>
        </w:rPr>
        <w:t>Автомобильные дороги, проезды и площадки запроектированы с покрытием из мелкозернистого асфальтобетона</w:t>
      </w:r>
      <w:r w:rsidR="00E63488" w:rsidRPr="00E63488">
        <w:rPr>
          <w:lang w:eastAsia="en-US"/>
        </w:rPr>
        <w:t>.</w:t>
      </w:r>
    </w:p>
    <w:p w:rsidR="00E63488" w:rsidRDefault="00C4772F" w:rsidP="00E63488">
      <w:pPr>
        <w:ind w:firstLine="709"/>
        <w:rPr>
          <w:lang w:eastAsia="en-US"/>
        </w:rPr>
      </w:pPr>
      <w:r w:rsidRPr="00E63488">
        <w:rPr>
          <w:lang w:eastAsia="en-US"/>
        </w:rPr>
        <w:t>Генеральный план решен из условий размеров выделенной площадки, транспортных и инженерных коммуникаций, с учетом требований санитарно-технических и противопожарных норм, а также требований архитектурно-планировочного задания</w:t>
      </w:r>
      <w:r w:rsidR="00E63488" w:rsidRPr="00E63488">
        <w:rPr>
          <w:lang w:eastAsia="en-US"/>
        </w:rPr>
        <w:t>.</w:t>
      </w:r>
    </w:p>
    <w:p w:rsidR="00E63488" w:rsidRDefault="00C4772F" w:rsidP="00E63488">
      <w:pPr>
        <w:ind w:firstLine="709"/>
        <w:rPr>
          <w:lang w:eastAsia="en-US"/>
        </w:rPr>
      </w:pPr>
      <w:r w:rsidRPr="00E63488">
        <w:rPr>
          <w:lang w:eastAsia="en-US"/>
        </w:rPr>
        <w:t>Вертикальная планировка решена с учетом создания наиболее благоприятных условий для отвода ливневых вод с территории площадки, обеспечения удобных транспортно-технологических связей и с учетом геологического строения площадки</w:t>
      </w:r>
      <w:r w:rsidR="00E63488" w:rsidRPr="00E63488">
        <w:rPr>
          <w:lang w:eastAsia="en-US"/>
        </w:rPr>
        <w:t>.</w:t>
      </w:r>
    </w:p>
    <w:p w:rsidR="00E63488" w:rsidRDefault="00C55374" w:rsidP="00E63488">
      <w:pPr>
        <w:ind w:firstLine="709"/>
        <w:rPr>
          <w:lang w:eastAsia="en-US"/>
        </w:rPr>
      </w:pPr>
      <w:r w:rsidRPr="00E63488">
        <w:rPr>
          <w:lang w:eastAsia="en-US"/>
        </w:rPr>
        <w:t>Архитектурно</w:t>
      </w:r>
      <w:r w:rsidR="00085BE0">
        <w:rPr>
          <w:lang w:eastAsia="en-US"/>
        </w:rPr>
        <w:t>-</w:t>
      </w:r>
      <w:r w:rsidRPr="00E63488">
        <w:rPr>
          <w:lang w:eastAsia="en-US"/>
        </w:rPr>
        <w:t>планировочное решение генерального плана выполнено с учетом следующих условий</w:t>
      </w:r>
      <w:r w:rsidR="00E63488" w:rsidRPr="00E63488">
        <w:rPr>
          <w:lang w:eastAsia="en-US"/>
        </w:rPr>
        <w:t>:</w:t>
      </w:r>
    </w:p>
    <w:p w:rsidR="00E63488" w:rsidRDefault="00C55374" w:rsidP="00E63488">
      <w:pPr>
        <w:ind w:firstLine="709"/>
        <w:rPr>
          <w:lang w:eastAsia="en-US"/>
        </w:rPr>
      </w:pPr>
      <w:r w:rsidRPr="00E63488">
        <w:rPr>
          <w:lang w:eastAsia="en-US"/>
        </w:rPr>
        <w:t>сложившейся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существующей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застройки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и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конфигурации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участка строительства</w:t>
      </w:r>
      <w:r w:rsidR="00E63488" w:rsidRPr="00E63488">
        <w:rPr>
          <w:lang w:eastAsia="en-US"/>
        </w:rPr>
        <w:t>;</w:t>
      </w:r>
    </w:p>
    <w:p w:rsidR="00E63488" w:rsidRDefault="00C55374" w:rsidP="00E63488">
      <w:pPr>
        <w:ind w:firstLine="709"/>
        <w:rPr>
          <w:lang w:eastAsia="en-US"/>
        </w:rPr>
      </w:pPr>
      <w:r w:rsidRPr="00E63488">
        <w:rPr>
          <w:lang w:eastAsia="en-US"/>
        </w:rPr>
        <w:t>технологических требований к организации подъезда автотранспорта и пешеходных потоков</w:t>
      </w:r>
      <w:r w:rsidR="00E63488" w:rsidRPr="00E63488">
        <w:rPr>
          <w:lang w:eastAsia="en-US"/>
        </w:rPr>
        <w:t>;</w:t>
      </w:r>
    </w:p>
    <w:p w:rsidR="00E63488" w:rsidRDefault="00C55374" w:rsidP="00E63488">
      <w:pPr>
        <w:ind w:firstLine="709"/>
        <w:rPr>
          <w:lang w:eastAsia="en-US"/>
        </w:rPr>
      </w:pPr>
      <w:r w:rsidRPr="00E63488">
        <w:rPr>
          <w:lang w:eastAsia="en-US"/>
        </w:rPr>
        <w:t>увязки проектных решений с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существующими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внутриквартальными проездами и тротуарами</w:t>
      </w:r>
      <w:r w:rsidR="00E63488" w:rsidRPr="00E63488">
        <w:rPr>
          <w:lang w:eastAsia="en-US"/>
        </w:rPr>
        <w:t>;</w:t>
      </w:r>
    </w:p>
    <w:p w:rsidR="00E63488" w:rsidRDefault="00C55374" w:rsidP="00E63488">
      <w:pPr>
        <w:ind w:firstLine="709"/>
        <w:rPr>
          <w:lang w:eastAsia="en-US"/>
        </w:rPr>
      </w:pPr>
      <w:r w:rsidRPr="00E63488">
        <w:rPr>
          <w:lang w:eastAsia="en-US"/>
        </w:rPr>
        <w:t>Максимально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возможного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сохранения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существующих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зеленых насаждений</w:t>
      </w:r>
      <w:r w:rsidR="00E63488" w:rsidRPr="00E63488">
        <w:rPr>
          <w:lang w:eastAsia="en-US"/>
        </w:rPr>
        <w:t>;</w:t>
      </w:r>
    </w:p>
    <w:p w:rsidR="00E63488" w:rsidRDefault="00C55374" w:rsidP="00E63488">
      <w:pPr>
        <w:ind w:firstLine="709"/>
        <w:rPr>
          <w:lang w:eastAsia="en-US"/>
        </w:rPr>
      </w:pPr>
      <w:r w:rsidRPr="00E63488">
        <w:rPr>
          <w:lang w:eastAsia="en-US"/>
        </w:rPr>
        <w:t>соблюдения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нормативных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градостроительных,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санитарных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и противопожарных требований</w: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0E50" w:rsidRPr="00E63488" w:rsidRDefault="00D51E62" w:rsidP="00085BE0">
      <w:pPr>
        <w:pStyle w:val="2"/>
      </w:pPr>
      <w:r w:rsidRPr="00E63488">
        <w:t>3</w:t>
      </w:r>
      <w:r w:rsidR="00E63488" w:rsidRPr="00E63488">
        <w:t xml:space="preserve">. </w:t>
      </w:r>
      <w:r w:rsidR="00DF270D" w:rsidRPr="00E63488">
        <w:t>Природно-климатические</w:t>
      </w:r>
      <w:r w:rsidR="00C4772F" w:rsidRPr="00E63488">
        <w:t xml:space="preserve"> условия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C4772F" w:rsidP="00E63488">
      <w:pPr>
        <w:ind w:firstLine="709"/>
        <w:rPr>
          <w:lang w:eastAsia="en-US"/>
        </w:rPr>
      </w:pPr>
      <w:r w:rsidRPr="00E63488">
        <w:rPr>
          <w:lang w:eastAsia="en-US"/>
        </w:rPr>
        <w:t>В</w:t>
      </w:r>
      <w:r w:rsidR="00E60E50" w:rsidRPr="00E63488">
        <w:rPr>
          <w:lang w:eastAsia="en-US"/>
        </w:rPr>
        <w:t xml:space="preserve"> соответствии с данными СНиП 2</w:t>
      </w:r>
      <w:r w:rsidR="00E63488">
        <w:rPr>
          <w:lang w:eastAsia="en-US"/>
        </w:rPr>
        <w:t>.0</w:t>
      </w:r>
      <w:r w:rsidR="00E60E50" w:rsidRPr="00E63488">
        <w:rPr>
          <w:lang w:eastAsia="en-US"/>
        </w:rPr>
        <w:t>1</w:t>
      </w:r>
      <w:r w:rsidR="00E63488">
        <w:rPr>
          <w:lang w:eastAsia="en-US"/>
        </w:rPr>
        <w:t>.0</w:t>
      </w:r>
      <w:r w:rsidR="00E60E50" w:rsidRPr="00E63488">
        <w:rPr>
          <w:lang w:eastAsia="en-US"/>
        </w:rPr>
        <w:t>1</w:t>
      </w:r>
      <w:r w:rsidR="00E63488" w:rsidRPr="00E63488">
        <w:rPr>
          <w:lang w:eastAsia="en-US"/>
        </w:rPr>
        <w:t xml:space="preserve"> - </w:t>
      </w:r>
      <w:r w:rsidR="00E60E50" w:rsidRPr="00E63488">
        <w:rPr>
          <w:lang w:eastAsia="en-US"/>
        </w:rPr>
        <w:t>82</w:t>
      </w:r>
      <w:r w:rsidR="00E63488">
        <w:rPr>
          <w:lang w:eastAsia="en-US"/>
        </w:rPr>
        <w:t xml:space="preserve"> "</w:t>
      </w:r>
      <w:r w:rsidR="00E60E50" w:rsidRPr="00E63488">
        <w:rPr>
          <w:lang w:eastAsia="en-US"/>
        </w:rPr>
        <w:t>Строительная климатология и геофизика</w:t>
      </w:r>
      <w:r w:rsidR="00E63488">
        <w:rPr>
          <w:lang w:eastAsia="en-US"/>
        </w:rPr>
        <w:t xml:space="preserve">" </w:t>
      </w:r>
      <w:r w:rsidR="00E63488" w:rsidRPr="00E63488">
        <w:rPr>
          <w:lang w:eastAsia="en-US"/>
        </w:rPr>
        <w:t xml:space="preserve">- </w:t>
      </w:r>
      <w:r w:rsidR="00E60E50" w:rsidRPr="00E63488">
        <w:rPr>
          <w:lang w:eastAsia="en-US"/>
        </w:rPr>
        <w:t>климатический</w:t>
      </w:r>
      <w:r w:rsidR="00E63488" w:rsidRPr="00E63488">
        <w:rPr>
          <w:lang w:eastAsia="en-US"/>
        </w:rPr>
        <w:t xml:space="preserve"> </w:t>
      </w:r>
      <w:r w:rsidR="00E60E50" w:rsidRPr="00E63488">
        <w:rPr>
          <w:lang w:eastAsia="en-US"/>
        </w:rPr>
        <w:t>район</w:t>
      </w:r>
      <w:r w:rsidR="00E63488" w:rsidRPr="00E63488">
        <w:rPr>
          <w:lang w:eastAsia="en-US"/>
        </w:rPr>
        <w:t xml:space="preserve"> </w:t>
      </w:r>
      <w:r w:rsidR="00E60E50" w:rsidRPr="00E63488">
        <w:rPr>
          <w:lang w:eastAsia="en-US"/>
        </w:rPr>
        <w:t>строительства</w:t>
      </w:r>
      <w:r w:rsidR="00E63488" w:rsidRPr="00E63488">
        <w:rPr>
          <w:lang w:eastAsia="en-US"/>
        </w:rPr>
        <w:t xml:space="preserve"> - </w:t>
      </w:r>
      <w:r w:rsidR="00E60E50" w:rsidRPr="00E63488">
        <w:rPr>
          <w:lang w:eastAsia="en-US"/>
        </w:rPr>
        <w:t>I I В,</w:t>
      </w:r>
      <w:r w:rsidR="00E63488" w:rsidRPr="00E63488">
        <w:rPr>
          <w:lang w:eastAsia="en-US"/>
        </w:rPr>
        <w:t xml:space="preserve"> </w:t>
      </w:r>
      <w:r w:rsidR="00E60E50" w:rsidRPr="00E63488">
        <w:rPr>
          <w:lang w:eastAsia="en-US"/>
        </w:rPr>
        <w:t>который</w:t>
      </w:r>
      <w:r w:rsidR="00E63488" w:rsidRPr="00E63488">
        <w:rPr>
          <w:lang w:eastAsia="en-US"/>
        </w:rPr>
        <w:t xml:space="preserve"> </w:t>
      </w:r>
      <w:r w:rsidR="00E60E50" w:rsidRPr="00E63488">
        <w:rPr>
          <w:lang w:eastAsia="en-US"/>
        </w:rPr>
        <w:t>характеризуется</w:t>
      </w:r>
      <w:r w:rsidR="00E63488" w:rsidRPr="00E63488">
        <w:rPr>
          <w:lang w:eastAsia="en-US"/>
        </w:rPr>
        <w:t xml:space="preserve"> </w:t>
      </w:r>
      <w:r w:rsidR="00E60E50" w:rsidRPr="00E63488">
        <w:rPr>
          <w:lang w:eastAsia="en-US"/>
        </w:rPr>
        <w:t>следующими данными</w:t>
      </w:r>
      <w:r w:rsidR="00E63488" w:rsidRPr="00E63488">
        <w:rPr>
          <w:lang w:eastAsia="en-US"/>
        </w:rPr>
        <w:t>:</w:t>
      </w:r>
    </w:p>
    <w:p w:rsidR="00E63488" w:rsidRDefault="00E60E50" w:rsidP="00E63488">
      <w:pPr>
        <w:ind w:firstLine="709"/>
        <w:rPr>
          <w:lang w:eastAsia="en-US"/>
        </w:rPr>
      </w:pPr>
      <w:r w:rsidRPr="00E63488">
        <w:rPr>
          <w:lang w:eastAsia="en-US"/>
        </w:rPr>
        <w:t>Температура наружного воздуха</w:t>
      </w:r>
      <w:r w:rsidR="00E63488" w:rsidRPr="00E63488">
        <w:rPr>
          <w:lang w:eastAsia="en-US"/>
        </w:rPr>
        <w:t>:</w:t>
      </w:r>
    </w:p>
    <w:p w:rsidR="00E63488" w:rsidRDefault="00E60E50" w:rsidP="00E63488">
      <w:pPr>
        <w:ind w:firstLine="709"/>
        <w:rPr>
          <w:lang w:eastAsia="en-US"/>
        </w:rPr>
      </w:pPr>
      <w:r w:rsidRPr="00E63488">
        <w:rPr>
          <w:lang w:eastAsia="en-US"/>
        </w:rPr>
        <w:t>средняя максимальная наиболее</w:t>
      </w:r>
      <w:r w:rsidR="00E63488">
        <w:rPr>
          <w:lang w:eastAsia="en-US"/>
        </w:rPr>
        <w:t xml:space="preserve"> </w:t>
      </w:r>
      <w:r w:rsidRPr="00E63488">
        <w:rPr>
          <w:lang w:eastAsia="en-US"/>
        </w:rPr>
        <w:t>жаркого месяца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26</w:t>
      </w:r>
      <w:r w:rsidR="00E63488">
        <w:rPr>
          <w:lang w:eastAsia="en-US"/>
        </w:rPr>
        <w:t>.7</w:t>
      </w:r>
      <w:r w:rsidRPr="00E63488">
        <w:rPr>
          <w:lang w:eastAsia="en-US"/>
        </w:rPr>
        <w:t>° С</w:t>
      </w:r>
    </w:p>
    <w:p w:rsidR="00E63488" w:rsidRDefault="00E60E50" w:rsidP="00E63488">
      <w:pPr>
        <w:ind w:firstLine="709"/>
        <w:rPr>
          <w:lang w:eastAsia="en-US"/>
        </w:rPr>
      </w:pPr>
      <w:r w:rsidRPr="00E63488">
        <w:rPr>
          <w:lang w:eastAsia="en-US"/>
        </w:rPr>
        <w:t>наиболее холодных сучок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26° С</w:t>
      </w:r>
      <w:r w:rsidR="00E63488">
        <w:rPr>
          <w:lang w:eastAsia="en-US"/>
        </w:rPr>
        <w:t xml:space="preserve"> </w:t>
      </w:r>
      <w:r w:rsidR="00E63488" w:rsidRPr="00E63488">
        <w:rPr>
          <w:lang w:eastAsia="en-US"/>
        </w:rPr>
        <w:t xml:space="preserve">- </w:t>
      </w:r>
      <w:r w:rsidRPr="00E63488">
        <w:rPr>
          <w:lang w:eastAsia="en-US"/>
        </w:rPr>
        <w:t>наиболее холодного месяца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11° С</w:t>
      </w:r>
      <w:r w:rsidR="00E63488">
        <w:rPr>
          <w:lang w:eastAsia="en-US"/>
        </w:rPr>
        <w:t xml:space="preserve"> </w:t>
      </w:r>
      <w:r w:rsidRPr="00E63488">
        <w:rPr>
          <w:lang w:eastAsia="en-US"/>
        </w:rPr>
        <w:t>Климат умеренно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континентальный</w:t>
      </w:r>
      <w:r w:rsidR="00E63488" w:rsidRPr="00E63488">
        <w:rPr>
          <w:lang w:eastAsia="en-US"/>
        </w:rPr>
        <w:t>.</w:t>
      </w:r>
    </w:p>
    <w:p w:rsidR="00E60E50" w:rsidRPr="00E63488" w:rsidRDefault="00E60E50" w:rsidP="00E63488">
      <w:pPr>
        <w:ind w:firstLine="709"/>
        <w:rPr>
          <w:lang w:eastAsia="en-US"/>
        </w:rPr>
      </w:pPr>
      <w:r w:rsidRPr="00E63488">
        <w:rPr>
          <w:lang w:eastAsia="en-US"/>
        </w:rPr>
        <w:t>Продолжительность периода со среднесуточной температурой воздуха</w:t>
      </w:r>
    </w:p>
    <w:p w:rsidR="00E63488" w:rsidRDefault="00E60E50" w:rsidP="00E63488">
      <w:pPr>
        <w:ind w:firstLine="709"/>
        <w:rPr>
          <w:lang w:eastAsia="en-US"/>
        </w:rPr>
      </w:pPr>
      <w:r w:rsidRPr="00E63488">
        <w:rPr>
          <w:lang w:eastAsia="en-US"/>
        </w:rPr>
        <w:t>8° С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189 суток</w:t>
      </w:r>
      <w:r w:rsidR="00E63488" w:rsidRPr="00E63488">
        <w:rPr>
          <w:lang w:eastAsia="en-US"/>
        </w:rPr>
        <w:t>;</w:t>
      </w:r>
    </w:p>
    <w:p w:rsidR="00E63488" w:rsidRDefault="00E60E50" w:rsidP="00E63488">
      <w:pPr>
        <w:ind w:firstLine="709"/>
        <w:rPr>
          <w:lang w:eastAsia="en-US"/>
        </w:rPr>
      </w:pPr>
      <w:r w:rsidRPr="00E63488">
        <w:rPr>
          <w:lang w:eastAsia="en-US"/>
        </w:rPr>
        <w:t>0°С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126 суток</w:t>
      </w:r>
      <w:r w:rsidR="00E63488" w:rsidRPr="00E63488">
        <w:rPr>
          <w:lang w:eastAsia="en-US"/>
        </w:rPr>
        <w:t>.</w:t>
      </w:r>
    </w:p>
    <w:p w:rsidR="00E63488" w:rsidRDefault="00E60E50" w:rsidP="00E63488">
      <w:pPr>
        <w:ind w:firstLine="709"/>
        <w:rPr>
          <w:lang w:eastAsia="en-US"/>
        </w:rPr>
      </w:pPr>
      <w:r w:rsidRPr="00E63488">
        <w:rPr>
          <w:lang w:eastAsia="en-US"/>
        </w:rPr>
        <w:t>Преобладающее направление ветров</w:t>
      </w:r>
      <w:r w:rsidR="00E63488" w:rsidRPr="00E63488">
        <w:rPr>
          <w:lang w:eastAsia="en-US"/>
        </w:rPr>
        <w:t>:</w:t>
      </w:r>
    </w:p>
    <w:p w:rsidR="00E63488" w:rsidRDefault="00E60E50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зимой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</w:t>
      </w:r>
      <w:r w:rsidR="00DF270D" w:rsidRPr="00E63488">
        <w:rPr>
          <w:lang w:eastAsia="en-US"/>
        </w:rPr>
        <w:t>северо-восточное</w:t>
      </w:r>
      <w:r w:rsidRPr="00E63488">
        <w:rPr>
          <w:lang w:eastAsia="en-US"/>
        </w:rPr>
        <w:t xml:space="preserve"> и северное</w:t>
      </w:r>
      <w:r w:rsidR="00E63488" w:rsidRPr="00E63488">
        <w:rPr>
          <w:lang w:eastAsia="en-US"/>
        </w:rPr>
        <w:t>;</w:t>
      </w:r>
    </w:p>
    <w:p w:rsidR="00E63488" w:rsidRDefault="00E60E50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летом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</w:t>
      </w:r>
      <w:r w:rsidR="00DF270D" w:rsidRPr="00E63488">
        <w:rPr>
          <w:lang w:eastAsia="en-US"/>
        </w:rPr>
        <w:t>северо-восточное</w:t>
      </w:r>
      <w:r w:rsidRPr="00E63488">
        <w:rPr>
          <w:lang w:eastAsia="en-US"/>
        </w:rPr>
        <w:t xml:space="preserve"> и западное</w:t>
      </w:r>
      <w:r w:rsidR="00E63488" w:rsidRPr="00E63488">
        <w:rPr>
          <w:lang w:eastAsia="en-US"/>
        </w:rPr>
        <w:t>.</w:t>
      </w:r>
    </w:p>
    <w:p w:rsidR="00E63488" w:rsidRDefault="00E60E50" w:rsidP="00E63488">
      <w:pPr>
        <w:ind w:firstLine="709"/>
        <w:rPr>
          <w:lang w:eastAsia="en-US"/>
        </w:rPr>
      </w:pPr>
      <w:r w:rsidRPr="00E63488">
        <w:rPr>
          <w:lang w:eastAsia="en-US"/>
        </w:rPr>
        <w:t>Среднегодовое количество осадков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609 мм/год</w:t>
      </w:r>
      <w:r w:rsidR="00E63488" w:rsidRPr="00E63488">
        <w:rPr>
          <w:lang w:eastAsia="en-US"/>
        </w:rPr>
        <w:t>;</w:t>
      </w:r>
    </w:p>
    <w:p w:rsidR="00085BE0" w:rsidRDefault="00085BE0" w:rsidP="00E63488">
      <w:pPr>
        <w:ind w:firstLine="709"/>
        <w:rPr>
          <w:lang w:eastAsia="en-US"/>
        </w:rPr>
      </w:pPr>
    </w:p>
    <w:p w:rsidR="00085BE0" w:rsidRDefault="00085BE0" w:rsidP="00E63488">
      <w:pPr>
        <w:ind w:firstLine="709"/>
        <w:rPr>
          <w:lang w:eastAsia="en-US"/>
        </w:rPr>
        <w:sectPr w:rsidR="00085BE0" w:rsidSect="00E63488">
          <w:headerReference w:type="default" r:id="rId7"/>
          <w:footerReference w:type="default" r:id="rId8"/>
          <w:footnotePr>
            <w:pos w:val="beneathText"/>
          </w:footnotePr>
          <w:type w:val="continuous"/>
          <w:pgSz w:w="11905" w:h="16837"/>
          <w:pgMar w:top="1134" w:right="850" w:bottom="1134" w:left="1701" w:header="680" w:footer="680" w:gutter="0"/>
          <w:pgNumType w:start="1"/>
          <w:cols w:space="720"/>
          <w:noEndnote/>
          <w:titlePg/>
          <w:docGrid w:linePitch="91"/>
        </w:sect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430"/>
        <w:gridCol w:w="501"/>
        <w:gridCol w:w="326"/>
        <w:gridCol w:w="431"/>
        <w:gridCol w:w="421"/>
        <w:gridCol w:w="431"/>
        <w:gridCol w:w="431"/>
        <w:gridCol w:w="431"/>
        <w:gridCol w:w="408"/>
        <w:gridCol w:w="806"/>
        <w:gridCol w:w="450"/>
        <w:gridCol w:w="431"/>
        <w:gridCol w:w="431"/>
        <w:gridCol w:w="421"/>
        <w:gridCol w:w="408"/>
        <w:gridCol w:w="431"/>
        <w:gridCol w:w="431"/>
        <w:gridCol w:w="421"/>
        <w:gridCol w:w="408"/>
        <w:gridCol w:w="589"/>
      </w:tblGrid>
      <w:tr w:rsidR="00E116D3" w:rsidRPr="00E63488" w:rsidTr="001C5594">
        <w:trPr>
          <w:jc w:val="center"/>
        </w:trPr>
        <w:tc>
          <w:tcPr>
            <w:tcW w:w="769" w:type="dxa"/>
            <w:vMerge w:val="restart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Область</w:t>
            </w:r>
          </w:p>
        </w:tc>
        <w:tc>
          <w:tcPr>
            <w:tcW w:w="9037" w:type="dxa"/>
            <w:gridSpan w:val="20"/>
            <w:shd w:val="clear" w:color="auto" w:fill="auto"/>
            <w:vAlign w:val="center"/>
          </w:tcPr>
          <w:p w:rsidR="00E116D3" w:rsidRPr="00E63488" w:rsidRDefault="00E116D3" w:rsidP="00085BE0">
            <w:pPr>
              <w:pStyle w:val="afb"/>
            </w:pPr>
            <w:r w:rsidRPr="00E63488">
              <w:t>Повторяемость направлений ветра</w:t>
            </w:r>
            <w:r w:rsidR="00E63488">
              <w:t xml:space="preserve"> (</w:t>
            </w:r>
            <w:r w:rsidRPr="00E63488">
              <w:t>числитель</w:t>
            </w:r>
            <w:r w:rsidR="00E63488" w:rsidRPr="00E63488">
              <w:t>),%</w:t>
            </w:r>
            <w:r w:rsidRPr="00E63488">
              <w:t>, средняя скорость ветра по направлениям</w:t>
            </w:r>
            <w:r w:rsidR="00E63488">
              <w:t xml:space="preserve"> (</w:t>
            </w:r>
            <w:r w:rsidRPr="00E63488">
              <w:t>знаменатель</w:t>
            </w:r>
            <w:r w:rsidR="00E63488" w:rsidRPr="00E63488">
              <w:t>),</w:t>
            </w:r>
            <w:r w:rsidRPr="00E63488">
              <w:t xml:space="preserve"> </w:t>
            </w:r>
            <w:r w:rsidR="001151FE">
              <w:rPr>
                <w:position w:val="-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24pt">
                  <v:imagedata r:id="rId9" o:title=""/>
                </v:shape>
              </w:pict>
            </w:r>
            <w:r w:rsidRPr="00E63488">
              <w:t>, повторяемость штилей,</w:t>
            </w:r>
            <w:r w:rsidR="00085BE0">
              <w:t xml:space="preserve"> </w:t>
            </w:r>
            <w:r w:rsidR="00E63488" w:rsidRPr="00E63488">
              <w:t>%</w:t>
            </w:r>
            <w:r w:rsidRPr="00E63488">
              <w:t>, максимальная и минимальная скорость ветра,</w:t>
            </w:r>
            <w:r w:rsidR="001151FE">
              <w:rPr>
                <w:position w:val="-18"/>
              </w:rPr>
              <w:pict>
                <v:shape id="_x0000_i1026" type="#_x0000_t75" style="width:20.25pt;height:24pt">
                  <v:imagedata r:id="rId10" o:title=""/>
                </v:shape>
              </w:pict>
            </w:r>
            <w:r w:rsidR="00E63488" w:rsidRPr="00E63488">
              <w:t xml:space="preserve"> </w:t>
            </w:r>
          </w:p>
        </w:tc>
      </w:tr>
      <w:tr w:rsidR="00E116D3" w:rsidRPr="00E63488" w:rsidTr="001C5594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E116D3" w:rsidRPr="00E63488" w:rsidRDefault="00E116D3" w:rsidP="00085BE0">
            <w:pPr>
              <w:pStyle w:val="afb"/>
            </w:pPr>
          </w:p>
        </w:tc>
        <w:tc>
          <w:tcPr>
            <w:tcW w:w="3810" w:type="dxa"/>
            <w:gridSpan w:val="9"/>
            <w:shd w:val="clear" w:color="auto" w:fill="auto"/>
            <w:vAlign w:val="center"/>
          </w:tcPr>
          <w:p w:rsidR="00E116D3" w:rsidRPr="00E63488" w:rsidRDefault="00E116D3" w:rsidP="00085BE0">
            <w:pPr>
              <w:pStyle w:val="afb"/>
            </w:pPr>
            <w:r w:rsidRPr="00E63488">
              <w:t>Январь</w:t>
            </w:r>
          </w:p>
        </w:tc>
        <w:tc>
          <w:tcPr>
            <w:tcW w:w="806" w:type="dxa"/>
            <w:vMerge w:val="restart"/>
            <w:shd w:val="clear" w:color="auto" w:fill="auto"/>
            <w:textDirection w:val="btLr"/>
            <w:vAlign w:val="center"/>
          </w:tcPr>
          <w:p w:rsidR="00E116D3" w:rsidRPr="00E63488" w:rsidRDefault="00E116D3" w:rsidP="00085BE0">
            <w:pPr>
              <w:pStyle w:val="afb"/>
            </w:pPr>
            <w:r w:rsidRPr="00E63488">
              <w:t>Максимальная из средних скоростей по румбам за январь</w:t>
            </w:r>
          </w:p>
        </w:tc>
        <w:tc>
          <w:tcPr>
            <w:tcW w:w="3832" w:type="dxa"/>
            <w:gridSpan w:val="9"/>
            <w:shd w:val="clear" w:color="auto" w:fill="auto"/>
            <w:vAlign w:val="center"/>
          </w:tcPr>
          <w:p w:rsidR="00E116D3" w:rsidRPr="00E63488" w:rsidRDefault="00E116D3" w:rsidP="00085BE0">
            <w:pPr>
              <w:pStyle w:val="afb"/>
            </w:pPr>
            <w:r w:rsidRPr="00E63488">
              <w:t>Июль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E116D3" w:rsidRPr="00E63488" w:rsidRDefault="00E116D3" w:rsidP="00085BE0">
            <w:pPr>
              <w:pStyle w:val="afb"/>
            </w:pPr>
          </w:p>
        </w:tc>
      </w:tr>
      <w:tr w:rsidR="00085BE0" w:rsidRPr="00E63488" w:rsidTr="001C5594">
        <w:trPr>
          <w:cantSplit/>
          <w:trHeight w:val="280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E116D3" w:rsidRPr="00E63488" w:rsidRDefault="00E116D3" w:rsidP="00085BE0">
            <w:pPr>
              <w:pStyle w:val="afb"/>
            </w:pP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С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СВ</w:t>
            </w:r>
          </w:p>
        </w:tc>
        <w:tc>
          <w:tcPr>
            <w:tcW w:w="326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В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ЮВ</w:t>
            </w:r>
          </w:p>
        </w:tc>
        <w:tc>
          <w:tcPr>
            <w:tcW w:w="42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Ю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ЮЗ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З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СЗ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штиль</w:t>
            </w:r>
          </w:p>
        </w:tc>
        <w:tc>
          <w:tcPr>
            <w:tcW w:w="806" w:type="dxa"/>
            <w:vMerge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С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СВ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В</w:t>
            </w:r>
          </w:p>
        </w:tc>
        <w:tc>
          <w:tcPr>
            <w:tcW w:w="42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ЮВ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Ю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ЮЗ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З</w:t>
            </w:r>
          </w:p>
        </w:tc>
        <w:tc>
          <w:tcPr>
            <w:tcW w:w="42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СЗ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штиль</w:t>
            </w:r>
          </w:p>
        </w:tc>
        <w:tc>
          <w:tcPr>
            <w:tcW w:w="589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</w:p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Минимальная</w:t>
            </w:r>
            <w:r w:rsidR="00E63488" w:rsidRPr="00E63488">
              <w:t xml:space="preserve"> </w:t>
            </w:r>
            <w:r w:rsidRPr="00E63488">
              <w:t>из средних скоростей по румбам за июль</w:t>
            </w:r>
          </w:p>
          <w:p w:rsidR="00E116D3" w:rsidRPr="00E63488" w:rsidRDefault="00E116D3" w:rsidP="001C5594">
            <w:pPr>
              <w:pStyle w:val="afb"/>
              <w:ind w:left="113" w:right="113"/>
            </w:pPr>
          </w:p>
        </w:tc>
      </w:tr>
      <w:tr w:rsidR="00085BE0" w:rsidRPr="00E63488" w:rsidTr="001C5594">
        <w:trPr>
          <w:cantSplit/>
          <w:trHeight w:val="1134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E116D3" w:rsidRPr="00E63488" w:rsidRDefault="00E116D3" w:rsidP="00085BE0">
            <w:pPr>
              <w:pStyle w:val="afb"/>
            </w:pPr>
            <w:r w:rsidRPr="00E63488">
              <w:t>1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2</w:t>
            </w:r>
          </w:p>
        </w:tc>
        <w:tc>
          <w:tcPr>
            <w:tcW w:w="50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3</w:t>
            </w:r>
          </w:p>
        </w:tc>
        <w:tc>
          <w:tcPr>
            <w:tcW w:w="326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4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5</w:t>
            </w:r>
          </w:p>
        </w:tc>
        <w:tc>
          <w:tcPr>
            <w:tcW w:w="42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6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7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8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9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10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11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12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13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14</w:t>
            </w:r>
          </w:p>
        </w:tc>
        <w:tc>
          <w:tcPr>
            <w:tcW w:w="42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15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16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17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18</w:t>
            </w:r>
          </w:p>
        </w:tc>
        <w:tc>
          <w:tcPr>
            <w:tcW w:w="421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19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20</w:t>
            </w:r>
          </w:p>
        </w:tc>
        <w:tc>
          <w:tcPr>
            <w:tcW w:w="589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21</w:t>
            </w:r>
          </w:p>
        </w:tc>
      </w:tr>
      <w:tr w:rsidR="00085BE0" w:rsidRPr="00E63488" w:rsidTr="001C5594">
        <w:trPr>
          <w:cantSplit/>
          <w:trHeight w:val="1635"/>
          <w:jc w:val="center"/>
        </w:trPr>
        <w:tc>
          <w:tcPr>
            <w:tcW w:w="769" w:type="dxa"/>
            <w:shd w:val="clear" w:color="auto" w:fill="auto"/>
            <w:textDirection w:val="btLr"/>
            <w:vAlign w:val="center"/>
          </w:tcPr>
          <w:p w:rsidR="00E116D3" w:rsidRPr="00E63488" w:rsidRDefault="00E116D3" w:rsidP="001C5594">
            <w:pPr>
              <w:pStyle w:val="afb"/>
              <w:ind w:left="113" w:right="113"/>
            </w:pPr>
            <w:r w:rsidRPr="00E63488">
              <w:t>Харьковская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27" type="#_x0000_t75" style="width:13.5pt;height:19.5pt">
                  <v:imagedata r:id="rId11" o:title=""/>
                </v:shape>
              </w:pic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28" type="#_x0000_t75" style="width:15.75pt;height:23.25pt">
                  <v:imagedata r:id="rId12" o:title=""/>
                </v:shape>
              </w:pic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29" type="#_x0000_t75" style="width:12.75pt;height:24.75pt">
                  <v:imagedata r:id="rId13" o:title=""/>
                </v:shape>
              </w:pic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30" type="#_x0000_t75" style="width:15.75pt;height:23.25pt">
                  <v:imagedata r:id="rId14" o:title=""/>
                </v:shape>
              </w:pic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31" type="#_x0000_t75" style="width:15.75pt;height:23.25pt">
                  <v:imagedata r:id="rId15" o:title=""/>
                </v:shape>
              </w:pic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32" type="#_x0000_t75" style="width:15.75pt;height:23.25pt">
                  <v:imagedata r:id="rId16" o:title=""/>
                </v:shape>
              </w:pic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33" type="#_x0000_t75" style="width:15.75pt;height:23.25pt">
                  <v:imagedata r:id="rId17" o:title=""/>
                </v:shape>
              </w:pic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34" type="#_x0000_t75" style="width:15.75pt;height:23.25pt">
                  <v:imagedata r:id="rId18" o:title=""/>
                </v:shape>
              </w:pic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6"/>
              </w:rPr>
              <w:pict>
                <v:shape id="_x0000_i1035" type="#_x0000_t75" style="width:9pt;height:14.25pt">
                  <v:imagedata r:id="rId19" o:title=""/>
                </v:shape>
              </w:pic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6"/>
              </w:rPr>
              <w:pict>
                <v:shape id="_x0000_i1036" type="#_x0000_t75" style="width:9pt;height:14.25pt">
                  <v:imagedata r:id="rId20" o:title=""/>
                </v:shape>
              </w:pic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37" type="#_x0000_t75" style="width:11.25pt;height:15.75pt">
                  <v:imagedata r:id="rId21" o:title=""/>
                </v:shape>
              </w:pic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38" type="#_x0000_t75" style="width:15.75pt;height:23.25pt">
                  <v:imagedata r:id="rId22" o:title=""/>
                </v:shape>
              </w:pic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39" type="#_x0000_t75" style="width:15.75pt;height:23.25pt">
                  <v:imagedata r:id="rId23" o:title=""/>
                </v:shape>
              </w:pic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40" type="#_x0000_t75" style="width:15.75pt;height:23.25pt">
                  <v:imagedata r:id="rId24" o:title=""/>
                </v:shape>
              </w:pic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41" type="#_x0000_t75" style="width:9pt;height:23.25pt">
                  <v:imagedata r:id="rId25" o:title=""/>
                </v:shape>
              </w:pic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42" type="#_x0000_t75" style="width:15.75pt;height:23.25pt">
                  <v:imagedata r:id="rId26" o:title=""/>
                </v:shape>
              </w:pic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43" type="#_x0000_t75" style="width:15.75pt;height:23.25pt">
                  <v:imagedata r:id="rId27" o:title=""/>
                </v:shape>
              </w:pic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24"/>
              </w:rPr>
              <w:pict>
                <v:shape id="_x0000_i1044" type="#_x0000_t75" style="width:15.75pt;height:23.25pt">
                  <v:imagedata r:id="rId28" o:title=""/>
                </v:shape>
              </w:pic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6"/>
              </w:rPr>
              <w:pict>
                <v:shape id="_x0000_i1045" type="#_x0000_t75" style="width:14.25pt;height:14.25pt">
                  <v:imagedata r:id="rId29" o:title=""/>
                </v:shape>
              </w:pic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E116D3" w:rsidRPr="00E63488" w:rsidRDefault="001151FE" w:rsidP="00085BE0">
            <w:pPr>
              <w:pStyle w:val="afb"/>
            </w:pPr>
            <w:r>
              <w:rPr>
                <w:position w:val="-6"/>
              </w:rPr>
              <w:pict>
                <v:shape id="_x0000_i1046" type="#_x0000_t75" style="width:9.75pt;height:14.25pt">
                  <v:imagedata r:id="rId30" o:title=""/>
                </v:shape>
              </w:pict>
            </w:r>
          </w:p>
        </w:tc>
      </w:tr>
    </w:tbl>
    <w:p w:rsidR="00B32DAD" w:rsidRPr="00E63488" w:rsidRDefault="00B32DAD" w:rsidP="00E63488">
      <w:pPr>
        <w:ind w:firstLine="709"/>
        <w:rPr>
          <w:lang w:eastAsia="en-US"/>
        </w:rPr>
      </w:pPr>
    </w:p>
    <w:p w:rsidR="00085BE0" w:rsidRDefault="00085BE0" w:rsidP="00E63488">
      <w:pPr>
        <w:ind w:firstLine="709"/>
        <w:rPr>
          <w:lang w:eastAsia="en-US"/>
        </w:rPr>
        <w:sectPr w:rsidR="00085BE0" w:rsidSect="00085BE0">
          <w:footnotePr>
            <w:pos w:val="beneathText"/>
          </w:footnotePr>
          <w:pgSz w:w="16837" w:h="11905" w:orient="landscape"/>
          <w:pgMar w:top="1701" w:right="1134" w:bottom="851" w:left="1134" w:header="680" w:footer="680" w:gutter="0"/>
          <w:pgNumType w:start="1"/>
          <w:cols w:space="720"/>
          <w:noEndnote/>
          <w:titlePg/>
          <w:docGrid w:linePitch="91"/>
        </w:sectPr>
      </w:pPr>
    </w:p>
    <w:p w:rsidR="00E63488" w:rsidRPr="00E63488" w:rsidRDefault="00B32DAD" w:rsidP="00085BE0">
      <w:pPr>
        <w:pStyle w:val="2"/>
      </w:pPr>
      <w:r w:rsidRPr="00E63488">
        <w:t>4</w:t>
      </w:r>
      <w:r w:rsidR="00E63488" w:rsidRPr="00E63488">
        <w:t xml:space="preserve">. </w:t>
      </w:r>
      <w:r w:rsidR="00503ED1" w:rsidRPr="00E63488">
        <w:t>Генеральный план промышленного предприятия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Участок расположен в г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Харькове по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пер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Красностуденческому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Промплощадка, отведенная под строительство, расположена вдали от жилой зоны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окружена существующими и строящимися частными промпредприятиями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Участок имеет прямоугольную форму в плане, площадь участка составляет 0,63 га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Расстояния между зданиями и сооружениями приняты на основании санитарно-гигиенических и противопожарных требований, учета пространства для устройства инженерных сетей и коммуникаций, тротуаров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Основные здания и сооружения предприятия</w:t>
      </w:r>
      <w:r w:rsidR="00E63488" w:rsidRPr="00E63488">
        <w:rPr>
          <w:lang w:eastAsia="en-US"/>
        </w:rPr>
        <w:t xml:space="preserve">: </w:t>
      </w:r>
      <w:r w:rsidRPr="00E63488">
        <w:rPr>
          <w:lang w:eastAsia="en-US"/>
        </w:rPr>
        <w:t>производственный корпус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склад металла и огнетушащего порошка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административно-бытовой корпус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подсобно-склад</w:t>
      </w:r>
      <w:r w:rsidR="00085BE0">
        <w:rPr>
          <w:lang w:eastAsia="en-US"/>
        </w:rPr>
        <w:t>с</w:t>
      </w:r>
      <w:r w:rsidRPr="00E63488">
        <w:rPr>
          <w:lang w:eastAsia="en-US"/>
        </w:rPr>
        <w:t>кое здание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контрольно-пропускные пункты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стоянки для транспорта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площадка для отдыха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Внутризаводские перевозки материалов, полуфабрикатов, готовой продукции осуществляются вилочными погрузчиками и электрокарами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Ввоз полуфабрикатов и вывоз готовой продукции осуществляется бортовыми автомобилями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С целью удобства ввоза-вывоза продукции, движения транспорта внутри предприятия, предусмотрена дорога с покрытием из асфальтобетона, имеющая два выезда на пер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Красностуденческий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Предусмотрены тротуары, обеспечивающие передвижение людского потока по территории предприятия, удобный подход к зданиям и сооружениям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Отвод атмосферных вод осуществляется посредством каналов и уступов на обочину дороги с последующим отводом в городскую ливневую канализацию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Предусмотрена площадка для отдыха, оборудованная скамьями и фонтаном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стоянки</w:t>
      </w:r>
      <w:r w:rsidR="00E63488">
        <w:rPr>
          <w:lang w:eastAsia="en-US"/>
        </w:rPr>
        <w:t xml:space="preserve"> (</w:t>
      </w:r>
      <w:r w:rsidRPr="00E63488">
        <w:rPr>
          <w:lang w:eastAsia="en-US"/>
        </w:rPr>
        <w:t>с навесом и без навеса</w:t>
      </w:r>
      <w:r w:rsidR="00E63488" w:rsidRPr="00E63488">
        <w:rPr>
          <w:lang w:eastAsia="en-US"/>
        </w:rPr>
        <w:t xml:space="preserve">) </w:t>
      </w:r>
      <w:r w:rsidRPr="00E63488">
        <w:rPr>
          <w:lang w:eastAsia="en-US"/>
        </w:rPr>
        <w:t>для транспорта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Озеленение</w:t>
      </w:r>
      <w:r w:rsidR="00E63488" w:rsidRPr="00E63488">
        <w:rPr>
          <w:lang w:eastAsia="en-US"/>
        </w:rPr>
        <w:t xml:space="preserve">: </w:t>
      </w:r>
      <w:r w:rsidRPr="00E63488">
        <w:rPr>
          <w:lang w:eastAsia="en-US"/>
        </w:rPr>
        <w:t>по периметру стационарного ограждения промплощадки предусмотрена высадка лиственных деревьев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зона отдыха отделена рядовым кустарником и посадкой хвойных деревьев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производственные здания отделены от административно-бытового комплекса посадкой хвойных деревьев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применены газоны и рядовой кустарник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Технико-экономические показатели генерального плана</w:t>
      </w:r>
      <w:r w:rsidR="00E63488" w:rsidRPr="00E63488">
        <w:rPr>
          <w:lang w:eastAsia="en-US"/>
        </w:rPr>
        <w:t>: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1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 xml:space="preserve">Площадь территории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0,63 га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2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 xml:space="preserve">Площадь застройки зданиями и сооружениями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0</w:t>
      </w:r>
      <w:r w:rsidR="00E63488">
        <w:rPr>
          <w:lang w:eastAsia="en-US"/>
        </w:rPr>
        <w:t xml:space="preserve">,19 </w:t>
      </w:r>
      <w:r w:rsidRPr="00E63488">
        <w:rPr>
          <w:lang w:eastAsia="en-US"/>
        </w:rPr>
        <w:t>га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3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 xml:space="preserve">Коэффициент застройки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0,31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4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 xml:space="preserve">Площадь озеленения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0,28 га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5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 xml:space="preserve">Коэффициент озеленения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0,44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6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 xml:space="preserve">Протяженность автомобильных дорог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0,18 км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7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 xml:space="preserve">Коэффициент использования территории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0,61</w: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Pr="00E63488" w:rsidRDefault="00B32DAD" w:rsidP="00085BE0">
      <w:pPr>
        <w:pStyle w:val="2"/>
      </w:pPr>
      <w:r w:rsidRPr="00E63488">
        <w:t>5</w:t>
      </w:r>
      <w:r w:rsidR="00E63488" w:rsidRPr="00E63488">
        <w:t xml:space="preserve">. </w:t>
      </w:r>
      <w:r w:rsidR="00503ED1" w:rsidRPr="00E63488">
        <w:t>Технологический процесс в проектируемом здании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Назначение проектируемого здания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Цех по производству огнетушителей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Металл складируется на стеллажах в два яруса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 xml:space="preserve">Огнетущащий порошок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в двух емкостях объемом 30 м</w:t>
      </w:r>
      <w:r w:rsidRPr="00E63488">
        <w:rPr>
          <w:vertAlign w:val="superscript"/>
          <w:lang w:eastAsia="en-US"/>
        </w:rPr>
        <w:t>3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Складирование осуществляется мостовыми кранами, вилочными погрузчиками и электрокарами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Здание склада относится к IIIа степени огнестойкости по</w:t>
      </w:r>
      <w:r w:rsidR="00E63488" w:rsidRPr="00E63488">
        <w:rPr>
          <w:lang w:eastAsia="en-US"/>
        </w:rPr>
        <w:t xml:space="preserve"> [</w:t>
      </w:r>
      <w:r w:rsidRPr="00E63488">
        <w:rPr>
          <w:lang w:eastAsia="en-US"/>
        </w:rPr>
        <w:t>3</w:t>
      </w:r>
      <w:r w:rsidR="00E63488" w:rsidRPr="00E63488">
        <w:rPr>
          <w:lang w:eastAsia="en-US"/>
        </w:rPr>
        <w:t xml:space="preserve">]. </w:t>
      </w:r>
      <w:r w:rsidRPr="00E63488">
        <w:rPr>
          <w:lang w:eastAsia="en-US"/>
        </w:rPr>
        <w:t>Категория помещений по взрывоопасности и пожарной безопасности относится к категории</w:t>
      </w:r>
      <w:r w:rsidR="00E63488">
        <w:rPr>
          <w:lang w:eastAsia="en-US"/>
        </w:rPr>
        <w:t xml:space="preserve"> "</w:t>
      </w:r>
      <w:r w:rsidRPr="00E63488">
        <w:rPr>
          <w:lang w:eastAsia="en-US"/>
        </w:rPr>
        <w:t>В</w:t>
      </w:r>
      <w:r w:rsidR="00E63488">
        <w:rPr>
          <w:lang w:eastAsia="en-US"/>
        </w:rPr>
        <w:t>".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Основные помещения проектируемого здания</w:t>
      </w:r>
      <w:r w:rsidR="00E63488" w:rsidRPr="00E63488">
        <w:rPr>
          <w:lang w:eastAsia="en-US"/>
        </w:rPr>
        <w:t>: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склад металла, площадь 672 м</w:t>
      </w:r>
      <w:r w:rsidRPr="00E63488">
        <w:rPr>
          <w:vertAlign w:val="superscript"/>
          <w:lang w:eastAsia="en-US"/>
        </w:rPr>
        <w:t>2</w:t>
      </w:r>
      <w:r w:rsidR="00E63488" w:rsidRPr="00E63488">
        <w:rPr>
          <w:lang w:eastAsia="en-US"/>
        </w:rPr>
        <w:t>;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площадка для хранения комплектующих к огнетушителям, площадь 134 м</w:t>
      </w:r>
      <w:r w:rsidRPr="00E63488">
        <w:rPr>
          <w:vertAlign w:val="superscript"/>
          <w:lang w:eastAsia="en-US"/>
        </w:rPr>
        <w:t>2</w:t>
      </w:r>
      <w:r w:rsidR="00E63488" w:rsidRPr="00E63488">
        <w:rPr>
          <w:lang w:eastAsia="en-US"/>
        </w:rPr>
        <w:t>;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щитовая, площадь 18,3 м</w:t>
      </w:r>
      <w:r w:rsidRPr="00E63488">
        <w:rPr>
          <w:vertAlign w:val="superscript"/>
          <w:lang w:eastAsia="en-US"/>
        </w:rPr>
        <w:t>2</w:t>
      </w:r>
      <w:r w:rsidRPr="00E63488">
        <w:rPr>
          <w:lang w:eastAsia="en-US"/>
        </w:rPr>
        <w:t>, категория взрывоопасности и пожарной опасности</w:t>
      </w:r>
      <w:r w:rsidR="00E63488">
        <w:rPr>
          <w:lang w:eastAsia="en-US"/>
        </w:rPr>
        <w:t xml:space="preserve"> "</w:t>
      </w:r>
      <w:r w:rsidRPr="00E63488">
        <w:rPr>
          <w:lang w:eastAsia="en-US"/>
        </w:rPr>
        <w:t>Г</w:t>
      </w:r>
      <w:r w:rsidR="00E63488">
        <w:rPr>
          <w:lang w:eastAsia="en-US"/>
        </w:rPr>
        <w:t>"</w:t>
      </w:r>
      <w:r w:rsidR="00E63488" w:rsidRPr="00E63488">
        <w:rPr>
          <w:lang w:eastAsia="en-US"/>
        </w:rPr>
        <w:t>;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тамбур, площадь 1,8 м</w:t>
      </w:r>
      <w:r w:rsidRPr="00E63488">
        <w:rPr>
          <w:vertAlign w:val="superscript"/>
          <w:lang w:eastAsia="en-US"/>
        </w:rPr>
        <w:t>2</w: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Pr="00E63488" w:rsidRDefault="00B32DAD" w:rsidP="00085BE0">
      <w:pPr>
        <w:pStyle w:val="2"/>
      </w:pPr>
      <w:r w:rsidRPr="00E63488">
        <w:t>6</w:t>
      </w:r>
      <w:r w:rsidR="00E63488" w:rsidRPr="00E63488">
        <w:t xml:space="preserve">. </w:t>
      </w:r>
      <w:r w:rsidR="00503ED1" w:rsidRPr="00E63488">
        <w:t>Объемно-планировочное решение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Планировочная схема проектируемого здания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сплошная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Здание выполнено в виде пристройки к существующему производственному корпусу, в плане имеет прямоугольную геометрическую форму, состоит из одного пролета с размерами в осях 36×18 м, удаленного на 2,65 м</w:t>
      </w:r>
      <w:r w:rsidR="00E63488">
        <w:rPr>
          <w:lang w:eastAsia="en-US"/>
        </w:rPr>
        <w:t xml:space="preserve"> (</w:t>
      </w:r>
      <w:r w:rsidRPr="00E63488">
        <w:rPr>
          <w:lang w:eastAsia="en-US"/>
        </w:rPr>
        <w:t>в осях</w:t>
      </w:r>
      <w:r w:rsidR="00E63488" w:rsidRPr="00E63488">
        <w:rPr>
          <w:lang w:eastAsia="en-US"/>
        </w:rPr>
        <w:t xml:space="preserve">) </w:t>
      </w:r>
      <w:r w:rsidRPr="00E63488">
        <w:rPr>
          <w:lang w:eastAsia="en-US"/>
        </w:rPr>
        <w:t>от существующего корпуса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Максимальная высота здания от дневной поверхности уровня земли до максимально выступающей точки составляет 14,7 м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Высота до нижней точки стропильных конструкций составляет 10,95 м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Высота головки подкранового рельса 8,225 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Здание оборудовано двумя мостовыми опорными электрическими кранами общего назначения грузоподъемностью 16/3,2 т, пролетом 16,5 м, группа режимов работы 1К-6К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Здание одноэтажное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Имеется рабочая площадка на отметке +6</w:t>
      </w:r>
      <w:r w:rsidR="00E63488">
        <w:rPr>
          <w:lang w:eastAsia="en-US"/>
        </w:rPr>
        <w:t>.0</w:t>
      </w:r>
      <w:r w:rsidRPr="00E63488">
        <w:rPr>
          <w:lang w:eastAsia="en-US"/>
        </w:rPr>
        <w:t>00 м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Размеры площадки в осях 12×12 м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Сетка колонн площадки 6×6 м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Имеется щитовая площадью 18,3 м</w:t>
      </w:r>
      <w:r w:rsidRPr="00E63488">
        <w:rPr>
          <w:vertAlign w:val="superscript"/>
          <w:lang w:eastAsia="en-US"/>
        </w:rPr>
        <w:t>2</w:t>
      </w:r>
      <w:r w:rsidRPr="00E63488">
        <w:rPr>
          <w:lang w:eastAsia="en-US"/>
        </w:rPr>
        <w:t>, вход в которую осуществляется из улицы через тамбур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В здании предусмотрено двухъярусное остекление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Высота остекления первого и второго ярусов составляет 1,6 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Вход в здание осуществляется через дверные проемы шириной 1,01 м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Имеются двое ворот шириной 4,0 и 3,6 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Здание оборудовано лестницей, ведущая на рабочую площадку на отметке +6</w:t>
      </w:r>
      <w:r w:rsidR="00E63488">
        <w:rPr>
          <w:lang w:eastAsia="en-US"/>
        </w:rPr>
        <w:t>.0</w:t>
      </w:r>
      <w:r w:rsidRPr="00E63488">
        <w:rPr>
          <w:lang w:eastAsia="en-US"/>
        </w:rPr>
        <w:t>00, размерами 2,04×5,0 м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Имеются лестница, ведущая на посадочную площадку к кранам, и лестница, ведущая на ремонтную площадку для обслуживания кранового оборудования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Над воротами и входными дверями выполнены два козырька вылетом 4,2 м и длиной по 12 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Имеется наружная пожарная лестница шириной 0,6 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Площадь застройки составляет 743,4 м</w:t>
      </w:r>
      <w:r w:rsidRPr="00E63488">
        <w:rPr>
          <w:vertAlign w:val="superscript"/>
          <w:lang w:eastAsia="en-US"/>
        </w:rPr>
        <w:t>2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Строительный объем 8796 м</w:t>
      </w:r>
      <w:r w:rsidRPr="00E63488">
        <w:rPr>
          <w:vertAlign w:val="superscript"/>
          <w:lang w:eastAsia="en-US"/>
        </w:rPr>
        <w:t>3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Кровля двускатная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Водоотвод организованный наружный</w: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Pr="00E63488" w:rsidRDefault="00B32DAD" w:rsidP="00085BE0">
      <w:pPr>
        <w:pStyle w:val="2"/>
      </w:pPr>
      <w:r w:rsidRPr="00E63488">
        <w:t>7</w:t>
      </w:r>
      <w:r w:rsidR="00E63488" w:rsidRPr="00E63488">
        <w:t xml:space="preserve">. </w:t>
      </w:r>
      <w:r w:rsidR="00503ED1" w:rsidRPr="00E63488">
        <w:t>Архитектурно-конструктивное решение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По строительной системе здание относится к полносборным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Конструктивная система здания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каркасная, решена по рамно-связевой схеме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Пространственная жесткость здания в поперечном направлении обеспечивается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работой рам каркаса, а в продольном направлении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связями, а также включением в работу жесткого диска покрытия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Фундаменты отдельно стоящие, выполнены из монолитного железобетона, столбчатые стаканного типа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для железобетонных колонн каркаса, столбчатые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для металлических колонн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 xml:space="preserve">Под кирпичный цоколь и кирпичные стены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ленточный монолитный железобетонный фундамент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Глубина заложения фундаментов составляет 1,5 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В пролете применены колонны сборные железобетонные крайнего ряда, выполненные по серии </w:t>
      </w:r>
      <w:r w:rsidR="00E63488">
        <w:rPr>
          <w:lang w:eastAsia="en-US"/>
        </w:rPr>
        <w:t>1.4</w:t>
      </w:r>
      <w:r w:rsidRPr="00E63488">
        <w:rPr>
          <w:lang w:eastAsia="en-US"/>
        </w:rPr>
        <w:t>2</w:t>
      </w:r>
      <w:r w:rsidR="00E63488">
        <w:rPr>
          <w:lang w:eastAsia="en-US"/>
        </w:rPr>
        <w:t>4.1</w:t>
      </w:r>
      <w:r w:rsidRPr="00E63488">
        <w:rPr>
          <w:lang w:eastAsia="en-US"/>
        </w:rPr>
        <w:t>-5, выпуск 1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Шаг колонн 6 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Фахверковые колонны в торцах здания и колонны рабочей площадки выполнены металлическими, коробчатого сечения, составленного из двух швеллеров по ГОСТ 8240-72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Вертикальные связи по колоннам выполнены из прокатной угловой равнополочной стали по ГОСТ 8509-72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Распорки между железобетонными колоннами выполнены в виде ферм-распорок из прокатной стали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Вертикальные и горизонтальные связи по покрытию, а также распорки и растяжки выполнены из прокатной стали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Связи по покрытию устанавливаются в крайних шагах здания, а также в шаге с вертикальными связями по колоннам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Подкрановые балки составного двутаврового сечения из прокатной листовой стали, пролетом 6 м и высотой 0,8 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Стропильные конструкции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стальные фермы со спорушенным верхним поясом, пролетом 18 м и высотой 2,41 м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Пояса и решетка выполнены из прокатной угловой равнополочной стали по ГОСТ 8509-72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Несущие конструкции козырька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консольные фермы, выполнены из прокатной стали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Лестницы выполняются со ступенями из стального рифленого настила по стальным косоурам, опирающимися на лестничные площадки, выполненные из прокатной стали со стальным рифленым настилом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Наружные стены выполнены из стального профлиста по стальному фахверку с кирпичным цоколем толщиной 0,25 м и высотой 1,2 м из керамического кирпича марки 100 на цементно-песчаном растворе марки 50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Кирпичная кладка выше цоколя осуществляется из силикатного кирпича марки 100 на растворе марки 50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Внутренние стены</w:t>
      </w:r>
      <w:r w:rsidR="00E63488">
        <w:rPr>
          <w:lang w:eastAsia="en-US"/>
        </w:rPr>
        <w:t xml:space="preserve"> (</w:t>
      </w:r>
      <w:r w:rsidRPr="00E63488">
        <w:rPr>
          <w:lang w:eastAsia="en-US"/>
        </w:rPr>
        <w:t>щитовая</w:t>
      </w:r>
      <w:r w:rsidR="00E63488" w:rsidRPr="00E63488">
        <w:rPr>
          <w:lang w:eastAsia="en-US"/>
        </w:rPr>
        <w:t xml:space="preserve">) </w:t>
      </w:r>
      <w:r w:rsidRPr="00E63488">
        <w:rPr>
          <w:lang w:eastAsia="en-US"/>
        </w:rPr>
        <w:t>выполнены толщиной 0,38 м из силикатного кирпича марки 100 на растворе марки 50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Оконные блоки имеют размеры 1600×3190 мм, металлические из прямоугольных труб по серии </w:t>
      </w:r>
      <w:r w:rsidR="00E63488">
        <w:rPr>
          <w:lang w:eastAsia="en-US"/>
        </w:rPr>
        <w:t>1.4</w:t>
      </w:r>
      <w:r w:rsidRPr="00E63488">
        <w:rPr>
          <w:lang w:eastAsia="en-US"/>
        </w:rPr>
        <w:t>36</w:t>
      </w:r>
      <w:r w:rsidR="00E63488">
        <w:rPr>
          <w:lang w:eastAsia="en-US"/>
        </w:rPr>
        <w:t>.2</w:t>
      </w:r>
      <w:r w:rsidRPr="00E63488">
        <w:rPr>
          <w:lang w:eastAsia="en-US"/>
        </w:rPr>
        <w:t>-3</w:t>
      </w:r>
      <w:r w:rsidR="00E63488">
        <w:rPr>
          <w:lang w:eastAsia="en-US"/>
        </w:rPr>
        <w:t>2.9</w:t>
      </w:r>
      <w:r w:rsidRPr="00E63488">
        <w:rPr>
          <w:lang w:eastAsia="en-US"/>
        </w:rPr>
        <w:t>3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Кровля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стальной профнастил Н57-750-0</w:t>
      </w:r>
      <w:r w:rsidR="00E63488">
        <w:rPr>
          <w:lang w:eastAsia="en-US"/>
        </w:rPr>
        <w:t>.7</w:t>
      </w:r>
      <w:r w:rsidRPr="00E63488">
        <w:rPr>
          <w:lang w:eastAsia="en-US"/>
        </w:rPr>
        <w:t xml:space="preserve"> по стальным прогонам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Прогоны выполнены из швеллеров по ГОСТ 8240-72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Уклон кровли составляет 13,5</w:t>
      </w:r>
      <w:r w:rsidR="00E63488" w:rsidRPr="00E63488">
        <w:rPr>
          <w:lang w:eastAsia="en-US"/>
        </w:rPr>
        <w:t>%</w:t>
      </w:r>
      <w:r w:rsidRPr="00E63488">
        <w:rPr>
          <w:lang w:eastAsia="en-US"/>
        </w:rPr>
        <w:t xml:space="preserve">, козырька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56</w:t>
      </w:r>
      <w:r w:rsidR="00E63488" w:rsidRPr="00E63488">
        <w:rPr>
          <w:lang w:eastAsia="en-US"/>
        </w:rPr>
        <w:t>%.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Ворота распашные стальные размерами 4×4,2 м и 3,6×3,6 м, обрамленные стальными рамами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В одном из полотен каждых ворот устроена калитка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Двери стальные размерами 1,01×2,07 м со стальными рамами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Расположение ворот и дверей принято с учетом технологической схемы производства предприятия, удобства въезда/выезда транспорта</w:t>
      </w:r>
      <w:r w:rsidR="00E63488" w:rsidRPr="00E63488">
        <w:rPr>
          <w:lang w:eastAsia="en-US"/>
        </w:rPr>
        <w:t xml:space="preserve">, </w:t>
      </w:r>
      <w:r w:rsidRPr="00E63488">
        <w:rPr>
          <w:lang w:eastAsia="en-US"/>
        </w:rPr>
        <w:t>погрузки/выгрузки продукции, а также требований техники безопасности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Полы в здании приняты с учетом конкретных условий, вытекающих из назначения соответствующих технологических участков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Склад</w:t>
      </w:r>
      <w:r w:rsidR="00E63488" w:rsidRPr="00E63488">
        <w:rPr>
          <w:lang w:eastAsia="en-US"/>
        </w:rPr>
        <w:t xml:space="preserve">: </w:t>
      </w:r>
      <w:r w:rsidRPr="00E63488">
        <w:rPr>
          <w:lang w:eastAsia="en-US"/>
        </w:rPr>
        <w:t>щебень, втрамбованный в грунт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40 мм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бетон класса В22,5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200 мм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 xml:space="preserve">чистый пол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бетон класса В30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35 мм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Площадка на отметке + 6</w:t>
      </w:r>
      <w:r w:rsidR="00E63488">
        <w:rPr>
          <w:lang w:eastAsia="en-US"/>
        </w:rPr>
        <w:t>.0</w:t>
      </w:r>
      <w:r w:rsidRPr="00E63488">
        <w:rPr>
          <w:lang w:eastAsia="en-US"/>
        </w:rPr>
        <w:t>00</w:t>
      </w:r>
      <w:r w:rsidR="00E63488" w:rsidRPr="00E63488">
        <w:rPr>
          <w:lang w:eastAsia="en-US"/>
        </w:rPr>
        <w:t xml:space="preserve">: </w:t>
      </w:r>
      <w:r w:rsidRPr="00E63488">
        <w:rPr>
          <w:lang w:eastAsia="en-US"/>
        </w:rPr>
        <w:t xml:space="preserve">железобетонная монолитная плита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100 мм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>чистый пол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цементно</w:t>
      </w:r>
      <w:r w:rsidR="00E63488" w:rsidRPr="00E63488">
        <w:rPr>
          <w:lang w:eastAsia="en-US"/>
        </w:rPr>
        <w:t xml:space="preserve"> - </w:t>
      </w:r>
      <w:r w:rsidRPr="00E63488">
        <w:rPr>
          <w:lang w:eastAsia="en-US"/>
        </w:rPr>
        <w:t>песчаный раствор марки 30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Щитовая</w:t>
      </w:r>
      <w:r w:rsidR="00E63488" w:rsidRPr="00E63488">
        <w:rPr>
          <w:lang w:eastAsia="en-US"/>
        </w:rPr>
        <w:t xml:space="preserve">: </w:t>
      </w:r>
      <w:r w:rsidRPr="00E63488">
        <w:rPr>
          <w:lang w:eastAsia="en-US"/>
        </w:rPr>
        <w:t xml:space="preserve">щебень, втрамбованный в грунт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40 мм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 xml:space="preserve">бетон класса В15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100 мм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 xml:space="preserve">цементно-песчаный раствор марки 20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17 мм</w:t>
      </w:r>
      <w:r w:rsidR="00E63488" w:rsidRPr="00E63488">
        <w:rPr>
          <w:lang w:eastAsia="en-US"/>
        </w:rPr>
        <w:t xml:space="preserve">; </w:t>
      </w:r>
      <w:r w:rsidRPr="00E63488">
        <w:rPr>
          <w:lang w:eastAsia="en-US"/>
        </w:rPr>
        <w:t xml:space="preserve">чистый пол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керамическая плитка для пола толщиной 13 мм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Кирпичные стены и цоколь оштукатуриваются цементно-песчаным раствором в пропорции 1</w:t>
      </w:r>
      <w:r w:rsidR="00E63488" w:rsidRPr="00E63488">
        <w:rPr>
          <w:lang w:eastAsia="en-US"/>
        </w:rPr>
        <w:t xml:space="preserve">: </w:t>
      </w:r>
      <w:r w:rsidRPr="00E63488">
        <w:rPr>
          <w:lang w:eastAsia="en-US"/>
        </w:rPr>
        <w:t>3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Деревянные изделия грунтуются слоем грунта ГФ-021 с последующей окраской эмалью ПФ-115 за два раза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Стальные изделия</w:t>
      </w:r>
      <w:r w:rsidR="00E63488">
        <w:rPr>
          <w:lang w:eastAsia="en-US"/>
        </w:rPr>
        <w:t xml:space="preserve"> (</w:t>
      </w:r>
      <w:r w:rsidRPr="00E63488">
        <w:rPr>
          <w:lang w:eastAsia="en-US"/>
        </w:rPr>
        <w:t>фасадные элементы, фартуки и закладные детали</w:t>
      </w:r>
      <w:r w:rsidR="00E63488" w:rsidRPr="00E63488">
        <w:rPr>
          <w:lang w:eastAsia="en-US"/>
        </w:rPr>
        <w:t xml:space="preserve">) </w:t>
      </w:r>
      <w:r w:rsidRPr="00E63488">
        <w:rPr>
          <w:lang w:eastAsia="en-US"/>
        </w:rPr>
        <w:t>грунтуются двумя слоями грунта ГФ-21 с последующей окраской эмалью В-1120 за три раза</w:t>
      </w:r>
      <w:r w:rsidR="00E63488" w:rsidRPr="00E63488">
        <w:rPr>
          <w:lang w:eastAsia="en-US"/>
        </w:rPr>
        <w:t>.</w:t>
      </w:r>
    </w:p>
    <w:p w:rsidR="00E63488" w:rsidRDefault="00503ED1" w:rsidP="00E63488">
      <w:pPr>
        <w:ind w:firstLine="709"/>
        <w:rPr>
          <w:lang w:eastAsia="en-US"/>
        </w:rPr>
      </w:pPr>
      <w:r w:rsidRPr="00E63488">
        <w:rPr>
          <w:lang w:eastAsia="en-US"/>
        </w:rPr>
        <w:t>Водоотвод внешний организованный, осуществляется через желоба с водоприемными воронками по водосточным трубам с последующим отводом в городскую ливневую канализацию</w: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Pr="00E63488" w:rsidRDefault="000C08C4" w:rsidP="00085BE0">
      <w:pPr>
        <w:pStyle w:val="2"/>
      </w:pPr>
      <w:r w:rsidRPr="00E63488">
        <w:t>8</w:t>
      </w:r>
      <w:r w:rsidR="00E63488" w:rsidRPr="00E63488">
        <w:t xml:space="preserve">. </w:t>
      </w:r>
      <w:r w:rsidR="00CC5E9D" w:rsidRPr="00E63488">
        <w:t>Охрана труда, техника безопасности и санит</w:t>
      </w:r>
      <w:r w:rsidR="00111764" w:rsidRPr="00E63488">
        <w:t>арно-гигиенические мероприятия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Эксплуатация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проектируемого объекта должна осуществляться в строгом соблюдении “Правил пожарной безопасности” и</w:t>
      </w:r>
      <w:r w:rsidR="00E63488">
        <w:rPr>
          <w:lang w:eastAsia="en-US"/>
        </w:rPr>
        <w:t xml:space="preserve"> "</w:t>
      </w:r>
      <w:r w:rsidRPr="00E63488">
        <w:rPr>
          <w:lang w:eastAsia="en-US"/>
        </w:rPr>
        <w:t>Правил технической эксплуатации</w:t>
      </w:r>
      <w:r w:rsidR="00E63488">
        <w:rPr>
          <w:lang w:eastAsia="en-US"/>
        </w:rPr>
        <w:t>".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Основными опасными и вредными факторами являются</w:t>
      </w:r>
      <w:r w:rsidR="00E63488" w:rsidRPr="00E63488">
        <w:rPr>
          <w:lang w:eastAsia="en-US"/>
        </w:rPr>
        <w:t xml:space="preserve">: </w:t>
      </w:r>
      <w:r w:rsidRPr="00E63488">
        <w:rPr>
          <w:lang w:eastAsia="en-US"/>
        </w:rPr>
        <w:t>электроэнергия высокого напряжения</w:t>
      </w:r>
      <w:r w:rsidR="00E63488">
        <w:rPr>
          <w:lang w:eastAsia="en-US"/>
        </w:rPr>
        <w:t xml:space="preserve"> (</w:t>
      </w:r>
      <w:r w:rsidRPr="00E63488">
        <w:rPr>
          <w:lang w:eastAsia="en-US"/>
        </w:rPr>
        <w:t>220 В</w:t>
      </w:r>
      <w:r w:rsidR="00E63488" w:rsidRPr="00E63488">
        <w:rPr>
          <w:lang w:eastAsia="en-US"/>
        </w:rPr>
        <w:t>).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Штепсельные розетки установлены с заземляющим контактом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Оборудование импортного производства должно иметь санитарные и пожарные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сертификаты на момент пуска в эксплуатацию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Машины, механизмы, оборудование, транспортные средства, химические вещества и их соединения, другая небезопасная продукция, приобретенная за пределами территории Украины, допускаются в эксплуатацию</w:t>
      </w:r>
      <w:r w:rsidR="00E63488">
        <w:rPr>
          <w:lang w:eastAsia="en-US"/>
        </w:rPr>
        <w:t xml:space="preserve"> (</w:t>
      </w:r>
      <w:r w:rsidRPr="00E63488">
        <w:rPr>
          <w:lang w:eastAsia="en-US"/>
        </w:rPr>
        <w:t>к применению</w:t>
      </w:r>
      <w:r w:rsidR="00E63488" w:rsidRPr="00E63488">
        <w:rPr>
          <w:lang w:eastAsia="en-US"/>
        </w:rPr>
        <w:t xml:space="preserve">) </w:t>
      </w:r>
      <w:r w:rsidRPr="00E63488">
        <w:rPr>
          <w:lang w:eastAsia="en-US"/>
        </w:rPr>
        <w:t>только при условии проведения экспертизы на соответствие их нормативно-правовым актам по охране труда, которые действуют на территории Украины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Оборудование импортного производства, примененное в проекте, по решению заказчика может быть изменено на оборудование отечественного производителя имеющее соответственные сертификаты и ТУ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Доступ к оборудованию для технологического ремонта и обслуживания в проекте обеспечен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Расстояние между оборудованием и ширина проходов соответствуют нормам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К работе на оборудовании допускаются квалифицированные специалисты, прошедшие инструктаж по технике безопасности на рабочем месте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Пожаро</w:t>
      </w:r>
      <w:r w:rsidR="00C060C3" w:rsidRPr="00E63488">
        <w:rPr>
          <w:lang w:eastAsia="en-US"/>
        </w:rPr>
        <w:t>-</w:t>
      </w:r>
      <w:r w:rsidRPr="00E63488">
        <w:rPr>
          <w:lang w:eastAsia="en-US"/>
        </w:rPr>
        <w:t>взрывоопасное оборудование в проекте не применяется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Уровень шума и вибраций в момент работы оборудования не превышает 40дБ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Для борьбы с шумом проектом рекомендуется проведение следующих мероприятий</w:t>
      </w:r>
      <w:r w:rsidR="00E63488" w:rsidRPr="00E63488">
        <w:rPr>
          <w:lang w:eastAsia="en-US"/>
        </w:rPr>
        <w:t>: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Регулярный контроль всего действующего оборудования с целью своевременного устранения дефектов, которые могут вызвать увеличение шума</w:t>
      </w:r>
      <w:r w:rsidR="00E63488" w:rsidRPr="00E63488">
        <w:rPr>
          <w:lang w:eastAsia="en-US"/>
        </w:rPr>
        <w:t>;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Тщательная динамическая балансировка при установке оборудования</w:t>
      </w:r>
      <w:r w:rsidR="00E63488" w:rsidRPr="00E63488">
        <w:rPr>
          <w:lang w:eastAsia="en-US"/>
        </w:rPr>
        <w:t>;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Использование виброизолирующих прокладок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Отработанные люминесцентные лампы должны храниться в отдельном, закрывающемся на замок герметичном ящике, и вывозиться по договору со спец АТП по перевозке грузов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Выделить приказом ответственное лицо за хранение и утилизацию отработанных ламп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Мусор с территории проектируемого офисного здания с автосалоном будет убираться на проектируемую площадку для сбора мусора,</w:t>
      </w:r>
      <w:r w:rsidR="00111764" w:rsidRPr="00E63488">
        <w:rPr>
          <w:lang w:eastAsia="en-US"/>
        </w:rPr>
        <w:t xml:space="preserve"> размещенную</w:t>
      </w:r>
      <w:r w:rsidR="00E63488" w:rsidRPr="00E63488">
        <w:rPr>
          <w:lang w:eastAsia="en-US"/>
        </w:rPr>
        <w:t xml:space="preserve"> </w:t>
      </w:r>
      <w:r w:rsidR="00111764" w:rsidRPr="00E63488">
        <w:rPr>
          <w:lang w:eastAsia="en-US"/>
        </w:rPr>
        <w:t>на территории парковки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Перезарядку огнетушителей производить в соответствии с инструкцией по их эксплуатации</w:t>
      </w:r>
      <w:r w:rsidR="00E63488" w:rsidRPr="00E63488">
        <w:rPr>
          <w:lang w:eastAsia="en-US"/>
        </w:rPr>
        <w:t>.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Для нормального производства работ на объекте необходимо</w:t>
      </w:r>
      <w:r w:rsidR="00E63488" w:rsidRPr="00E63488">
        <w:rPr>
          <w:lang w:eastAsia="en-US"/>
        </w:rPr>
        <w:t>: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организовать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службу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охраны труда</w:t>
      </w:r>
      <w:r w:rsidR="00E63488">
        <w:rPr>
          <w:lang w:eastAsia="en-US"/>
        </w:rPr>
        <w:t xml:space="preserve"> (</w:t>
      </w:r>
      <w:r w:rsidRPr="00E63488">
        <w:rPr>
          <w:lang w:eastAsia="en-US"/>
        </w:rPr>
        <w:t>приказом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по предприятию назначается ответственный по ТБ и ПБ на каждом производственном участке</w:t>
      </w:r>
      <w:r w:rsidR="00E63488" w:rsidRPr="00E63488">
        <w:rPr>
          <w:lang w:eastAsia="en-US"/>
        </w:rPr>
        <w:t>);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проводить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инструктаж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по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ТБ и ПБ в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каждом</w:t>
      </w:r>
      <w:r w:rsidR="00E63488" w:rsidRPr="00E63488">
        <w:rPr>
          <w:lang w:eastAsia="en-US"/>
        </w:rPr>
        <w:t xml:space="preserve"> </w:t>
      </w:r>
      <w:r w:rsidRPr="00E63488">
        <w:rPr>
          <w:lang w:eastAsia="en-US"/>
        </w:rPr>
        <w:t>производстводств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участке</w:t>
      </w:r>
      <w:r w:rsidR="00E63488" w:rsidRPr="00E63488">
        <w:rPr>
          <w:lang w:eastAsia="en-US"/>
        </w:rPr>
        <w:t>;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проводить инструктаж по ТБ и ПБ перед заступлением работника на смену</w:t>
      </w:r>
      <w:r w:rsidR="00E63488" w:rsidRPr="00E63488">
        <w:rPr>
          <w:lang w:eastAsia="en-US"/>
        </w:rPr>
        <w:t>;</w:t>
      </w:r>
    </w:p>
    <w:p w:rsidR="00E63488" w:rsidRDefault="00CC5E9D" w:rsidP="00E63488">
      <w:pPr>
        <w:ind w:firstLine="709"/>
        <w:rPr>
          <w:lang w:eastAsia="en-US"/>
        </w:rPr>
      </w:pPr>
      <w:r w:rsidRPr="00E63488">
        <w:rPr>
          <w:lang w:eastAsia="en-US"/>
        </w:rPr>
        <w:t>вести журнал по ТБ и ПБ о проведении инструктажей</w:t>
      </w:r>
      <w:r w:rsidR="00E63488" w:rsidRPr="00E63488">
        <w:rPr>
          <w:lang w:eastAsia="en-US"/>
        </w:rPr>
        <w:t>;</w:t>
      </w:r>
    </w:p>
    <w:p w:rsidR="00E63488" w:rsidRDefault="00CC5E9D" w:rsidP="00E63488">
      <w:pPr>
        <w:ind w:firstLine="709"/>
        <w:rPr>
          <w:shd w:val="clear" w:color="auto" w:fill="FFFFFF"/>
          <w:lang w:val="uk-UA" w:eastAsia="en-US"/>
        </w:rPr>
      </w:pPr>
      <w:r w:rsidRPr="00E63488">
        <w:rPr>
          <w:lang w:eastAsia="en-US"/>
        </w:rPr>
        <w:t>оснастить помещение настенной информацией по правилам ТБ и ПБ и охране труда</w:t>
      </w:r>
      <w:r w:rsidR="00E63488" w:rsidRPr="00E63488">
        <w:rPr>
          <w:lang w:eastAsia="en-US"/>
        </w:rPr>
        <w:t xml:space="preserve">; </w:t>
      </w:r>
      <w:r w:rsidRPr="00E63488">
        <w:rPr>
          <w:shd w:val="clear" w:color="auto" w:fill="FFFFFF"/>
          <w:lang w:val="uk-UA" w:eastAsia="en-US"/>
        </w:rPr>
        <w:t>предусмотреть медицинскую аптечку для оказания первой помощи</w:t>
      </w:r>
      <w:r w:rsidR="00E63488" w:rsidRPr="00E63488">
        <w:rPr>
          <w:shd w:val="clear" w:color="auto" w:fill="FFFFFF"/>
          <w:lang w:val="uk-UA" w:eastAsia="en-US"/>
        </w:rPr>
        <w:t>.</w:t>
      </w:r>
    </w:p>
    <w:p w:rsidR="00085BE0" w:rsidRDefault="00085BE0" w:rsidP="00E63488">
      <w:pPr>
        <w:ind w:firstLine="709"/>
        <w:rPr>
          <w:shd w:val="clear" w:color="auto" w:fill="FFFFFF"/>
          <w:lang w:eastAsia="en-US"/>
        </w:rPr>
      </w:pPr>
    </w:p>
    <w:p w:rsidR="00111764" w:rsidRPr="00E63488" w:rsidRDefault="000C08C4" w:rsidP="00085BE0">
      <w:pPr>
        <w:pStyle w:val="2"/>
        <w:rPr>
          <w:shd w:val="clear" w:color="auto" w:fill="FFFFFF"/>
        </w:rPr>
      </w:pPr>
      <w:r w:rsidRPr="00E63488">
        <w:rPr>
          <w:shd w:val="clear" w:color="auto" w:fill="FFFFFF"/>
        </w:rPr>
        <w:t>9</w:t>
      </w:r>
      <w:r w:rsidR="00E63488" w:rsidRPr="00E63488">
        <w:rPr>
          <w:shd w:val="clear" w:color="auto" w:fill="FFFFFF"/>
          <w:lang w:val="uk-UA"/>
        </w:rPr>
        <w:t xml:space="preserve">. </w:t>
      </w:r>
      <w:r w:rsidR="00111764" w:rsidRPr="00E63488">
        <w:rPr>
          <w:shd w:val="clear" w:color="auto" w:fill="FFFFFF"/>
          <w:lang w:val="uk-UA"/>
        </w:rPr>
        <w:t>Теплотехнический расчет</w:t>
      </w:r>
      <w:r w:rsidR="00D6548D" w:rsidRPr="00E63488">
        <w:rPr>
          <w:shd w:val="clear" w:color="auto" w:fill="FFFFFF"/>
          <w:lang w:val="en-US"/>
        </w:rPr>
        <w:t xml:space="preserve"> </w:t>
      </w:r>
      <w:r w:rsidR="00D6548D" w:rsidRPr="00E63488">
        <w:rPr>
          <w:shd w:val="clear" w:color="auto" w:fill="FFFFFF"/>
        </w:rPr>
        <w:t>кровли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Определяем толщину утеплителя в покрытии из монолитного </w:t>
      </w:r>
      <w:r w:rsidR="00F13D3C" w:rsidRPr="00E63488">
        <w:rPr>
          <w:lang w:eastAsia="en-US"/>
        </w:rPr>
        <w:t xml:space="preserve">железобетона </w:t>
      </w:r>
      <w:r w:rsidRPr="00E63488">
        <w:rPr>
          <w:lang w:eastAsia="en-US"/>
        </w:rPr>
        <w:t xml:space="preserve">со средней температурой наиболее холодной пятидневки </w:t>
      </w:r>
      <w:r w:rsidR="00E63488">
        <w:rPr>
          <w:lang w:eastAsia="en-US"/>
        </w:rPr>
        <w:t>-</w:t>
      </w:r>
      <w:r w:rsidRPr="00E63488">
        <w:rPr>
          <w:lang w:eastAsia="en-US"/>
        </w:rPr>
        <w:t>40</w:t>
      </w:r>
      <w:r w:rsidRPr="00E63488">
        <w:rPr>
          <w:vertAlign w:val="superscript"/>
          <w:lang w:eastAsia="en-US"/>
        </w:rPr>
        <w:t>0</w:t>
      </w:r>
      <w:r w:rsidRPr="00E63488">
        <w:rPr>
          <w:lang w:eastAsia="en-US"/>
        </w:rPr>
        <w:t xml:space="preserve">С, наиболее холодных суток </w:t>
      </w:r>
      <w:r w:rsidR="00E63488">
        <w:rPr>
          <w:lang w:eastAsia="en-US"/>
        </w:rPr>
        <w:t>-</w:t>
      </w:r>
      <w:r w:rsidRPr="00E63488">
        <w:rPr>
          <w:lang w:eastAsia="en-US"/>
        </w:rPr>
        <w:t>44</w:t>
      </w:r>
      <w:r w:rsidRPr="00E63488">
        <w:rPr>
          <w:vertAlign w:val="superscript"/>
          <w:lang w:eastAsia="en-US"/>
        </w:rPr>
        <w:t>0</w:t>
      </w:r>
      <w:r w:rsidRPr="00E63488">
        <w:rPr>
          <w:lang w:eastAsia="en-US"/>
        </w:rPr>
        <w:t>С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 xml:space="preserve">Зона влажности наружного климата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нормальная, влажностной режим помещения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сухой</w:t>
      </w:r>
      <w:r w:rsidR="00E63488">
        <w:rPr>
          <w:lang w:eastAsia="en-US"/>
        </w:rPr>
        <w:t xml:space="preserve"> (</w:t>
      </w:r>
      <w:r w:rsidR="001151FE">
        <w:rPr>
          <w:position w:val="-12"/>
          <w:lang w:eastAsia="en-US"/>
        </w:rPr>
        <w:pict>
          <v:shape id="_x0000_i1047" type="#_x0000_t75" style="width:23.25pt;height:15pt">
            <v:imagedata r:id="rId31" o:title=""/>
          </v:shape>
        </w:pict>
      </w:r>
      <w:r w:rsidRPr="00E63488">
        <w:rPr>
          <w:lang w:eastAsia="en-US"/>
        </w:rPr>
        <w:t>50%</w:t>
      </w:r>
      <w:r w:rsidR="00E63488" w:rsidRPr="00E63488">
        <w:rPr>
          <w:lang w:eastAsia="en-US"/>
        </w:rPr>
        <w:t xml:space="preserve">). </w:t>
      </w:r>
      <w:r w:rsidRPr="00E63488">
        <w:rPr>
          <w:lang w:eastAsia="en-US"/>
        </w:rPr>
        <w:t xml:space="preserve">Утеплитель </w:t>
      </w:r>
      <w:r w:rsidR="00E63488">
        <w:rPr>
          <w:lang w:eastAsia="en-US"/>
        </w:rPr>
        <w:t>-</w:t>
      </w:r>
      <w:r w:rsidRPr="00E63488">
        <w:rPr>
          <w:lang w:eastAsia="en-US"/>
        </w:rPr>
        <w:t xml:space="preserve"> керамзитобетон</w:t>
      </w:r>
      <w:r w:rsidR="00E63488">
        <w:rPr>
          <w:lang w:eastAsia="en-US"/>
        </w:rPr>
        <w:t xml:space="preserve"> (</w:t>
      </w:r>
      <w:r w:rsidR="001151FE">
        <w:rPr>
          <w:position w:val="-12"/>
          <w:lang w:eastAsia="en-US"/>
        </w:rPr>
        <w:pict>
          <v:shape id="_x0000_i1048" type="#_x0000_t75" style="width:21.75pt;height:15pt">
            <v:imagedata r:id="rId32" o:title=""/>
          </v:shape>
        </w:pict>
      </w:r>
      <w:r w:rsidRPr="00E63488">
        <w:rPr>
          <w:lang w:eastAsia="en-US"/>
        </w:rPr>
        <w:t>600 кг/м</w:t>
      </w:r>
      <w:r w:rsidRPr="00E63488">
        <w:rPr>
          <w:vertAlign w:val="superscript"/>
          <w:lang w:eastAsia="en-US"/>
        </w:rPr>
        <w:t>3</w:t>
      </w:r>
      <w:r w:rsidR="00E63488" w:rsidRPr="00E63488">
        <w:rPr>
          <w:lang w:eastAsia="en-US"/>
        </w:rPr>
        <w:t xml:space="preserve">). </w:t>
      </w:r>
      <w:r w:rsidRPr="00E63488">
        <w:rPr>
          <w:lang w:eastAsia="en-US"/>
        </w:rPr>
        <w:t xml:space="preserve">Значения </w:t>
      </w:r>
      <w:r w:rsidR="001151FE">
        <w:rPr>
          <w:position w:val="-6"/>
          <w:lang w:eastAsia="en-US"/>
        </w:rPr>
        <w:pict>
          <v:shape id="_x0000_i1049" type="#_x0000_t75" style="width:12pt;height:15pt">
            <v:imagedata r:id="rId33" o:title=""/>
          </v:shape>
        </w:pict>
      </w:r>
      <w:r w:rsidRPr="00E63488">
        <w:rPr>
          <w:lang w:eastAsia="en-US"/>
        </w:rPr>
        <w:t xml:space="preserve"> и </w:t>
      </w:r>
      <w:r w:rsidR="001151FE">
        <w:rPr>
          <w:position w:val="-6"/>
          <w:lang w:eastAsia="en-US"/>
        </w:rPr>
        <w:pict>
          <v:shape id="_x0000_i1050" type="#_x0000_t75" style="width:12pt;height:15pt">
            <v:imagedata r:id="rId34" o:title=""/>
          </v:shape>
        </w:pict>
      </w:r>
      <w:r w:rsidRPr="00E63488">
        <w:rPr>
          <w:lang w:eastAsia="en-US"/>
        </w:rPr>
        <w:t xml:space="preserve"> для различных материалов принимаем по СНиП </w:t>
      </w:r>
      <w:r w:rsidRPr="00E63488">
        <w:rPr>
          <w:lang w:val="uk-UA" w:eastAsia="en-US"/>
        </w:rPr>
        <w:t>ІІ</w:t>
      </w:r>
      <w:r w:rsidRPr="00E63488">
        <w:rPr>
          <w:lang w:eastAsia="en-US"/>
        </w:rPr>
        <w:t>-3-79**, прил</w:t>
      </w:r>
      <w:r w:rsidR="00E63488">
        <w:rPr>
          <w:lang w:eastAsia="en-US"/>
        </w:rPr>
        <w:t>.3</w:t>
      </w:r>
      <w:r w:rsidRPr="00E63488">
        <w:rPr>
          <w:lang w:eastAsia="en-US"/>
        </w:rPr>
        <w:t xml:space="preserve">, графа А, значения </w:t>
      </w:r>
      <w:r w:rsidR="001151FE">
        <w:rPr>
          <w:position w:val="-6"/>
          <w:lang w:eastAsia="en-US"/>
        </w:rPr>
        <w:pict>
          <v:shape id="_x0000_i1051" type="#_x0000_t75" style="width:12pt;height:15pt">
            <v:imagedata r:id="rId35" o:title=""/>
          </v:shape>
        </w:pict>
      </w:r>
      <w:r w:rsidRPr="00E63488">
        <w:rPr>
          <w:lang w:eastAsia="en-US"/>
        </w:rPr>
        <w:t xml:space="preserve"> задаем</w:t>
      </w:r>
      <w:r w:rsidR="00E63488" w:rsidRPr="00E63488">
        <w:rPr>
          <w:lang w:eastAsia="en-US"/>
        </w:rPr>
        <w:t>.</w:t>
      </w:r>
    </w:p>
    <w:p w:rsidR="00E63488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>1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Железобетон</w:t>
      </w:r>
      <w:r w:rsidR="00E63488" w:rsidRPr="00E63488">
        <w:rPr>
          <w:lang w:eastAsia="en-US"/>
        </w:rPr>
        <w:t>: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52" type="#_x0000_t75" style="width:27pt;height:18.75pt">
            <v:imagedata r:id="rId36" o:title=""/>
          </v:shape>
        </w:pict>
      </w:r>
      <w:r w:rsidR="00111764" w:rsidRPr="00E63488">
        <w:rPr>
          <w:lang w:eastAsia="en-US"/>
        </w:rPr>
        <w:t>0,22</w:t>
      </w:r>
      <w:r w:rsidR="00E63488" w:rsidRPr="00E63488">
        <w:rPr>
          <w:lang w:eastAsia="en-US"/>
        </w:rPr>
        <w:t xml:space="preserve">; </w:t>
      </w:r>
      <w:r>
        <w:rPr>
          <w:position w:val="-12"/>
          <w:lang w:eastAsia="en-US"/>
        </w:rPr>
        <w:pict>
          <v:shape id="_x0000_i1053" type="#_x0000_t75" style="width:27pt;height:18.75pt">
            <v:imagedata r:id="rId37" o:title=""/>
          </v:shape>
        </w:pict>
      </w:r>
      <w:r w:rsidR="00111764" w:rsidRPr="00E63488">
        <w:rPr>
          <w:lang w:eastAsia="en-US"/>
        </w:rPr>
        <w:t>1,92</w:t>
      </w:r>
      <w:r w:rsidR="00E63488" w:rsidRPr="00E63488">
        <w:rPr>
          <w:lang w:eastAsia="en-US"/>
        </w:rPr>
        <w:t xml:space="preserve">; </w:t>
      </w:r>
      <w:r>
        <w:rPr>
          <w:position w:val="-12"/>
          <w:lang w:eastAsia="en-US"/>
        </w:rPr>
        <w:pict>
          <v:shape id="_x0000_i1054" type="#_x0000_t75" style="width:27pt;height:18.75pt">
            <v:imagedata r:id="rId38" o:title=""/>
          </v:shape>
        </w:pict>
      </w:r>
      <w:r w:rsidR="00111764" w:rsidRPr="00E63488">
        <w:rPr>
          <w:lang w:eastAsia="en-US"/>
        </w:rPr>
        <w:t>17,98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E63488" w:rsidP="00E63488">
      <w:pPr>
        <w:ind w:firstLine="709"/>
        <w:rPr>
          <w:lang w:eastAsia="en-US"/>
        </w:rPr>
      </w:pPr>
      <w:r>
        <w:rPr>
          <w:lang w:eastAsia="en-US"/>
        </w:rPr>
        <w:t>(</w:t>
      </w:r>
      <w:r w:rsidR="00111764" w:rsidRPr="00E63488">
        <w:rPr>
          <w:lang w:eastAsia="en-US"/>
        </w:rPr>
        <w:t>пароизоляция в данном примере не учитывается</w:t>
      </w:r>
      <w:r w:rsidRPr="00E63488">
        <w:rPr>
          <w:lang w:eastAsia="en-US"/>
        </w:rPr>
        <w:t>).</w:t>
      </w:r>
    </w:p>
    <w:p w:rsidR="00E63488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>2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Керамзитобетон</w:t>
      </w:r>
      <w:r w:rsidR="00E63488" w:rsidRPr="00E63488">
        <w:rPr>
          <w:lang w:eastAsia="en-US"/>
        </w:rPr>
        <w:t>: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55" type="#_x0000_t75" style="width:27.75pt;height:18.75pt">
            <v:imagedata r:id="rId39" o:title=""/>
          </v:shape>
        </w:pict>
      </w:r>
      <w:r w:rsidR="00111764" w:rsidRPr="00E63488">
        <w:rPr>
          <w:lang w:eastAsia="en-US"/>
        </w:rPr>
        <w:t>Х</w:t>
      </w:r>
      <w:r w:rsidR="00E63488" w:rsidRPr="00E63488">
        <w:rPr>
          <w:lang w:eastAsia="en-US"/>
        </w:rPr>
        <w:t xml:space="preserve">; </w:t>
      </w:r>
      <w:r>
        <w:rPr>
          <w:position w:val="-12"/>
          <w:lang w:eastAsia="en-US"/>
        </w:rPr>
        <w:pict>
          <v:shape id="_x0000_i1056" type="#_x0000_t75" style="width:27.75pt;height:18.75pt">
            <v:imagedata r:id="rId40" o:title=""/>
          </v:shape>
        </w:pict>
      </w:r>
      <w:r w:rsidR="00111764" w:rsidRPr="00E63488">
        <w:rPr>
          <w:lang w:eastAsia="en-US"/>
        </w:rPr>
        <w:t>0</w:t>
      </w:r>
      <w:r w:rsidR="00E63488">
        <w:rPr>
          <w:lang w:eastAsia="en-US"/>
        </w:rPr>
        <w:t>, 20</w:t>
      </w:r>
      <w:r w:rsidR="00E63488" w:rsidRPr="00E63488">
        <w:rPr>
          <w:lang w:eastAsia="en-US"/>
        </w:rPr>
        <w:t xml:space="preserve">; </w:t>
      </w:r>
      <w:r>
        <w:rPr>
          <w:position w:val="-12"/>
          <w:lang w:eastAsia="en-US"/>
        </w:rPr>
        <w:pict>
          <v:shape id="_x0000_i1057" type="#_x0000_t75" style="width:27.75pt;height:18.75pt">
            <v:imagedata r:id="rId41" o:title=""/>
          </v:shape>
        </w:pict>
      </w:r>
      <w:r w:rsidR="00111764" w:rsidRPr="00E63488">
        <w:rPr>
          <w:lang w:eastAsia="en-US"/>
        </w:rPr>
        <w:t>3,03</w: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>3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Цементно-песчаный раствор</w:t>
      </w:r>
      <w:r w:rsidR="00E63488" w:rsidRPr="00E63488">
        <w:rPr>
          <w:lang w:eastAsia="en-US"/>
        </w:rPr>
        <w:t>: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58" type="#_x0000_t75" style="width:27.75pt;height:18.75pt">
            <v:imagedata r:id="rId42" o:title=""/>
          </v:shape>
        </w:pict>
      </w:r>
      <w:r w:rsidR="00111764" w:rsidRPr="00E63488">
        <w:rPr>
          <w:lang w:eastAsia="en-US"/>
        </w:rPr>
        <w:t>0,015</w:t>
      </w:r>
      <w:r w:rsidR="00E63488" w:rsidRPr="00E63488">
        <w:rPr>
          <w:lang w:eastAsia="en-US"/>
        </w:rPr>
        <w:t xml:space="preserve">; </w:t>
      </w:r>
      <w:r>
        <w:rPr>
          <w:position w:val="-12"/>
          <w:lang w:eastAsia="en-US"/>
        </w:rPr>
        <w:pict>
          <v:shape id="_x0000_i1059" type="#_x0000_t75" style="width:27.75pt;height:18.75pt">
            <v:imagedata r:id="rId43" o:title=""/>
          </v:shape>
        </w:pict>
      </w:r>
      <w:r w:rsidR="00111764" w:rsidRPr="00E63488">
        <w:rPr>
          <w:lang w:eastAsia="en-US"/>
        </w:rPr>
        <w:t>0,76</w:t>
      </w:r>
      <w:r w:rsidR="00E63488" w:rsidRPr="00E63488">
        <w:rPr>
          <w:lang w:eastAsia="en-US"/>
        </w:rPr>
        <w:t xml:space="preserve">; </w:t>
      </w:r>
      <w:r>
        <w:rPr>
          <w:position w:val="-12"/>
          <w:lang w:eastAsia="en-US"/>
        </w:rPr>
        <w:pict>
          <v:shape id="_x0000_i1060" type="#_x0000_t75" style="width:27.75pt;height:18.75pt">
            <v:imagedata r:id="rId44" o:title=""/>
          </v:shape>
        </w:pict>
      </w:r>
      <w:r w:rsidR="00111764" w:rsidRPr="00E63488">
        <w:rPr>
          <w:lang w:eastAsia="en-US"/>
        </w:rPr>
        <w:t>9,60</w: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>4</w: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>Рулонный ковер</w:t>
      </w:r>
      <w:r w:rsidR="00E63488" w:rsidRPr="00E63488">
        <w:rPr>
          <w:lang w:eastAsia="en-US"/>
        </w:rPr>
        <w:t>: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61" type="#_x0000_t75" style="width:27.75pt;height:18.75pt">
            <v:imagedata r:id="rId45" o:title=""/>
          </v:shape>
        </w:pict>
      </w:r>
      <w:r w:rsidR="00111764" w:rsidRPr="00E63488">
        <w:rPr>
          <w:lang w:eastAsia="en-US"/>
        </w:rPr>
        <w:t>0,015</w:t>
      </w:r>
      <w:r w:rsidR="00E63488" w:rsidRPr="00E63488">
        <w:rPr>
          <w:lang w:eastAsia="en-US"/>
        </w:rPr>
        <w:t xml:space="preserve">; </w:t>
      </w:r>
      <w:r>
        <w:rPr>
          <w:position w:val="-12"/>
          <w:lang w:eastAsia="en-US"/>
        </w:rPr>
        <w:pict>
          <v:shape id="_x0000_i1062" type="#_x0000_t75" style="width:27.75pt;height:18.75pt">
            <v:imagedata r:id="rId46" o:title=""/>
          </v:shape>
        </w:pict>
      </w:r>
      <w:r w:rsidR="00111764" w:rsidRPr="00E63488">
        <w:rPr>
          <w:lang w:eastAsia="en-US"/>
        </w:rPr>
        <w:t>0,17</w:t>
      </w:r>
      <w:r w:rsidR="00E63488" w:rsidRPr="00E63488">
        <w:rPr>
          <w:lang w:eastAsia="en-US"/>
        </w:rPr>
        <w:t xml:space="preserve">; </w:t>
      </w:r>
      <w:r>
        <w:rPr>
          <w:position w:val="-12"/>
          <w:lang w:eastAsia="en-US"/>
        </w:rPr>
        <w:pict>
          <v:shape id="_x0000_i1063" type="#_x0000_t75" style="width:29.25pt;height:18.75pt">
            <v:imagedata r:id="rId47" o:title=""/>
          </v:shape>
        </w:pict>
      </w:r>
      <w:r w:rsidR="00111764" w:rsidRPr="00E63488">
        <w:rPr>
          <w:lang w:eastAsia="en-US"/>
        </w:rPr>
        <w:t>3,53</w: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Для покрытия принимаем по СНиП </w:t>
      </w:r>
      <w:r w:rsidRPr="00E63488">
        <w:rPr>
          <w:lang w:val="uk-UA" w:eastAsia="en-US"/>
        </w:rPr>
        <w:t>ІІ</w:t>
      </w:r>
      <w:r w:rsidRPr="00E63488">
        <w:rPr>
          <w:lang w:eastAsia="en-US"/>
        </w:rPr>
        <w:t>-3-79**, табл</w:t>
      </w:r>
      <w:r w:rsidR="00E63488">
        <w:rPr>
          <w:lang w:eastAsia="en-US"/>
        </w:rPr>
        <w:t>.2</w:t>
      </w:r>
      <w:r w:rsidRPr="00E63488">
        <w:rPr>
          <w:lang w:eastAsia="en-US"/>
        </w:rPr>
        <w:t xml:space="preserve"> </w:t>
      </w:r>
      <w:r w:rsidR="001151FE">
        <w:rPr>
          <w:position w:val="-6"/>
          <w:lang w:eastAsia="en-US"/>
        </w:rPr>
        <w:pict>
          <v:shape id="_x0000_i1064" type="#_x0000_t75" style="width:35.25pt;height:18.75pt">
            <v:imagedata r:id="rId48" o:title=""/>
          </v:shape>
        </w:pict>
      </w:r>
      <w:r w:rsidRPr="00E63488">
        <w:rPr>
          <w:lang w:eastAsia="en-US"/>
        </w:rPr>
        <w:t>8</w:t>
      </w:r>
      <w:r w:rsidRPr="00E63488">
        <w:rPr>
          <w:vertAlign w:val="superscript"/>
          <w:lang w:eastAsia="en-US"/>
        </w:rPr>
        <w:t>0</w:t>
      </w:r>
      <w:r w:rsidRPr="00E63488">
        <w:rPr>
          <w:lang w:eastAsia="en-US"/>
        </w:rPr>
        <w:t xml:space="preserve">С, так как </w:t>
      </w:r>
      <w:r w:rsidR="001151FE">
        <w:rPr>
          <w:position w:val="-12"/>
          <w:lang w:eastAsia="en-US"/>
        </w:rPr>
        <w:pict>
          <v:shape id="_x0000_i1065" type="#_x0000_t75" style="width:23.25pt;height:15pt">
            <v:imagedata r:id="rId49" o:title=""/>
          </v:shape>
        </w:pict>
      </w:r>
      <w:r w:rsidRPr="00E63488">
        <w:rPr>
          <w:lang w:eastAsia="en-US"/>
        </w:rPr>
        <w:t>50%</w:t>
      </w:r>
      <w:r w:rsidR="00E63488" w:rsidRPr="00E63488">
        <w:rPr>
          <w:lang w:eastAsia="en-US"/>
        </w:rPr>
        <w:t>.</w:t>
      </w:r>
    </w:p>
    <w:p w:rsidR="00111764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>Ввиду того, что покрытия в большинстве случаев относятся к ограждениям</w:t>
      </w:r>
      <w:r w:rsidR="00E63488">
        <w:rPr>
          <w:lang w:eastAsia="en-US"/>
        </w:rPr>
        <w:t xml:space="preserve"> "</w:t>
      </w:r>
      <w:r w:rsidRPr="00E63488">
        <w:rPr>
          <w:lang w:eastAsia="en-US"/>
        </w:rPr>
        <w:t>малой инерционности</w:t>
      </w:r>
      <w:r w:rsidR="00E63488">
        <w:rPr>
          <w:lang w:eastAsia="en-US"/>
        </w:rPr>
        <w:t xml:space="preserve">", </w:t>
      </w:r>
      <w:r w:rsidRPr="00E63488">
        <w:rPr>
          <w:lang w:eastAsia="en-US"/>
        </w:rPr>
        <w:t xml:space="preserve">для предварительных расчетов принимаем </w:t>
      </w:r>
      <w:r w:rsidR="001151FE">
        <w:rPr>
          <w:position w:val="-12"/>
          <w:lang w:eastAsia="en-US"/>
        </w:rPr>
        <w:pict>
          <v:shape id="_x0000_i1066" type="#_x0000_t75" style="width:24.75pt;height:18.75pt">
            <v:imagedata r:id="rId50" o:title=""/>
          </v:shape>
        </w:pict>
      </w:r>
      <w:r w:rsidR="00E63488">
        <w:rPr>
          <w:lang w:eastAsia="en-US"/>
        </w:rPr>
        <w:t>-</w:t>
      </w:r>
      <w:r w:rsidRPr="00E63488">
        <w:rPr>
          <w:lang w:eastAsia="en-US"/>
        </w:rPr>
        <w:t>44</w:t>
      </w:r>
      <w:r w:rsidRPr="00E63488">
        <w:rPr>
          <w:vertAlign w:val="superscript"/>
          <w:lang w:eastAsia="en-US"/>
        </w:rPr>
        <w:t>0</w:t>
      </w:r>
      <w:r w:rsidRPr="00E63488">
        <w:rPr>
          <w:lang w:eastAsia="en-US"/>
        </w:rPr>
        <w:t>С, тогда</w:t>
      </w:r>
    </w:p>
    <w:p w:rsidR="00085BE0" w:rsidRPr="00E63488" w:rsidRDefault="00085BE0" w:rsidP="00E63488">
      <w:pPr>
        <w:ind w:firstLine="709"/>
        <w:rPr>
          <w:lang w:eastAsia="en-US"/>
        </w:rPr>
      </w:pP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67" type="#_x0000_t75" style="width:24pt;height:21.75pt">
            <v:imagedata r:id="rId51" o:title=""/>
          </v:shape>
        </w:pict>
      </w:r>
      <w:r w:rsidR="00111764" w:rsidRPr="00E63488">
        <w:rPr>
          <w:lang w:eastAsia="en-US"/>
        </w:rPr>
        <w:t xml:space="preserve">= </w:t>
      </w:r>
      <w:r>
        <w:rPr>
          <w:position w:val="-32"/>
          <w:lang w:eastAsia="en-US"/>
        </w:rPr>
        <w:pict>
          <v:shape id="_x0000_i1068" type="#_x0000_t75" style="width:116.25pt;height:39.75pt">
            <v:imagedata r:id="rId52" o:title=""/>
          </v:shape>
        </w:pict>
      </w:r>
      <w:r w:rsidR="00111764" w:rsidRPr="00E63488">
        <w:rPr>
          <w:lang w:eastAsia="en-US"/>
        </w:rPr>
        <w:t xml:space="preserve"> = 0,86 м</w:t>
      </w:r>
      <w:r w:rsidR="00111764" w:rsidRPr="00E63488">
        <w:rPr>
          <w:vertAlign w:val="superscript"/>
          <w:lang w:eastAsia="en-US"/>
        </w:rPr>
        <w:t>2 0</w:t>
      </w:r>
      <w:r w:rsidR="00111764" w:rsidRPr="00E63488">
        <w:rPr>
          <w:lang w:eastAsia="en-US"/>
        </w:rPr>
        <w:t>С/Вт</w: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Сопротивление теплопередаче покрытия должно быть </w:t>
      </w:r>
      <w:r w:rsidR="001151FE">
        <w:rPr>
          <w:position w:val="-12"/>
          <w:lang w:eastAsia="en-US"/>
        </w:rPr>
        <w:pict>
          <v:shape id="_x0000_i1069" type="#_x0000_t75" style="width:17.25pt;height:18.75pt">
            <v:imagedata r:id="rId53" o:title=""/>
          </v:shape>
        </w:pict>
      </w:r>
      <w:r w:rsidRPr="00E63488">
        <w:rPr>
          <w:lang w:eastAsia="en-US"/>
        </w:rPr>
        <w:t xml:space="preserve"> не менее </w:t>
      </w:r>
      <w:r w:rsidR="001151FE">
        <w:rPr>
          <w:position w:val="-12"/>
          <w:lang w:eastAsia="en-US"/>
        </w:rPr>
        <w:pict>
          <v:shape id="_x0000_i1070" type="#_x0000_t75" style="width:24pt;height:21.75pt">
            <v:imagedata r:id="rId51" o:title=""/>
          </v:shape>
        </w:pict>
      </w:r>
      <w:r w:rsidR="00E63488" w:rsidRPr="00E63488">
        <w:rPr>
          <w:lang w:eastAsia="en-US"/>
        </w:rPr>
        <w:t xml:space="preserve">. </w:t>
      </w:r>
      <w:r w:rsidRPr="00E63488">
        <w:rPr>
          <w:lang w:eastAsia="en-US"/>
        </w:rPr>
        <w:t xml:space="preserve">Принимаем </w:t>
      </w:r>
      <w:r w:rsidR="001151FE">
        <w:rPr>
          <w:position w:val="-12"/>
          <w:lang w:eastAsia="en-US"/>
        </w:rPr>
        <w:pict>
          <v:shape id="_x0000_i1071" type="#_x0000_t75" style="width:17.25pt;height:18.75pt">
            <v:imagedata r:id="rId53" o:title=""/>
          </v:shape>
        </w:pict>
      </w:r>
      <w:r w:rsidRPr="00E63488">
        <w:rPr>
          <w:lang w:eastAsia="en-US"/>
        </w:rPr>
        <w:t xml:space="preserve"> = </w:t>
      </w:r>
      <w:r w:rsidR="001151FE">
        <w:rPr>
          <w:position w:val="-12"/>
          <w:lang w:eastAsia="en-US"/>
        </w:rPr>
        <w:pict>
          <v:shape id="_x0000_i1072" type="#_x0000_t75" style="width:24pt;height:21.75pt">
            <v:imagedata r:id="rId51" o:title=""/>
          </v:shape>
        </w:pict>
      </w:r>
      <w:r w:rsidR="00E63488" w:rsidRPr="00E63488">
        <w:rPr>
          <w:lang w:eastAsia="en-US"/>
        </w:rPr>
        <w:t>.</w:t>
      </w:r>
    </w:p>
    <w:p w:rsidR="00111764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73" type="#_x0000_t75" style="width:17.25pt;height:18.75pt">
            <v:imagedata r:id="rId53" o:title=""/>
          </v:shape>
        </w:pict>
      </w:r>
      <w:r w:rsidR="00111764" w:rsidRPr="00E63488">
        <w:rPr>
          <w:lang w:eastAsia="en-US"/>
        </w:rPr>
        <w:t xml:space="preserve"> определяем по формуле</w:t>
      </w:r>
    </w:p>
    <w:p w:rsidR="00085BE0" w:rsidRPr="00E63488" w:rsidRDefault="00085BE0" w:rsidP="00E63488">
      <w:pPr>
        <w:ind w:firstLine="709"/>
        <w:rPr>
          <w:lang w:eastAsia="en-US"/>
        </w:rPr>
      </w:pP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34"/>
          <w:lang w:eastAsia="en-US"/>
        </w:rPr>
        <w:pict>
          <v:shape id="_x0000_i1074" type="#_x0000_t75" style="width:123.75pt;height:39pt">
            <v:imagedata r:id="rId54" o:title=""/>
          </v:shape>
        </w:pic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>Находим необходимое термическое сопротивление слоя керамзитобетона</w:t>
      </w:r>
      <w:r w:rsidR="00E63488" w:rsidRPr="00E63488">
        <w:rPr>
          <w:lang w:eastAsia="en-US"/>
        </w:rPr>
        <w:t>:</w:t>
      </w:r>
    </w:p>
    <w:p w:rsidR="00085BE0" w:rsidRDefault="00085BE0" w:rsidP="00E63488">
      <w:pPr>
        <w:ind w:firstLine="709"/>
        <w:rPr>
          <w:lang w:eastAsia="en-US"/>
        </w:rPr>
      </w:pPr>
    </w:p>
    <w:p w:rsidR="00111764" w:rsidRPr="00E63488" w:rsidRDefault="001151FE" w:rsidP="00E63488">
      <w:pPr>
        <w:ind w:firstLine="709"/>
        <w:rPr>
          <w:lang w:eastAsia="en-US"/>
        </w:rPr>
      </w:pPr>
      <w:r>
        <w:rPr>
          <w:position w:val="-38"/>
          <w:lang w:eastAsia="en-US"/>
        </w:rPr>
        <w:pict>
          <v:shape id="_x0000_i1075" type="#_x0000_t75" style="width:252pt;height:45pt">
            <v:imagedata r:id="rId55" o:title=""/>
          </v:shape>
        </w:pict>
      </w:r>
      <w:r w:rsidR="00111764" w:rsidRPr="00E63488">
        <w:rPr>
          <w:lang w:eastAsia="en-US"/>
        </w:rPr>
        <w:t>,</w:t>
      </w:r>
    </w:p>
    <w:p w:rsidR="00085BE0" w:rsidRDefault="00085BE0" w:rsidP="00E63488">
      <w:pPr>
        <w:ind w:firstLine="709"/>
        <w:rPr>
          <w:lang w:eastAsia="en-US"/>
        </w:rPr>
      </w:pPr>
    </w:p>
    <w:p w:rsidR="00111764" w:rsidRDefault="00085BE0" w:rsidP="00E63488">
      <w:pPr>
        <w:ind w:firstLine="709"/>
        <w:rPr>
          <w:lang w:eastAsia="en-US"/>
        </w:rPr>
      </w:pPr>
      <w:r w:rsidRPr="00E63488">
        <w:rPr>
          <w:lang w:eastAsia="en-US"/>
        </w:rPr>
        <w:t>Г</w:t>
      </w:r>
      <w:r w:rsidR="00111764" w:rsidRPr="00E63488">
        <w:rPr>
          <w:lang w:eastAsia="en-US"/>
        </w:rPr>
        <w:t>де</w:t>
      </w:r>
    </w:p>
    <w:p w:rsidR="00085BE0" w:rsidRPr="00E63488" w:rsidRDefault="00085BE0" w:rsidP="00E63488">
      <w:pPr>
        <w:ind w:firstLine="709"/>
        <w:rPr>
          <w:lang w:eastAsia="en-US"/>
        </w:rPr>
      </w:pP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34"/>
          <w:lang w:eastAsia="en-US"/>
        </w:rPr>
        <w:pict>
          <v:shape id="_x0000_i1076" type="#_x0000_t75" style="width:101.25pt;height:39pt">
            <v:imagedata r:id="rId56" o:title=""/>
          </v:shape>
        </w:pict>
      </w:r>
      <w:r w:rsidR="00E63488" w:rsidRPr="00E63488">
        <w:rPr>
          <w:lang w:eastAsia="en-US"/>
        </w:rPr>
        <w:t xml:space="preserve">; </w:t>
      </w:r>
      <w:r>
        <w:rPr>
          <w:position w:val="-34"/>
          <w:lang w:eastAsia="en-US"/>
        </w:rPr>
        <w:pict>
          <v:shape id="_x0000_i1077" type="#_x0000_t75" style="width:59.25pt;height:39pt">
            <v:imagedata r:id="rId57" o:title=""/>
          </v:shape>
        </w:pict>
      </w:r>
      <w:r w:rsidR="00E63488" w:rsidRPr="00E63488">
        <w:rPr>
          <w:lang w:eastAsia="en-US"/>
        </w:rPr>
        <w:t>;</w:t>
      </w: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34"/>
          <w:lang w:eastAsia="en-US"/>
        </w:rPr>
        <w:pict>
          <v:shape id="_x0000_i1078" type="#_x0000_t75" style="width:110.25pt;height:39pt">
            <v:imagedata r:id="rId58" o:title=""/>
          </v:shape>
        </w:pict>
      </w:r>
      <w:r w:rsidR="00E63488" w:rsidRPr="00E63488">
        <w:rPr>
          <w:lang w:eastAsia="en-US"/>
        </w:rPr>
        <w:t xml:space="preserve">; </w:t>
      </w:r>
      <w:r>
        <w:rPr>
          <w:position w:val="-34"/>
          <w:lang w:eastAsia="en-US"/>
        </w:rPr>
        <w:pict>
          <v:shape id="_x0000_i1079" type="#_x0000_t75" style="width:110.25pt;height:39pt">
            <v:imagedata r:id="rId59" o:title=""/>
          </v:shape>
        </w:pic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111764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>Подставив цифровые значения имеем</w:t>
      </w:r>
    </w:p>
    <w:p w:rsidR="00085BE0" w:rsidRPr="00E63488" w:rsidRDefault="00085BE0" w:rsidP="00E63488">
      <w:pPr>
        <w:ind w:firstLine="709"/>
        <w:rPr>
          <w:lang w:eastAsia="en-US"/>
        </w:rPr>
      </w:pP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34"/>
          <w:lang w:eastAsia="en-US"/>
        </w:rPr>
        <w:pict>
          <v:shape id="_x0000_i1080" type="#_x0000_t75" style="width:426.75pt;height:39pt">
            <v:imagedata r:id="rId60" o:title=""/>
          </v:shape>
        </w:pict>
      </w:r>
      <w:r w:rsidR="00E63488" w:rsidRPr="00E63488">
        <w:rPr>
          <w:lang w:eastAsia="en-US"/>
        </w:rPr>
        <w:t>.</w:t>
      </w: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81" type="#_x0000_t75" style="width:180.75pt;height:18.75pt">
            <v:imagedata r:id="rId61" o:title=""/>
          </v:shape>
        </w:pic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Принимаем толщину слоя керамзитобетона </w:t>
      </w:r>
      <w:r w:rsidR="001151FE">
        <w:rPr>
          <w:position w:val="-12"/>
          <w:lang w:eastAsia="en-US"/>
        </w:rPr>
        <w:pict>
          <v:shape id="_x0000_i1082" type="#_x0000_t75" style="width:50.25pt;height:18.75pt">
            <v:imagedata r:id="rId62" o:title=""/>
          </v:shape>
        </w:pict>
      </w:r>
      <w:r w:rsidRPr="00E63488">
        <w:rPr>
          <w:lang w:eastAsia="en-US"/>
        </w:rPr>
        <w:t xml:space="preserve"> мм</w:t>
      </w:r>
      <w:r w:rsidR="00E63488" w:rsidRPr="00E63488">
        <w:rPr>
          <w:lang w:eastAsia="en-US"/>
        </w:rPr>
        <w:t>.</w:t>
      </w:r>
    </w:p>
    <w:p w:rsidR="00111764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Характеристика тепловой инерции </w:t>
      </w:r>
      <w:r w:rsidRPr="00E63488">
        <w:rPr>
          <w:i/>
          <w:iCs/>
          <w:lang w:eastAsia="en-US"/>
        </w:rPr>
        <w:t>Д</w:t>
      </w:r>
      <w:r w:rsidRPr="00E63488">
        <w:rPr>
          <w:lang w:eastAsia="en-US"/>
        </w:rPr>
        <w:t xml:space="preserve"> вычисляется по формуле</w:t>
      </w:r>
    </w:p>
    <w:p w:rsidR="00085BE0" w:rsidRPr="00E63488" w:rsidRDefault="00085BE0" w:rsidP="00E63488">
      <w:pPr>
        <w:ind w:firstLine="709"/>
        <w:rPr>
          <w:lang w:eastAsia="en-US"/>
        </w:rPr>
      </w:pPr>
    </w:p>
    <w:p w:rsidR="00111764" w:rsidRPr="00E63488" w:rsidRDefault="001151FE" w:rsidP="00E63488">
      <w:pPr>
        <w:ind w:firstLine="709"/>
        <w:rPr>
          <w:lang w:eastAsia="en-US"/>
        </w:rPr>
      </w:pPr>
      <w:r>
        <w:rPr>
          <w:position w:val="-14"/>
          <w:lang w:eastAsia="en-US"/>
        </w:rPr>
        <w:pict>
          <v:shape id="_x0000_i1083" type="#_x0000_t75" style="width:282.75pt;height:21pt">
            <v:imagedata r:id="rId63" o:title=""/>
          </v:shape>
        </w:pict>
      </w:r>
    </w:p>
    <w:p w:rsidR="00111764" w:rsidRPr="00E63488" w:rsidRDefault="001151FE" w:rsidP="00E63488">
      <w:pPr>
        <w:ind w:firstLine="709"/>
        <w:rPr>
          <w:lang w:eastAsia="en-US"/>
        </w:rPr>
      </w:pPr>
      <w:r>
        <w:rPr>
          <w:position w:val="-32"/>
          <w:lang w:eastAsia="en-US"/>
        </w:rPr>
        <w:pict>
          <v:shape id="_x0000_i1084" type="#_x0000_t75" style="width:309pt;height:38.25pt">
            <v:imagedata r:id="rId64" o:title=""/>
          </v:shape>
        </w:pict>
      </w: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10"/>
          <w:lang w:eastAsia="en-US"/>
        </w:rPr>
        <w:pict>
          <v:shape id="_x0000_i1085" type="#_x0000_t75" style="width:185.25pt;height:17.25pt">
            <v:imagedata r:id="rId65" o:title=""/>
          </v:shape>
        </w:pic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111764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Поскольку </w:t>
      </w:r>
      <w:r w:rsidR="001151FE">
        <w:rPr>
          <w:position w:val="-10"/>
          <w:lang w:eastAsia="en-US"/>
        </w:rPr>
        <w:pict>
          <v:shape id="_x0000_i1086" type="#_x0000_t75" style="width:95.25pt;height:17.25pt">
            <v:imagedata r:id="rId66" o:title=""/>
          </v:shape>
        </w:pict>
      </w:r>
      <w:r w:rsidRPr="00E63488">
        <w:rPr>
          <w:lang w:eastAsia="en-US"/>
        </w:rPr>
        <w:t>, ограждение имеет</w:t>
      </w:r>
      <w:r w:rsidR="00E63488">
        <w:rPr>
          <w:lang w:eastAsia="en-US"/>
        </w:rPr>
        <w:t xml:space="preserve"> "</w:t>
      </w:r>
      <w:r w:rsidRPr="00E63488">
        <w:rPr>
          <w:lang w:eastAsia="en-US"/>
        </w:rPr>
        <w:t>среднюю массивность</w:t>
      </w:r>
      <w:r w:rsidR="00E63488">
        <w:rPr>
          <w:lang w:eastAsia="en-US"/>
        </w:rPr>
        <w:t xml:space="preserve">", </w:t>
      </w:r>
      <w:r w:rsidRPr="00E63488">
        <w:rPr>
          <w:lang w:eastAsia="en-US"/>
        </w:rPr>
        <w:t>производим перерасчет, принимая</w:t>
      </w:r>
    </w:p>
    <w:p w:rsidR="00085BE0" w:rsidRPr="00E63488" w:rsidRDefault="00085BE0" w:rsidP="00E63488">
      <w:pPr>
        <w:ind w:firstLine="709"/>
        <w:rPr>
          <w:lang w:eastAsia="en-US"/>
        </w:rPr>
      </w:pP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87" type="#_x0000_t75" style="width:12.75pt;height:21.75pt">
            <v:imagedata r:id="rId67" o:title=""/>
          </v:shape>
        </w:pict>
      </w:r>
      <w:r w:rsidR="00111764" w:rsidRPr="00E63488">
        <w:rPr>
          <w:lang w:eastAsia="en-US"/>
        </w:rPr>
        <w:t xml:space="preserve">= </w:t>
      </w:r>
      <w:r>
        <w:rPr>
          <w:position w:val="-26"/>
          <w:lang w:eastAsia="en-US"/>
        </w:rPr>
        <w:pict>
          <v:shape id="_x0000_i1088" type="#_x0000_t75" style="width:123.75pt;height:36.75pt">
            <v:imagedata r:id="rId68" o:title=""/>
          </v:shape>
        </w:pict>
      </w:r>
      <w:r w:rsidR="00111764" w:rsidRPr="00E63488">
        <w:rPr>
          <w:vertAlign w:val="superscript"/>
          <w:lang w:eastAsia="en-US"/>
        </w:rPr>
        <w:t>0</w:t>
      </w:r>
      <w:r w:rsidR="00111764" w:rsidRPr="00E63488">
        <w:rPr>
          <w:lang w:eastAsia="en-US"/>
        </w:rPr>
        <w:t>С</w:t>
      </w:r>
      <w:r w:rsidR="00E63488" w:rsidRPr="00E63488">
        <w:rPr>
          <w:lang w:eastAsia="en-US"/>
        </w:rPr>
        <w:t>.</w:t>
      </w:r>
    </w:p>
    <w:p w:rsidR="00085BE0" w:rsidRDefault="00085BE0" w:rsidP="00E63488">
      <w:pPr>
        <w:ind w:firstLine="709"/>
        <w:rPr>
          <w:lang w:eastAsia="en-US"/>
        </w:rPr>
      </w:pPr>
    </w:p>
    <w:p w:rsidR="00111764" w:rsidRDefault="00085BE0" w:rsidP="00E63488">
      <w:pPr>
        <w:ind w:firstLine="709"/>
        <w:rPr>
          <w:lang w:eastAsia="en-US"/>
        </w:rPr>
      </w:pPr>
      <w:r w:rsidRPr="00E63488">
        <w:rPr>
          <w:lang w:eastAsia="en-US"/>
        </w:rPr>
        <w:t>Т</w:t>
      </w:r>
      <w:r w:rsidR="00111764" w:rsidRPr="00E63488">
        <w:rPr>
          <w:lang w:eastAsia="en-US"/>
        </w:rPr>
        <w:t>огда</w:t>
      </w:r>
    </w:p>
    <w:p w:rsidR="00085BE0" w:rsidRPr="00E63488" w:rsidRDefault="00085BE0" w:rsidP="00E63488">
      <w:pPr>
        <w:ind w:firstLine="709"/>
        <w:rPr>
          <w:lang w:eastAsia="en-US"/>
        </w:rPr>
      </w:pP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89" type="#_x0000_t75" style="width:24pt;height:21.75pt">
            <v:imagedata r:id="rId51" o:title=""/>
          </v:shape>
        </w:pict>
      </w:r>
      <w:r w:rsidR="00111764" w:rsidRPr="00E63488">
        <w:rPr>
          <w:lang w:eastAsia="en-US"/>
        </w:rPr>
        <w:t xml:space="preserve">= </w:t>
      </w:r>
      <w:r>
        <w:rPr>
          <w:position w:val="-32"/>
          <w:lang w:eastAsia="en-US"/>
        </w:rPr>
        <w:pict>
          <v:shape id="_x0000_i1090" type="#_x0000_t75" style="width:116.25pt;height:39.75pt">
            <v:imagedata r:id="rId69" o:title=""/>
          </v:shape>
        </w:pict>
      </w:r>
      <w:r w:rsidR="00111764" w:rsidRPr="00E63488">
        <w:rPr>
          <w:lang w:eastAsia="en-US"/>
        </w:rPr>
        <w:t xml:space="preserve"> = 0,83 м</w:t>
      </w:r>
      <w:r w:rsidR="00111764" w:rsidRPr="00E63488">
        <w:rPr>
          <w:vertAlign w:val="superscript"/>
          <w:lang w:eastAsia="en-US"/>
        </w:rPr>
        <w:t>2 0</w:t>
      </w:r>
      <w:r w:rsidR="00111764" w:rsidRPr="00E63488">
        <w:rPr>
          <w:lang w:eastAsia="en-US"/>
        </w:rPr>
        <w:t>С/Вт</w:t>
      </w:r>
      <w:r w:rsidR="00E63488" w:rsidRPr="00E63488">
        <w:rPr>
          <w:lang w:eastAsia="en-US"/>
        </w:rPr>
        <w:t>.</w:t>
      </w: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34"/>
          <w:lang w:eastAsia="en-US"/>
        </w:rPr>
        <w:pict>
          <v:shape id="_x0000_i1091" type="#_x0000_t75" style="width:168pt;height:39pt">
            <v:imagedata r:id="rId70" o:title=""/>
          </v:shape>
        </w:pict>
      </w:r>
      <w:r w:rsidR="00E63488" w:rsidRPr="00E63488">
        <w:rPr>
          <w:lang w:eastAsia="en-US"/>
        </w:rPr>
        <w:t>.</w:t>
      </w:r>
    </w:p>
    <w:p w:rsidR="00111764" w:rsidRPr="00E63488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92" type="#_x0000_t75" style="width:180.75pt;height:18.75pt">
            <v:imagedata r:id="rId71" o:title=""/>
          </v:shape>
        </w:pic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Следовательно, толщина слоя керамзитобетона </w:t>
      </w:r>
      <w:r w:rsidR="001151FE">
        <w:rPr>
          <w:position w:val="-12"/>
          <w:lang w:eastAsia="en-US"/>
        </w:rPr>
        <w:pict>
          <v:shape id="_x0000_i1093" type="#_x0000_t75" style="width:50.25pt;height:18.75pt">
            <v:imagedata r:id="rId62" o:title=""/>
          </v:shape>
        </w:pict>
      </w:r>
      <w:r w:rsidRPr="00E63488">
        <w:rPr>
          <w:lang w:eastAsia="en-US"/>
        </w:rPr>
        <w:t xml:space="preserve"> мм</w:t>
      </w:r>
      <w:r w:rsidR="00E63488" w:rsidRPr="00E63488">
        <w:rPr>
          <w:lang w:eastAsia="en-US"/>
        </w:rPr>
        <w:t>.</w:t>
      </w:r>
    </w:p>
    <w:p w:rsidR="00E63488" w:rsidRDefault="00111764" w:rsidP="00E63488">
      <w:pPr>
        <w:ind w:firstLine="709"/>
        <w:rPr>
          <w:lang w:eastAsia="en-US"/>
        </w:rPr>
      </w:pPr>
      <w:r w:rsidRPr="00E63488">
        <w:rPr>
          <w:lang w:eastAsia="en-US"/>
        </w:rPr>
        <w:t xml:space="preserve">Поскольку </w:t>
      </w:r>
      <w:r w:rsidRPr="00E63488">
        <w:rPr>
          <w:i/>
          <w:iCs/>
          <w:lang w:eastAsia="en-US"/>
        </w:rPr>
        <w:t>Д</w:t>
      </w:r>
      <w:r w:rsidRPr="00E63488">
        <w:rPr>
          <w:lang w:eastAsia="en-US"/>
        </w:rPr>
        <w:t xml:space="preserve"> = 4,09, ограждение остается</w:t>
      </w:r>
      <w:r w:rsidR="00E63488">
        <w:rPr>
          <w:lang w:eastAsia="en-US"/>
        </w:rPr>
        <w:t xml:space="preserve"> "</w:t>
      </w:r>
      <w:r w:rsidRPr="00E63488">
        <w:rPr>
          <w:lang w:eastAsia="en-US"/>
        </w:rPr>
        <w:t>средней массивности</w:t>
      </w:r>
      <w:r w:rsidR="00E63488">
        <w:rPr>
          <w:lang w:eastAsia="en-US"/>
        </w:rPr>
        <w:t xml:space="preserve">". </w:t>
      </w:r>
      <w:r w:rsidRPr="00E63488">
        <w:rPr>
          <w:lang w:eastAsia="en-US"/>
        </w:rPr>
        <w:t>Таким образом ограждение удовлетворяет теплотехническим требованиям</w:t>
      </w:r>
      <w:r w:rsidR="00E63488" w:rsidRPr="00E63488">
        <w:rPr>
          <w:lang w:eastAsia="en-US"/>
        </w:rPr>
        <w:t>:</w:t>
      </w:r>
    </w:p>
    <w:p w:rsidR="00085BE0" w:rsidRDefault="00085BE0" w:rsidP="00E63488">
      <w:pPr>
        <w:ind w:firstLine="709"/>
        <w:rPr>
          <w:lang w:eastAsia="en-US"/>
        </w:rPr>
      </w:pP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14"/>
          <w:lang w:eastAsia="en-US"/>
        </w:rPr>
        <w:pict>
          <v:shape id="_x0000_i1094" type="#_x0000_t75" style="width:119.25pt;height:21pt">
            <v:imagedata r:id="rId72" o:title=""/>
          </v:shape>
        </w:pict>
      </w:r>
      <w:r w:rsidR="00E63488" w:rsidRPr="00E63488">
        <w:rPr>
          <w:lang w:eastAsia="en-US"/>
        </w:rPr>
        <w:t>;</w:t>
      </w:r>
    </w:p>
    <w:p w:rsidR="00111764" w:rsidRPr="00E63488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95" type="#_x0000_t75" style="width:300pt;height:18.75pt">
            <v:imagedata r:id="rId73" o:title=""/>
          </v:shape>
        </w:pict>
      </w:r>
      <w:r w:rsidR="00111764" w:rsidRPr="00E63488">
        <w:rPr>
          <w:lang w:eastAsia="en-US"/>
        </w:rPr>
        <w:t>%</w:t>
      </w:r>
    </w:p>
    <w:p w:rsidR="00E63488" w:rsidRDefault="001151FE" w:rsidP="00E63488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96" type="#_x0000_t75" style="width:66pt;height:18.75pt">
            <v:imagedata r:id="rId74" o:title=""/>
          </v:shape>
        </w:pict>
      </w:r>
      <w:r>
        <w:rPr>
          <w:position w:val="-12"/>
          <w:lang w:eastAsia="en-US"/>
        </w:rPr>
        <w:pict>
          <v:shape id="_x0000_i1097" type="#_x0000_t75" style="width:62.25pt;height:21.75pt">
            <v:imagedata r:id="rId75" o:title=""/>
          </v:shape>
        </w:pict>
      </w:r>
    </w:p>
    <w:p w:rsidR="00503ED1" w:rsidRPr="00E63488" w:rsidRDefault="00503ED1" w:rsidP="00E63488">
      <w:pPr>
        <w:ind w:firstLine="709"/>
        <w:rPr>
          <w:lang w:eastAsia="en-US"/>
        </w:rPr>
      </w:pPr>
      <w:bookmarkStart w:id="0" w:name="_GoBack"/>
      <w:bookmarkEnd w:id="0"/>
    </w:p>
    <w:sectPr w:rsidR="00503ED1" w:rsidRPr="00E63488" w:rsidSect="00085BE0">
      <w:footnotePr>
        <w:pos w:val="beneathText"/>
      </w:footnotePr>
      <w:pgSz w:w="11905" w:h="16837"/>
      <w:pgMar w:top="1134" w:right="850" w:bottom="1134" w:left="1701" w:header="680" w:footer="680" w:gutter="0"/>
      <w:pgNumType w:start="1"/>
      <w:cols w:space="72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94" w:rsidRDefault="001C5594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1C5594" w:rsidRDefault="001C5594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BE0" w:rsidRDefault="00085BE0" w:rsidP="00B5036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94" w:rsidRDefault="001C5594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1C5594" w:rsidRDefault="001C5594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BE0" w:rsidRDefault="00085BE0" w:rsidP="00085BE0">
    <w:pPr>
      <w:pStyle w:val="ae"/>
      <w:ind w:right="360"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1CFFE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4">
    <w:nsid w:val="00000006"/>
    <w:multiLevelType w:val="multilevel"/>
    <w:tmpl w:val="00000006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6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7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8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9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792407"/>
    <w:multiLevelType w:val="hybridMultilevel"/>
    <w:tmpl w:val="463CE6AA"/>
    <w:lvl w:ilvl="0" w:tplc="2C286E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  <w:lvlOverride w:ilvl="0">
      <w:lvl w:ilvl="0">
        <w:numFmt w:val="bullet"/>
        <w:lvlText w:val="-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11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6EB"/>
    <w:rsid w:val="00004C88"/>
    <w:rsid w:val="00080AD8"/>
    <w:rsid w:val="00085BE0"/>
    <w:rsid w:val="00094AA7"/>
    <w:rsid w:val="000C08C4"/>
    <w:rsid w:val="000F4631"/>
    <w:rsid w:val="00111764"/>
    <w:rsid w:val="001151FE"/>
    <w:rsid w:val="001A47AC"/>
    <w:rsid w:val="001C1DF5"/>
    <w:rsid w:val="001C5594"/>
    <w:rsid w:val="00201CF2"/>
    <w:rsid w:val="00227033"/>
    <w:rsid w:val="00287F9F"/>
    <w:rsid w:val="002A5E2D"/>
    <w:rsid w:val="00327CB3"/>
    <w:rsid w:val="003A50A9"/>
    <w:rsid w:val="00437E2F"/>
    <w:rsid w:val="00472F06"/>
    <w:rsid w:val="004E3F29"/>
    <w:rsid w:val="00503ED1"/>
    <w:rsid w:val="005D1957"/>
    <w:rsid w:val="006464CF"/>
    <w:rsid w:val="00651BC9"/>
    <w:rsid w:val="006524D9"/>
    <w:rsid w:val="006610D8"/>
    <w:rsid w:val="006A2117"/>
    <w:rsid w:val="00702289"/>
    <w:rsid w:val="007126EB"/>
    <w:rsid w:val="007742E2"/>
    <w:rsid w:val="007905BB"/>
    <w:rsid w:val="007B75C5"/>
    <w:rsid w:val="00852DA7"/>
    <w:rsid w:val="008C19DF"/>
    <w:rsid w:val="008D1AC1"/>
    <w:rsid w:val="008D54BD"/>
    <w:rsid w:val="008E6D90"/>
    <w:rsid w:val="009518DB"/>
    <w:rsid w:val="00954FEE"/>
    <w:rsid w:val="00961FBF"/>
    <w:rsid w:val="00975505"/>
    <w:rsid w:val="009A03F0"/>
    <w:rsid w:val="009B6C93"/>
    <w:rsid w:val="009D57C0"/>
    <w:rsid w:val="00A21C5E"/>
    <w:rsid w:val="00A825BA"/>
    <w:rsid w:val="00A838AD"/>
    <w:rsid w:val="00AA187D"/>
    <w:rsid w:val="00AE552D"/>
    <w:rsid w:val="00AE76CF"/>
    <w:rsid w:val="00B04359"/>
    <w:rsid w:val="00B07D5B"/>
    <w:rsid w:val="00B32DAD"/>
    <w:rsid w:val="00B455E8"/>
    <w:rsid w:val="00B50368"/>
    <w:rsid w:val="00B51E0A"/>
    <w:rsid w:val="00C060C3"/>
    <w:rsid w:val="00C4772F"/>
    <w:rsid w:val="00C55374"/>
    <w:rsid w:val="00C7359B"/>
    <w:rsid w:val="00C84328"/>
    <w:rsid w:val="00CA59D1"/>
    <w:rsid w:val="00CC5E9D"/>
    <w:rsid w:val="00D03803"/>
    <w:rsid w:val="00D20801"/>
    <w:rsid w:val="00D51E62"/>
    <w:rsid w:val="00D6548D"/>
    <w:rsid w:val="00D668C5"/>
    <w:rsid w:val="00DA2493"/>
    <w:rsid w:val="00DB57B7"/>
    <w:rsid w:val="00DF270D"/>
    <w:rsid w:val="00E116D3"/>
    <w:rsid w:val="00E60E50"/>
    <w:rsid w:val="00E63488"/>
    <w:rsid w:val="00E90FC1"/>
    <w:rsid w:val="00ED5FC3"/>
    <w:rsid w:val="00F13D3C"/>
    <w:rsid w:val="00F155B1"/>
    <w:rsid w:val="00F21EE8"/>
    <w:rsid w:val="00F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</o:shapelayout>
  </w:shapeDefaults>
  <w:decimalSymbol w:val=","/>
  <w:listSeparator w:val=";"/>
  <w14:defaultImageDpi w14:val="0"/>
  <w15:chartTrackingRefBased/>
  <w15:docId w15:val="{CF66072B-24F0-413F-9547-E1FBB75C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E63488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E63488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E63488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E63488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E63488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E63488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E63488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E63488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E63488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Vetw">
    <w:name w:val="Vetw"/>
    <w:basedOn w:val="a2"/>
    <w:uiPriority w:val="99"/>
    <w:rsid w:val="007126EB"/>
    <w:pPr>
      <w:ind w:firstLine="709"/>
    </w:pPr>
    <w:rPr>
      <w:lang w:eastAsia="en-US"/>
    </w:rPr>
  </w:style>
  <w:style w:type="paragraph" w:styleId="a6">
    <w:name w:val="Body Text"/>
    <w:basedOn w:val="a2"/>
    <w:link w:val="a7"/>
    <w:uiPriority w:val="99"/>
    <w:rsid w:val="00E63488"/>
    <w:pPr>
      <w:ind w:firstLine="709"/>
    </w:pPr>
    <w:rPr>
      <w:lang w:eastAsia="en-US"/>
    </w:r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  <w:lang w:eastAsia="en-US"/>
    </w:rPr>
  </w:style>
  <w:style w:type="paragraph" w:styleId="a8">
    <w:name w:val="Body Text Indent"/>
    <w:basedOn w:val="a2"/>
    <w:link w:val="a9"/>
    <w:uiPriority w:val="99"/>
    <w:rsid w:val="00E63488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  <w:lang w:eastAsia="en-US"/>
    </w:rPr>
  </w:style>
  <w:style w:type="paragraph" w:customStyle="1" w:styleId="WW-2">
    <w:name w:val="WW-???????? ????? 2"/>
    <w:basedOn w:val="a2"/>
    <w:uiPriority w:val="99"/>
    <w:rsid w:val="00CC5E9D"/>
    <w:pPr>
      <w:spacing w:after="120"/>
      <w:ind w:left="283" w:firstLine="709"/>
    </w:pPr>
    <w:rPr>
      <w:lang w:eastAsia="en-US"/>
    </w:rPr>
  </w:style>
  <w:style w:type="paragraph" w:customStyle="1" w:styleId="WW-3">
    <w:name w:val="WW-???????? ????? ? ???????? 3"/>
    <w:basedOn w:val="a2"/>
    <w:uiPriority w:val="99"/>
    <w:rsid w:val="00CC5E9D"/>
    <w:pPr>
      <w:spacing w:line="400" w:lineRule="exact"/>
      <w:ind w:firstLine="709"/>
    </w:pPr>
    <w:rPr>
      <w:b/>
      <w:bCs/>
      <w:sz w:val="32"/>
      <w:szCs w:val="32"/>
      <w:lang w:eastAsia="en-US"/>
    </w:rPr>
  </w:style>
  <w:style w:type="paragraph" w:styleId="21">
    <w:name w:val="Body Text Indent 2"/>
    <w:basedOn w:val="a2"/>
    <w:link w:val="22"/>
    <w:uiPriority w:val="99"/>
    <w:rsid w:val="00E63488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  <w:lang w:eastAsia="en-US"/>
    </w:rPr>
  </w:style>
  <w:style w:type="table" w:styleId="aa">
    <w:name w:val="Table Grid"/>
    <w:basedOn w:val="a4"/>
    <w:uiPriority w:val="99"/>
    <w:rsid w:val="00E6348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b">
    <w:name w:val="footer"/>
    <w:basedOn w:val="a2"/>
    <w:link w:val="ac"/>
    <w:uiPriority w:val="99"/>
    <w:semiHidden/>
    <w:rsid w:val="00E63488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d">
    <w:name w:val="Верхний колонтитул Знак"/>
    <w:link w:val="ae"/>
    <w:uiPriority w:val="99"/>
    <w:semiHidden/>
    <w:locked/>
    <w:rsid w:val="00E63488"/>
    <w:rPr>
      <w:rFonts w:eastAsia="Times New Roman"/>
      <w:noProof/>
      <w:kern w:val="16"/>
      <w:sz w:val="28"/>
      <w:szCs w:val="28"/>
      <w:lang w:val="ru-RU" w:eastAsia="en-US"/>
    </w:rPr>
  </w:style>
  <w:style w:type="character" w:styleId="af">
    <w:name w:val="page number"/>
    <w:uiPriority w:val="99"/>
    <w:rsid w:val="00E63488"/>
    <w:rPr>
      <w:rFonts w:ascii="Times New Roman" w:hAnsi="Times New Roman" w:cs="Times New Roman"/>
      <w:sz w:val="28"/>
      <w:szCs w:val="28"/>
    </w:rPr>
  </w:style>
  <w:style w:type="paragraph" w:styleId="ae">
    <w:name w:val="header"/>
    <w:basedOn w:val="a2"/>
    <w:next w:val="a6"/>
    <w:link w:val="ad"/>
    <w:uiPriority w:val="99"/>
    <w:rsid w:val="00E63488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f0">
    <w:name w:val="endnote reference"/>
    <w:uiPriority w:val="99"/>
    <w:semiHidden/>
    <w:rsid w:val="00E63488"/>
    <w:rPr>
      <w:vertAlign w:val="superscript"/>
    </w:rPr>
  </w:style>
  <w:style w:type="table" w:styleId="-1">
    <w:name w:val="Table Web 1"/>
    <w:basedOn w:val="a4"/>
    <w:uiPriority w:val="99"/>
    <w:rsid w:val="00E6348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1">
    <w:name w:val="выделение"/>
    <w:uiPriority w:val="99"/>
    <w:rsid w:val="00E6348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E63488"/>
    <w:rPr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8"/>
    <w:uiPriority w:val="99"/>
    <w:rsid w:val="00E6348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3"/>
    <w:uiPriority w:val="99"/>
    <w:locked/>
    <w:rsid w:val="00E6348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2"/>
    <w:uiPriority w:val="99"/>
    <w:rsid w:val="00E63488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E63488"/>
    <w:rPr>
      <w:rFonts w:eastAsia="Times New Roman"/>
      <w:sz w:val="28"/>
      <w:szCs w:val="28"/>
      <w:lang w:val="ru-RU" w:eastAsia="en-US"/>
    </w:rPr>
  </w:style>
  <w:style w:type="character" w:styleId="af5">
    <w:name w:val="footnote reference"/>
    <w:uiPriority w:val="99"/>
    <w:semiHidden/>
    <w:rsid w:val="00E6348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63488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E63488"/>
    <w:pPr>
      <w:numPr>
        <w:numId w:val="12"/>
      </w:numPr>
    </w:pPr>
  </w:style>
  <w:style w:type="paragraph" w:customStyle="1" w:styleId="af6">
    <w:name w:val="литера"/>
    <w:uiPriority w:val="99"/>
    <w:rsid w:val="00E63488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7">
    <w:name w:val="номер страницы"/>
    <w:uiPriority w:val="99"/>
    <w:rsid w:val="00E63488"/>
    <w:rPr>
      <w:sz w:val="28"/>
      <w:szCs w:val="28"/>
    </w:rPr>
  </w:style>
  <w:style w:type="paragraph" w:styleId="af8">
    <w:name w:val="Normal (Web)"/>
    <w:basedOn w:val="a2"/>
    <w:uiPriority w:val="99"/>
    <w:rsid w:val="00E63488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E63488"/>
    <w:pPr>
      <w:ind w:firstLine="709"/>
    </w:pPr>
    <w:rPr>
      <w:lang w:eastAsia="en-US"/>
    </w:rPr>
  </w:style>
  <w:style w:type="paragraph" w:styleId="13">
    <w:name w:val="toc 1"/>
    <w:basedOn w:val="a2"/>
    <w:next w:val="a2"/>
    <w:autoRedefine/>
    <w:uiPriority w:val="99"/>
    <w:semiHidden/>
    <w:rsid w:val="00E63488"/>
    <w:pPr>
      <w:tabs>
        <w:tab w:val="right" w:leader="dot" w:pos="1400"/>
      </w:tabs>
      <w:ind w:firstLine="709"/>
    </w:pPr>
    <w:rPr>
      <w:lang w:eastAsia="en-US"/>
    </w:rPr>
  </w:style>
  <w:style w:type="paragraph" w:styleId="24">
    <w:name w:val="toc 2"/>
    <w:basedOn w:val="a2"/>
    <w:next w:val="a2"/>
    <w:autoRedefine/>
    <w:uiPriority w:val="99"/>
    <w:semiHidden/>
    <w:rsid w:val="00E63488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E63488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E63488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E63488"/>
    <w:pPr>
      <w:ind w:left="958" w:firstLine="709"/>
    </w:pPr>
    <w:rPr>
      <w:lang w:eastAsia="en-US"/>
    </w:rPr>
  </w:style>
  <w:style w:type="paragraph" w:styleId="32">
    <w:name w:val="Body Text Indent 3"/>
    <w:basedOn w:val="a2"/>
    <w:link w:val="33"/>
    <w:uiPriority w:val="99"/>
    <w:rsid w:val="00E63488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a">
    <w:name w:val="содержание"/>
    <w:uiPriority w:val="99"/>
    <w:rsid w:val="00E6348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63488"/>
    <w:pPr>
      <w:numPr>
        <w:numId w:val="13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63488"/>
    <w:pPr>
      <w:numPr>
        <w:numId w:val="1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6348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63488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E6348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63488"/>
    <w:rPr>
      <w:i/>
      <w:iCs/>
    </w:rPr>
  </w:style>
  <w:style w:type="paragraph" w:customStyle="1" w:styleId="afb">
    <w:name w:val="ТАБЛИЦА"/>
    <w:next w:val="a2"/>
    <w:autoRedefine/>
    <w:uiPriority w:val="99"/>
    <w:rsid w:val="00E63488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E63488"/>
  </w:style>
  <w:style w:type="paragraph" w:customStyle="1" w:styleId="afc">
    <w:name w:val="Стиль ТАБЛИЦА + Междустр.интервал:  полуторный"/>
    <w:basedOn w:val="afb"/>
    <w:uiPriority w:val="99"/>
    <w:rsid w:val="00E63488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E63488"/>
  </w:style>
  <w:style w:type="table" w:customStyle="1" w:styleId="15">
    <w:name w:val="Стиль таблицы1"/>
    <w:basedOn w:val="a4"/>
    <w:uiPriority w:val="99"/>
    <w:rsid w:val="00E6348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E63488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E63488"/>
    <w:pPr>
      <w:ind w:firstLine="709"/>
    </w:pPr>
    <w:rPr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E63488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locked/>
    <w:rsid w:val="00E63488"/>
    <w:rPr>
      <w:rFonts w:eastAsia="Times New Roman"/>
      <w:color w:val="000000"/>
      <w:lang w:val="ru-RU" w:eastAsia="en-US"/>
    </w:rPr>
  </w:style>
  <w:style w:type="paragraph" w:customStyle="1" w:styleId="aff2">
    <w:name w:val="титут"/>
    <w:autoRedefine/>
    <w:uiPriority w:val="99"/>
    <w:rsid w:val="00E6348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76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image" Target="media/image63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21.wmf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66" Type="http://schemas.openxmlformats.org/officeDocument/2006/relationships/image" Target="media/image58.wmf"/><Relationship Id="rId74" Type="http://schemas.openxmlformats.org/officeDocument/2006/relationships/image" Target="media/image66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61" Type="http://schemas.openxmlformats.org/officeDocument/2006/relationships/image" Target="media/image53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73" Type="http://schemas.openxmlformats.org/officeDocument/2006/relationships/image" Target="media/image65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77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image" Target="media/image59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4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Hobo inc.</Company>
  <LinksUpToDate>false</LinksUpToDate>
  <CharactersWithSpaces>15994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vetal</dc:creator>
  <cp:keywords/>
  <dc:description/>
  <cp:lastModifiedBy>admin</cp:lastModifiedBy>
  <cp:revision>2</cp:revision>
  <cp:lastPrinted>2008-06-07T14:38:00Z</cp:lastPrinted>
  <dcterms:created xsi:type="dcterms:W3CDTF">2014-02-23T18:59:00Z</dcterms:created>
  <dcterms:modified xsi:type="dcterms:W3CDTF">2014-02-23T18:59:00Z</dcterms:modified>
</cp:coreProperties>
</file>