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B5" w:rsidRDefault="0010194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Развитие принципов корпоративного управления в Чешской Республике.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января 2003 года вступил в законную силу Кодекс наилучшей корпоративной практики Чешской Республики, наряду с этим готовится договор о вступлении ЧР в Европейский Союз. Чехия имеет много схожих черт, с другими постсоветскими государствами, включая: Россию, Беларусь, Украину. Однако стоит так же заметить, что в отличие от последнего указанного нами государства, Чехи довольно реалистично оценивают свои шансы и уровень участия в Евро Союзе. (Так, например, Чешское правительство, в частности Мин Фин. ЧР, планирует введение единой европейской валюты «Евро» в Чехии только к 2010 году). Чехи, принялись за дело очень обстоятельно один договор о вступлении в ЕС 5000 листов, но главное это то как проходит у них процесс изменения законодательства, изменения корпоративной культуры (или корпоративной философии), и на это стоит обратить своё внимание.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интеграции стран Западной Европы в единое экономическое сообщество был бы невозможен без сближения их правовых систем. Задолго до введения единой валюты страны – участники начали работу по формированию однородной системы нормативного регулирования. Этот процесс, в первую очередь, затронул корпоративные отношения. </w:t>
      </w:r>
      <w:r>
        <w:rPr>
          <w:color w:val="000000"/>
          <w:sz w:val="24"/>
          <w:szCs w:val="24"/>
          <w:vertAlign w:val="superscript"/>
        </w:rPr>
        <w:t>[2]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Последующие события, связанные с крушением СЭВ вызвали стремление ряда его бывших членов к вступлению в Европейский Союз. Это потребовало приведения национального законодательства данных стран в соответствие со стандартами Евросоюза. Вполне естественно, что процесс развития корпоративного права в указанных странах представляет определённый интерес, поскольку проблема привлечения западных инвестиций и вхождения Чехии в мировую экономическую систему вызывает те же процессы и в Российской Федерации. Тем более, что модели корпоративного управления в постсоветских государствах отличаются от моделей сложившихся в государствах с развитыми рынками капитала </w:t>
      </w:r>
      <w:r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. Это обусловлено переходным процессом от сложившейся за долгие годы бытности плановой экономики системы советского публичного гражданского права к западной системе частного гражданского права. </w:t>
      </w:r>
      <w:r>
        <w:rPr>
          <w:color w:val="000000"/>
          <w:sz w:val="24"/>
          <w:szCs w:val="24"/>
          <w:vertAlign w:val="superscript"/>
        </w:rPr>
        <w:t>[4]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всём постсоветском пространстве можно выделить две группы государств, в которых существуют различные по своей сущности модели корпоративного законодательства.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модель, характерна полным самоустранением государства от проблем корпоративного управления. В качестве примера, можно привести Эстонию. </w:t>
      </w: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 xml:space="preserve">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модель, характерна тем, что государственные структуры, стараются создать наиболее благоприятные условия для развития корпоративного регулирования, привить определённые стандарты и принципы поведения субъектам внутрикорпоративных отношений. Одним из таких государств является Чехия. Здесь, привлечение инвестиций оставалось наиболее слабым звеном сложившейся модели рынка в течение всех 90-х гг. Приватизация не привела к заметным улучшениям в этой сфере. </w:t>
      </w:r>
      <w:r>
        <w:rPr>
          <w:color w:val="000000"/>
          <w:sz w:val="24"/>
          <w:szCs w:val="24"/>
          <w:vertAlign w:val="superscript"/>
        </w:rPr>
        <w:t>[6]</w:t>
      </w:r>
      <w:r>
        <w:rPr>
          <w:color w:val="000000"/>
          <w:sz w:val="24"/>
          <w:szCs w:val="24"/>
        </w:rPr>
        <w:t xml:space="preserve"> Одной из причин низкой активности инвесторов являлась слабая законодательная защищённость прав акционеров при отсутствии обычаев делового оборота. В Американском подходе к Европейской стандартизации указывается, что американские компании видят серьезным препятствием своему участию на новых рынках постсоветского пространства отсутствие традиционной корпоративной культуры, и единообразия в понимании определённых норм бизнеса (деловых обычаев). Нетрадиционная торговая деятельность присущая национальным компаниям этих государств создаёт серьёзные интеграционные барьеры. </w:t>
      </w:r>
      <w:r>
        <w:rPr>
          <w:color w:val="000000"/>
          <w:sz w:val="24"/>
          <w:szCs w:val="24"/>
          <w:vertAlign w:val="superscript"/>
        </w:rPr>
        <w:t>[7]</w:t>
      </w:r>
      <w:r>
        <w:rPr>
          <w:color w:val="000000"/>
          <w:sz w:val="24"/>
          <w:szCs w:val="24"/>
        </w:rPr>
        <w:t xml:space="preserve"> Американский подход к Европейской стандартизации, предлагал определённый набор стандартов, которые позволили бы повысить уровень защиты прав и интересов акционеров и инвесторов, за счёт модификации структуры управления в коммерческих организациях. При этом подчёркивалось, что в большей степени это касается государств кандидатов на вступление в ЕС, каковым является Чехия.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беспокойств со стороны иностранных инвесторов, заключалась в наличии многочисленных конфликтов интересов, между менеджментом и инвесторами, и между самими акционерами. Основными причинами конфликтов являлось отсутствие соблюдения торговых принципов выработанных практикой развитых государств.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2000 году Чехия, учитывая вышеприведённые рекомендации, начинает реформировать национальное законодательство, стараясь достичь европейских стандартов. </w:t>
      </w: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 xml:space="preserve"> Особое внимание уделяется, с одной стороны вопросам нормативного закрепления механизма защиты прав акционеров и инвесторов, с другой, развитию культуры корпоративного управления. При этом упор делается на развитие принципов корпоративного управления. С этой целью принимаются поправки к Торговому кодексу Чешской Республики. Изменения касаются новых стандартов в управлении коммерческой организацией, в частности, ужесточены требования к руководителям и членам совета директоров компаний, все сведенья о них включая судимость, должны предоставляться в коммерческий суд города по месту регистрации. Ужесточены требования к самой регистрации. Увеличен минимальный размер уставного капитала корпораций. </w:t>
      </w:r>
      <w:r>
        <w:rPr>
          <w:color w:val="000000"/>
          <w:sz w:val="24"/>
          <w:szCs w:val="24"/>
          <w:vertAlign w:val="superscript"/>
        </w:rPr>
        <w:t>[9]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Параллельно с внесением изменений в Торговый Кодекс, Чешская Комиссия по Ценным Бумагам (SEC of Czech Republic) опубликовала основные направления в развитии рынка ценных бумаг и регулирования деятельности коммерческих организаций являвшихся эмитентами в Чешской Республике. </w:t>
      </w:r>
      <w:r>
        <w:rPr>
          <w:color w:val="000000"/>
          <w:sz w:val="24"/>
          <w:szCs w:val="24"/>
          <w:vertAlign w:val="superscript"/>
        </w:rPr>
        <w:t>[10]</w:t>
      </w:r>
      <w:r>
        <w:rPr>
          <w:color w:val="000000"/>
          <w:sz w:val="24"/>
          <w:szCs w:val="24"/>
        </w:rPr>
        <w:t xml:space="preserve"> Комиссия приняла решение воспользоваться моделью принятой в странах англо-американской системы права, где биржи самостоятельно устанавливают нормы и требования, предъявляемые к эмитентам, отказавшись от принципа государственного принуждения, на который делал упор Торговый Кодекс. Это создало предпосылки к формированию системы негосударственного регулирования внутри корпоративных отношений с упором на принцип экономической целесообразности. Компания должна соблюдать принципы и нормы принятые биржей для увеличения капитализации и сохранения деловой репутации.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сентябре 2000 года приглашённой группой английских экспертов </w:t>
      </w:r>
      <w:r>
        <w:rPr>
          <w:color w:val="000000"/>
          <w:sz w:val="24"/>
          <w:szCs w:val="24"/>
          <w:vertAlign w:val="superscript"/>
        </w:rPr>
        <w:t>[11]</w:t>
      </w:r>
      <w:r>
        <w:rPr>
          <w:color w:val="000000"/>
          <w:sz w:val="24"/>
          <w:szCs w:val="24"/>
        </w:rPr>
        <w:t xml:space="preserve"> был подготовлен Кодекс наилучшей практики корпоративного управления. В Кодексе были учтены как основные европейские принципы Корпоративного управления (принципы ОЭСР), </w:t>
      </w:r>
      <w:r>
        <w:rPr>
          <w:color w:val="000000"/>
          <w:sz w:val="24"/>
          <w:szCs w:val="24"/>
          <w:vertAlign w:val="superscript"/>
        </w:rPr>
        <w:t>[12]</w:t>
      </w:r>
      <w:r>
        <w:rPr>
          <w:color w:val="000000"/>
          <w:sz w:val="24"/>
          <w:szCs w:val="24"/>
        </w:rPr>
        <w:t xml:space="preserve"> так и рекомендации Combined Code (принципы работы Лондонской Фондовой Биржи). </w:t>
      </w:r>
      <w:r>
        <w:rPr>
          <w:color w:val="000000"/>
          <w:sz w:val="24"/>
          <w:szCs w:val="24"/>
          <w:vertAlign w:val="superscript"/>
        </w:rPr>
        <w:t>[13]</w:t>
      </w:r>
      <w:r>
        <w:rPr>
          <w:color w:val="000000"/>
          <w:sz w:val="24"/>
          <w:szCs w:val="24"/>
        </w:rPr>
        <w:t xml:space="preserve"> Существенное развитие получили принципы корпоративного управления: 1) открытость; 2) честность (integrity); </w:t>
      </w: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 3) ответственность. </w:t>
      </w:r>
      <w:r>
        <w:rPr>
          <w:color w:val="000000"/>
          <w:sz w:val="24"/>
          <w:szCs w:val="24"/>
          <w:vertAlign w:val="superscript"/>
        </w:rPr>
        <w:t>[15]</w:t>
      </w:r>
      <w:r>
        <w:rPr>
          <w:color w:val="000000"/>
          <w:sz w:val="24"/>
          <w:szCs w:val="24"/>
        </w:rPr>
        <w:t xml:space="preserve"> Эти три принципа по идее создателей Кодекса должны стать гарантиями для обеспечения защиты прав и законных интересов, акционеров и инвесторов.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Собственно открытость предполагает раскрытие информации, которая позволяла бы повысить эффективность работы менеджмента компании. Это демонстрация работы менеджмента, поощрение правления за эффективную работу, что позволяет акционерам, а так же возможным инвесторам и кредиторам тщательно изучить деятельность компании в полном объёме. Согласно разделу 5 Кодекса к открытой информации относятся: финансовые и оперативные результаты работы; планы развития компании; список аффилированных лиц; информация о праве голоса на общем собрании акционеров; список членов правления, и их вознаграждения; оценка коммерческих рисков; материалы о конфликтах между работниками и заинтересованными лицами. </w:t>
      </w:r>
      <w:r>
        <w:rPr>
          <w:color w:val="000000"/>
          <w:sz w:val="24"/>
          <w:szCs w:val="24"/>
          <w:vertAlign w:val="superscript"/>
        </w:rPr>
        <w:t>[16]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 должна отвечать критериям доступности и своевременности (sub sec. 5.7 Кодекса). Единственным пределом ограничения раскрытия информации является конкурентоспособность компании.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«открытость» это контроль за управляющими, и определение системы взаимосвязи между управлением (или определённым его органом) и акционером, либо иными лицами, действующими в частном или публичном интересе в компании, </w:t>
      </w:r>
      <w:r>
        <w:rPr>
          <w:color w:val="000000"/>
          <w:sz w:val="24"/>
          <w:szCs w:val="24"/>
          <w:vertAlign w:val="superscript"/>
        </w:rPr>
        <w:t>[17]</w:t>
      </w:r>
      <w:r>
        <w:rPr>
          <w:color w:val="000000"/>
          <w:sz w:val="24"/>
          <w:szCs w:val="24"/>
        </w:rPr>
        <w:t xml:space="preserve"> то «честность», это внутренний контроль за управляющими, осуществляемый лицами, специально назначенными акционерами с этой целью. «Компания должна учредить специальные комиссии, в которые должны входить самостоятельные от органов управления и менеджмента члены, отвечающие за аудит и основные финансовые характеристики компании» (sec 1 sub 4 Кодекса).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Большое внимание Кодекс уделяет независимым членам совета директоров и контрольной комиссии. Независимость становиться качественным элементом характеризующим профессионала новой формации - «цель Кодекса будет достигнута, если в компаниях начнёт расти процент самостоятельно мыслящих, независимых от чужой воли профессионалов, такие компании выйдут на уровень данного Кодекса, и составят элиту чешского бизнеса». </w:t>
      </w:r>
      <w:r>
        <w:rPr>
          <w:color w:val="000000"/>
          <w:sz w:val="24"/>
          <w:szCs w:val="24"/>
          <w:vertAlign w:val="superscript"/>
        </w:rPr>
        <w:t>[18]</w:t>
      </w:r>
      <w:r>
        <w:rPr>
          <w:color w:val="000000"/>
          <w:sz w:val="24"/>
          <w:szCs w:val="24"/>
        </w:rPr>
        <w:t xml:space="preserve"> Независимость в принятии решений снижает возможность появления конфликтов, и увеличивает уровень саморегулирования организации.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Кодекс содержит ряд норм призывающих компании, к «прозрачному рынку», где между контрагентами, должностными лицами открыт обмен информацией, а информация, связанная с торговлей, и котировками, открыта для неограниченного доступа. Участники подобного рынка называются открытыми компаниями, публично раскрывающими информацию, влияющую на ситуацию на рынке. </w:t>
      </w:r>
      <w:r>
        <w:rPr>
          <w:color w:val="000000"/>
          <w:sz w:val="24"/>
          <w:szCs w:val="24"/>
          <w:vertAlign w:val="superscript"/>
        </w:rPr>
        <w:t>[19]</w:t>
      </w:r>
      <w:r>
        <w:rPr>
          <w:color w:val="000000"/>
          <w:sz w:val="24"/>
          <w:szCs w:val="24"/>
        </w:rPr>
        <w:t xml:space="preserve"> «Компания должна гарантировать открытость всех текущих фондов своих долгосрочных и краткосрочных обязательств, что позволило бы точно определить возможные непропорциональности в использовании средств» (sec3 sub 1 Кодекса).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 ответственности выражается в экономической целесообразности, основной характеристикой которой является деловая репутация. При её утере привлекательность компании падает и наблюдается снижение котировок её акций. Ответственность, проявляется в том, что субъекты корпоративных отношений должны наиболее эффективно выполнять свои обязанности, акционеры должны выбирать профессионалов в совет директоров и контрольный совет (аннотация к sub 1 Кодекса), а менеджмент и контрольные органы должны соответствующим образом выполнять свои обязанности (sub 6 Кодекса).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Кодекса является и то, что он не содержит санкций. Вопросы ответственности менеджмента, акционеров и инвесторов отнесены к компетенции самих компаний, выносятся на их внутри организационный уровень. Ответственность же самих корпораций заключается в том имидже, который они себе создают, соблюдая или не соблюдая нормы Кодекса. Пражская Фондовая Биржа, ведёт список компаний соблюдающих Кодекс, публикуя его в ежегодном рапорте. Чешская Комиссия по ценным бумагам ежегодно представляет Мировому Банку заключение с анализом соблюдения корпорациями норм Кодекса.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 чешская модель правового регулирования корпоративных отношений сочетает в себе государственное регулирование с саморегулированием, что способствует с одной стороны развитию свободы этих отношений, с другой, более надёжной защите прав собственников. Последняя строится не только на законодательстве, но уже в большей мере, на деловых обычаях, нарушение которых влечёт за собой утерю доброго имени. Динамика же изменении в системе управления коммерческими организациями, характеризуется тремя составляющими. Во-первых, раскрытие информации предоставляющей акционерам возможность оценить финансовое положение компании и работу менеджмента, что в перспективе создаёт предпосылки к формированию «открытого рынка». Во-вторых, установление двойного контроля (как со стороны государства, так и со стороны собственников) за деятельностью менеджмента, что в перспективе может содействовать созданию эффективной системы борьбы с махинациями. </w:t>
      </w:r>
      <w:r>
        <w:rPr>
          <w:color w:val="000000"/>
          <w:sz w:val="24"/>
          <w:szCs w:val="24"/>
          <w:vertAlign w:val="superscript"/>
        </w:rPr>
        <w:t>[20]</w:t>
      </w:r>
      <w:r>
        <w:rPr>
          <w:color w:val="000000"/>
          <w:sz w:val="24"/>
          <w:szCs w:val="24"/>
        </w:rPr>
        <w:t xml:space="preserve"> В-третьих, анализ практики применения Кодекса позволит разработать более эффективные методы устранения и разрешения корпоративных конфликтов.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В.В. Мухамедзянов</w:t>
      </w:r>
    </w:p>
    <w:p w:rsidR="00E106B5" w:rsidRDefault="0010194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[1]</w:t>
      </w:r>
      <w:r>
        <w:rPr>
          <w:color w:val="000000"/>
          <w:sz w:val="24"/>
          <w:szCs w:val="24"/>
        </w:rPr>
        <w:t xml:space="preserve"> Студент 5 курса Коломенского Государственного Педагогического Института г. Коломна. Научный руководитель кандидат юридических наук А.Б. Артемьев.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[2]</w:t>
      </w:r>
      <w:r>
        <w:rPr>
          <w:color w:val="000000"/>
          <w:sz w:val="24"/>
          <w:szCs w:val="24"/>
        </w:rPr>
        <w:t xml:space="preserve"> Этим объясняется «затишье» в работе Совета Европейского союза Двенадцатая директива ЕС о корпоративном праве была принята 21 декабря 1989 года. Подробней См: А Надмитов. Европейская компания становится реальность // Хозяйство и право 2002 №10 с.82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  <w:vertAlign w:val="superscript"/>
          <w:lang w:val="en-US"/>
        </w:rPr>
        <w:t>[3]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  <w:lang w:val="en-US"/>
        </w:rPr>
        <w:t xml:space="preserve">: Mark J. Roy Part of dependence in corporate governance and ownership - &lt;http://law.columbia.edu/law-economicstudies/papers/workp131.pdf [10.02.03]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 Более подробно об этом процессе см: Данилов А.Н. Переходное общество: проблемы современной трансформации – Мн.: ООО «Харвест», 1998. с.152-283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[5]</w:t>
      </w:r>
      <w:r>
        <w:rPr>
          <w:color w:val="000000"/>
          <w:sz w:val="24"/>
          <w:szCs w:val="24"/>
        </w:rPr>
        <w:t xml:space="preserve"> Радыгин А.Д. Мальгинов Г.Н. Анализ проблем и рекомендации по защите прав акционеров (инвесторов) - &lt;http://iet.ru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</w:rPr>
        <w:t xml:space="preserve"> [6]</w:t>
      </w:r>
      <w:r>
        <w:rPr>
          <w:color w:val="000000"/>
          <w:sz w:val="24"/>
          <w:szCs w:val="24"/>
        </w:rPr>
        <w:t xml:space="preserve"> Радыгин А.Д. Энтов Р.М. Корпоративное управление и защита прав собственности: эмпирический анализ и актуальные направления реформ. Институт экономики переходного периода. </w:t>
      </w:r>
      <w:r>
        <w:rPr>
          <w:color w:val="000000"/>
          <w:sz w:val="24"/>
          <w:szCs w:val="24"/>
          <w:lang w:val="en-US"/>
        </w:rPr>
        <w:t xml:space="preserve">2001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 xml:space="preserve">., 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.121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[7]</w:t>
      </w:r>
      <w:r>
        <w:rPr>
          <w:color w:val="000000"/>
          <w:sz w:val="24"/>
          <w:szCs w:val="24"/>
          <w:lang w:val="en-US"/>
        </w:rPr>
        <w:t xml:space="preserve"> American Access to the European Standardization Process. American National Standards Institute - &lt;http://ansi.org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 xml:space="preserve"> Как мы знаем, первая стадия развития чешского корпоративного права, начавшаяся в 1991 году принятием Торгового кодекса носила, в какой то мере, лишь подготовительный характер.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[9]</w:t>
      </w:r>
      <w:r>
        <w:rPr>
          <w:color w:val="000000"/>
          <w:sz w:val="24"/>
          <w:szCs w:val="24"/>
        </w:rPr>
        <w:t xml:space="preserve"> См подробнее: C. Саенко Изменения Торгового Кодекса Чешской Республики -&lt; http://ifopraga.com [10.02.03]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  <w:vertAlign w:val="superscript"/>
          <w:lang w:val="en-US"/>
        </w:rPr>
        <w:t>[10]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  <w:lang w:val="en-US"/>
        </w:rPr>
        <w:t xml:space="preserve"> Mission of Security Emission Commit - &lt;http://sec.cz [10.02.03]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[11]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Джейни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Милз</w:t>
      </w:r>
      <w:r>
        <w:rPr>
          <w:color w:val="000000"/>
          <w:sz w:val="24"/>
          <w:szCs w:val="24"/>
          <w:lang w:val="en-US"/>
        </w:rPr>
        <w:t xml:space="preserve"> (Jennie Mills) </w:t>
      </w:r>
      <w:r>
        <w:rPr>
          <w:color w:val="000000"/>
          <w:sz w:val="24"/>
          <w:szCs w:val="24"/>
        </w:rPr>
        <w:t>Барри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Бирд</w:t>
      </w:r>
      <w:r>
        <w:rPr>
          <w:color w:val="000000"/>
          <w:sz w:val="24"/>
          <w:szCs w:val="24"/>
          <w:lang w:val="en-US"/>
        </w:rPr>
        <w:t xml:space="preserve"> (Barry Bird), </w:t>
      </w:r>
      <w:r>
        <w:rPr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  <w:lang w:val="en-US"/>
        </w:rPr>
        <w:t xml:space="preserve"> British Know How Fund.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[12]</w:t>
      </w:r>
      <w:r>
        <w:rPr>
          <w:color w:val="000000"/>
          <w:sz w:val="24"/>
          <w:szCs w:val="24"/>
          <w:lang w:val="en-US"/>
        </w:rPr>
        <w:t xml:space="preserve"> Principles of best corporate practice Organization for Economic Cooperation and Development - &lt;http://rid.ru/db.php?db_id=31&amp;1=ru [10.02.03]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[13]</w:t>
      </w:r>
      <w:r>
        <w:rPr>
          <w:color w:val="000000"/>
          <w:sz w:val="24"/>
          <w:szCs w:val="24"/>
          <w:lang w:val="en-US"/>
        </w:rPr>
        <w:t xml:space="preserve"> Combined Code </w:t>
      </w:r>
      <w:r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электронной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странице</w:t>
      </w:r>
      <w:r>
        <w:rPr>
          <w:color w:val="000000"/>
          <w:sz w:val="24"/>
          <w:szCs w:val="24"/>
          <w:lang w:val="en-US"/>
        </w:rPr>
        <w:t xml:space="preserve"> -&lt;http:// fsa.gov.uk/publs/ukla/lr_comcode.pdf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 Термин integrity – переводится в ряде документов, например в русском варианте аннотации принципов ОЭСР на электронной .странице -&lt;http//rid.ru [10.02.03] как целостность.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[15]</w:t>
      </w:r>
      <w:r>
        <w:rPr>
          <w:color w:val="000000"/>
          <w:sz w:val="24"/>
          <w:szCs w:val="24"/>
        </w:rPr>
        <w:t xml:space="preserve"> Преамбула к чешскому Кодексу наилучшей корпоративной практики.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  <w:vertAlign w:val="superscript"/>
          <w:lang w:val="en-US"/>
        </w:rPr>
        <w:t>[16]</w:t>
      </w:r>
      <w:r>
        <w:rPr>
          <w:color w:val="000000"/>
          <w:sz w:val="24"/>
          <w:szCs w:val="24"/>
          <w:lang w:val="en-US"/>
        </w:rPr>
        <w:t xml:space="preserve"> Corporate Governance Code Based on the OECD Principles section 5 sub sec1-6. 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color w:val="000000"/>
          <w:sz w:val="24"/>
          <w:szCs w:val="24"/>
          <w:vertAlign w:val="superscript"/>
        </w:rPr>
        <w:t>[17]</w:t>
      </w:r>
      <w:r>
        <w:rPr>
          <w:color w:val="000000"/>
          <w:sz w:val="24"/>
          <w:szCs w:val="24"/>
        </w:rPr>
        <w:t xml:space="preserve"> Это прежде всего исходя из специфики Чешской корпоративной модели Комиссия по ценным бумагам, Пражская Фондовая биржа, Антимонопольный комитет.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[18]</w:t>
      </w:r>
      <w:r>
        <w:rPr>
          <w:color w:val="000000"/>
          <w:sz w:val="24"/>
          <w:szCs w:val="24"/>
        </w:rPr>
        <w:t xml:space="preserve"> Комментарий к sec 1 Кодекса.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[19]</w:t>
      </w:r>
      <w:r>
        <w:rPr>
          <w:color w:val="000000"/>
          <w:sz w:val="24"/>
          <w:szCs w:val="24"/>
        </w:rPr>
        <w:t xml:space="preserve"> Источник -&lt;http://corp-gov.ru [10.02.03]</w:t>
      </w:r>
    </w:p>
    <w:p w:rsidR="00E106B5" w:rsidRDefault="001019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[20]</w:t>
      </w:r>
      <w:r>
        <w:rPr>
          <w:color w:val="000000"/>
          <w:sz w:val="24"/>
          <w:szCs w:val="24"/>
        </w:rPr>
        <w:t xml:space="preserve"> Данная проблема стала наиболее актуальной для всей мировой экономики после банкротства WorldCom в 2002 году.</w:t>
      </w:r>
      <w:bookmarkStart w:id="0" w:name="_GoBack"/>
      <w:bookmarkEnd w:id="0"/>
    </w:p>
    <w:sectPr w:rsidR="00E106B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0054"/>
    <w:multiLevelType w:val="hybridMultilevel"/>
    <w:tmpl w:val="7EEA4C28"/>
    <w:lvl w:ilvl="0" w:tplc="2196B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40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0E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9CEE9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C896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1AB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7C08A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E100D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BB6F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343CE6"/>
    <w:multiLevelType w:val="hybridMultilevel"/>
    <w:tmpl w:val="F34E84F0"/>
    <w:lvl w:ilvl="0" w:tplc="92AAE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5EB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16AE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6D0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8588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163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3C04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46D3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29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72F15D3"/>
    <w:multiLevelType w:val="hybridMultilevel"/>
    <w:tmpl w:val="F99C5ABE"/>
    <w:lvl w:ilvl="0" w:tplc="89308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DC05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232D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C76BA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33869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B2D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449A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E408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82B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2D1F83"/>
    <w:multiLevelType w:val="hybridMultilevel"/>
    <w:tmpl w:val="5D502022"/>
    <w:lvl w:ilvl="0" w:tplc="1C68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E8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8E9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D4B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008E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B4E06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FA33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6A6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854D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CCF7196"/>
    <w:multiLevelType w:val="hybridMultilevel"/>
    <w:tmpl w:val="CA98CC58"/>
    <w:lvl w:ilvl="0" w:tplc="FEDA7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376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4C4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6C52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498A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BC89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0A03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6263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97E9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F460401"/>
    <w:multiLevelType w:val="hybridMultilevel"/>
    <w:tmpl w:val="B10250FE"/>
    <w:lvl w:ilvl="0" w:tplc="708E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05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AF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07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3C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63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82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5C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C3A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62C5A"/>
    <w:multiLevelType w:val="hybridMultilevel"/>
    <w:tmpl w:val="5178D358"/>
    <w:lvl w:ilvl="0" w:tplc="8C145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CA7F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2C6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24E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11252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C249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7F0B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82A4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741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7855293"/>
    <w:multiLevelType w:val="hybridMultilevel"/>
    <w:tmpl w:val="2AE027F2"/>
    <w:lvl w:ilvl="0" w:tplc="B1408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06B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32E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6299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EA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AEAB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2680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CAC4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166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EAA2DA5"/>
    <w:multiLevelType w:val="hybridMultilevel"/>
    <w:tmpl w:val="BC28BFEA"/>
    <w:lvl w:ilvl="0" w:tplc="18584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C0A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347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BE30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45058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C82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2A16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F7C1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86A8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A014E9E"/>
    <w:multiLevelType w:val="hybridMultilevel"/>
    <w:tmpl w:val="790C5778"/>
    <w:lvl w:ilvl="0" w:tplc="2428A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30F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FC9F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B0EF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08D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22A22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2C254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E688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58E5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A8C33BA"/>
    <w:multiLevelType w:val="hybridMultilevel"/>
    <w:tmpl w:val="52527D1C"/>
    <w:lvl w:ilvl="0" w:tplc="FC4EF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53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BCB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0C6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3A8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9C6D0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AD4F8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7CF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A30A9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4E10EEC"/>
    <w:multiLevelType w:val="hybridMultilevel"/>
    <w:tmpl w:val="670E1C8A"/>
    <w:lvl w:ilvl="0" w:tplc="450C3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80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36D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FDE1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8884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78F5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9059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D7A51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B82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77A2F52"/>
    <w:multiLevelType w:val="hybridMultilevel"/>
    <w:tmpl w:val="30CC479A"/>
    <w:lvl w:ilvl="0" w:tplc="72B02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BAE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A2D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A3811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38A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F960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FCE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62EF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A09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7E11C83"/>
    <w:multiLevelType w:val="hybridMultilevel"/>
    <w:tmpl w:val="0C28C324"/>
    <w:lvl w:ilvl="0" w:tplc="BEF66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8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E6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A7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EB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E2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07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89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AE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56325"/>
    <w:multiLevelType w:val="hybridMultilevel"/>
    <w:tmpl w:val="898E714C"/>
    <w:lvl w:ilvl="0" w:tplc="0E9E0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567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582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E360B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E249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994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DA9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AEC1B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AE6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6186E04"/>
    <w:multiLevelType w:val="hybridMultilevel"/>
    <w:tmpl w:val="E0F0FFAC"/>
    <w:lvl w:ilvl="0" w:tplc="FE8CD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4C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2E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02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22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48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4A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2EA5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20806"/>
    <w:multiLevelType w:val="hybridMultilevel"/>
    <w:tmpl w:val="12245A16"/>
    <w:lvl w:ilvl="0" w:tplc="7DBAB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229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F38C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4AF9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38CD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886B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6C4A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AD07A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9BC6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7847BDD"/>
    <w:multiLevelType w:val="hybridMultilevel"/>
    <w:tmpl w:val="2F621918"/>
    <w:lvl w:ilvl="0" w:tplc="28582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CC45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C8F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1A7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12D4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342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08CD1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EAC2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86A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8D15C74"/>
    <w:multiLevelType w:val="hybridMultilevel"/>
    <w:tmpl w:val="36D64178"/>
    <w:lvl w:ilvl="0" w:tplc="21761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D0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D7A6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742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60A4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34D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D29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B414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FC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C280D75"/>
    <w:multiLevelType w:val="hybridMultilevel"/>
    <w:tmpl w:val="D4D8D9F2"/>
    <w:lvl w:ilvl="0" w:tplc="90E62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EB4E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840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1694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E213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34B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88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566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8261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D657CF7"/>
    <w:multiLevelType w:val="hybridMultilevel"/>
    <w:tmpl w:val="D626FAC6"/>
    <w:lvl w:ilvl="0" w:tplc="178A4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F2F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525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0E03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28D0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122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57ECA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0B622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A665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0245CE2"/>
    <w:multiLevelType w:val="hybridMultilevel"/>
    <w:tmpl w:val="2326E2E2"/>
    <w:lvl w:ilvl="0" w:tplc="A6407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B1C1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28D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CFEF6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003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0029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746D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DCB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04F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6847F06"/>
    <w:multiLevelType w:val="hybridMultilevel"/>
    <w:tmpl w:val="C5CE08FC"/>
    <w:lvl w:ilvl="0" w:tplc="09401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A85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06E0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4813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324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EC7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9A4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163E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632D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D464457"/>
    <w:multiLevelType w:val="hybridMultilevel"/>
    <w:tmpl w:val="1E8055D4"/>
    <w:lvl w:ilvl="0" w:tplc="1D4E9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DC5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51A13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2CA9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8432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A24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38ED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C007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803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2"/>
  </w:num>
  <w:num w:numId="5">
    <w:abstractNumId w:val="20"/>
  </w:num>
  <w:num w:numId="6">
    <w:abstractNumId w:val="22"/>
  </w:num>
  <w:num w:numId="7">
    <w:abstractNumId w:val="17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21"/>
  </w:num>
  <w:num w:numId="13">
    <w:abstractNumId w:val="19"/>
  </w:num>
  <w:num w:numId="14">
    <w:abstractNumId w:val="11"/>
  </w:num>
  <w:num w:numId="15">
    <w:abstractNumId w:val="7"/>
  </w:num>
  <w:num w:numId="16">
    <w:abstractNumId w:val="0"/>
  </w:num>
  <w:num w:numId="17">
    <w:abstractNumId w:val="14"/>
  </w:num>
  <w:num w:numId="18">
    <w:abstractNumId w:val="8"/>
  </w:num>
  <w:num w:numId="19">
    <w:abstractNumId w:val="23"/>
  </w:num>
  <w:num w:numId="20">
    <w:abstractNumId w:val="1"/>
  </w:num>
  <w:num w:numId="21">
    <w:abstractNumId w:val="16"/>
  </w:num>
  <w:num w:numId="22">
    <w:abstractNumId w:val="2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945"/>
    <w:rsid w:val="00101945"/>
    <w:rsid w:val="00632F3D"/>
    <w:rsid w:val="00E1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33EA9E-2BEB-4F60-9F56-D4624EF0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basedOn w:val="a0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8797</Words>
  <Characters>5015</Characters>
  <Application>Microsoft Office Word</Application>
  <DocSecurity>0</DocSecurity>
  <Lines>41</Lines>
  <Paragraphs>27</Paragraphs>
  <ScaleCrop>false</ScaleCrop>
  <Company>PERSONAL COMPUTERS</Company>
  <LinksUpToDate>false</LinksUpToDate>
  <CharactersWithSpaces>13785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принципов корпоративного управления в Чешской Республике</dc:title>
  <dc:subject/>
  <dc:creator>USER</dc:creator>
  <cp:keywords/>
  <dc:description/>
  <cp:lastModifiedBy>admin</cp:lastModifiedBy>
  <cp:revision>2</cp:revision>
  <dcterms:created xsi:type="dcterms:W3CDTF">2014-01-26T11:44:00Z</dcterms:created>
  <dcterms:modified xsi:type="dcterms:W3CDTF">2014-01-26T11:44:00Z</dcterms:modified>
</cp:coreProperties>
</file>