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19" w:rsidRDefault="00EF04D8" w:rsidP="005F561F">
      <w:pPr>
        <w:pStyle w:val="2"/>
        <w:rPr>
          <w:lang w:val="uk-UA"/>
        </w:rPr>
      </w:pPr>
      <w:r w:rsidRPr="005A3319">
        <w:rPr>
          <w:lang w:val="uk-UA"/>
        </w:rPr>
        <w:t>Аналіз беззбитковості проектів</w:t>
      </w:r>
    </w:p>
    <w:p w:rsidR="005F561F" w:rsidRPr="005F561F" w:rsidRDefault="005F561F" w:rsidP="005F561F">
      <w:pPr>
        <w:rPr>
          <w:lang w:val="uk-UA"/>
        </w:rPr>
      </w:pP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Фінансова здійсненність проекту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це засадовий критерій для інвестора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Всі інші цілі, що переслідуються інвестором, вторинні і не становлять інтересу без досягнення головної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достатньо високого прибутку як на сукупний капітал, так і на власний і оплачений акціонерний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Кожний з учасників спільного фінансування може мати власні критерії оцінки інвестиційного проекту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Проте фінансова здійсненність проекту для всіх є головним критерієм, хоча мінімально прийнятний прибуток в розрахунку на частку капіталу кожного учасника може істотно коливатись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Оцінка фінансової здійсненності проекту повинна виконуватись таким чином, щоб всі учасники фінансування одержали вичерпну інформацію про свої частки в загальній сумі майбутнього прибутку від реалізації проекту, а також про можливі втрати внаслідок інвестиційних ризиків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Інвестору, як правило, недостатньо власних коштів для інвестування проекту, він змушений або залучити додаткові кошти, або брати позичку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Компаньйони і кредитори разом з тим наперед хочуть знати про рівень доходів від фінансування проекту, тобто про свій чистий прибуток після сплати податків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Проте на стадії попереднього ТЕО і ТЕО звичайно не відомо, як буде фінансуватись проект, невідомі джерела фінансування, не визначена більшість суб'єктів інвестиційної діяльності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ТЕО для того і складається, щоб залучити акціонерів і кредиторів до фінансування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цих цілей на стадії попереднього техніко-економічного обгрунтування проводиться оцінка фінансової здійсненності проекту і оцінка імовірності його здійснення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Головний інструментарій, що використовується при оцінці проектів, наступний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фінансові показники здійсненності проекту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показники економічної ефективності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lastRenderedPageBreak/>
        <w:t>аналіз чутливості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аналіз беззбитковості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оцінка імовірності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</w:pPr>
      <w:r w:rsidRPr="005A3319">
        <w:rPr>
          <w:lang w:val="uk-UA"/>
        </w:rPr>
        <w:t>економічна оцінка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Головним інструментом, що визначає міру впливу на здійсненність проекту, є аналіз чутливості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Цей аналіз виконується за сценарієм, відповідно до якого кожній складовій критичної змінної надаються різні значення параметрів кількості і ціни, що дозволяє виявити міру впливу цих складових на одиницю критичних змінних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Таким чином визначають домінуючі статті витрат в інвестиційних, виробничих і реалізаційних витратах, які справляють найбільший вплив на розмір і структуру грошових потоків і формують масу прибутку або доходу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Звичайно розробляється декілька сценаріїв аналізу чутливості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песимістичний, нормальний та оптимістичний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За цими сценаріями в витратах визначаються найбільш важливі складові, наприклад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сировина і матеріали, заробітна плата, вартість експлуатації обладнання, адміністративно-господарські витрати та ін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Результатом аналізу чутливості є визначення беззбитковості проекту, яка характеризується рівновагою обсягів продаж і відповідних витрат (інвестиційних і виробничих</w:t>
      </w:r>
      <w:r w:rsidR="005A3319" w:rsidRPr="005A3319">
        <w:rPr>
          <w:lang w:val="uk-UA"/>
        </w:rPr>
        <w:t xml:space="preserve">). </w:t>
      </w:r>
      <w:r w:rsidRPr="005A3319">
        <w:rPr>
          <w:lang w:val="uk-UA"/>
        </w:rPr>
        <w:t>Таку рівновагу називають точкою беззбитковості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 цій точці фірма працює беззбитково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надходження від продаж не покривають витрати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фірма терпить збитки і неминучо прийде до банкрутства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При розрахунках точки беззбитковості потрібно дотримуватись наступних неодмінних умов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обсяг продаж повинен бути рівний обсягу виробництва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у витрати включаються тільки відповідні товарові (групі</w:t>
      </w:r>
      <w:r w:rsidRPr="005A3319">
        <w:t xml:space="preserve"> </w:t>
      </w:r>
      <w:r w:rsidRPr="005A3319">
        <w:rPr>
          <w:lang w:val="uk-UA"/>
        </w:rPr>
        <w:t>товарів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витрати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дотримується стабільний операційний леверідж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постійні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витрати однакові для будь-якого обсягу виробництва, змінні</w:t>
      </w:r>
      <w:r w:rsidR="005A3319" w:rsidRPr="005A3319">
        <w:rPr>
          <w:lang w:val="uk-UA"/>
        </w:rPr>
        <w:t xml:space="preserve"> -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вимірюються пропорційно до обсягу виробництва і продаж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ціни на товар (групу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не змінюються за часом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групи товарів структура обсягів продаж повинна залишатися незмінною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Беззбитковість досягається за наступного рівняння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(ЦО – ПВ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х ОВ = ПВ,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або</w:t>
      </w:r>
      <w:r w:rsidR="005A3319" w:rsidRPr="005A3319">
        <w:rPr>
          <w:lang w:val="uk-UA"/>
        </w:rPr>
        <w:t xml:space="preserve"> </w:t>
      </w:r>
    </w:p>
    <w:p w:rsidR="00EF04D8" w:rsidRPr="005A3319" w:rsidRDefault="00EF04D8" w:rsidP="005F561F">
      <w:pPr>
        <w:widowControl w:val="0"/>
        <w:autoSpaceDE w:val="0"/>
        <w:autoSpaceDN w:val="0"/>
        <w:adjustRightInd w:val="0"/>
        <w:ind w:left="1415" w:firstLine="709"/>
        <w:rPr>
          <w:lang w:val="uk-UA"/>
        </w:rPr>
      </w:pPr>
      <w:r w:rsidRPr="005A3319">
        <w:rPr>
          <w:lang w:val="uk-UA"/>
        </w:rPr>
        <w:t>ПВ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ОВ =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------------</w:t>
      </w:r>
      <w:r w:rsidR="005A3319">
        <w:rPr>
          <w:lang w:val="uk-UA"/>
        </w:rPr>
        <w:t xml:space="preserve"> - </w:t>
      </w:r>
    </w:p>
    <w:p w:rsidR="005A3319" w:rsidRPr="005A3319" w:rsidRDefault="00EF04D8" w:rsidP="005F561F">
      <w:pPr>
        <w:widowControl w:val="0"/>
        <w:autoSpaceDE w:val="0"/>
        <w:autoSpaceDN w:val="0"/>
        <w:adjustRightInd w:val="0"/>
        <w:ind w:left="1415" w:firstLine="709"/>
        <w:rPr>
          <w:lang w:val="uk-UA"/>
        </w:rPr>
      </w:pPr>
      <w:r w:rsidRPr="005A3319">
        <w:rPr>
          <w:lang w:val="uk-UA"/>
        </w:rPr>
        <w:t>ЦО – ПВ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ЦО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ціна одиниці продукції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ПВ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поточні (змінні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витрати в складі собівартості одиниці продукції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ОВ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обсяг виробництва (продажу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в натуральних одиницях вимірювання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ПВ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річна величина постійних витрат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групи виробів беззбитковість визначається шляхом підсумку всіх витрат на кожний вид товару і прирівняння їх до сумарного обсягу продаж</w:t>
      </w:r>
      <w:r w:rsidR="005A3319" w:rsidRPr="005A3319">
        <w:rPr>
          <w:lang w:val="uk-UA"/>
        </w:rPr>
        <w:t xml:space="preserve">: </w:t>
      </w:r>
    </w:p>
    <w:p w:rsidR="005A3319" w:rsidRPr="005A3319" w:rsidRDefault="00842686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object w:dxaOrig="2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7" o:title=""/>
          </v:shape>
          <o:OLEObject Type="Embed" ProgID="Equation.3" ShapeID="_x0000_i1025" DrawAspect="Content" ObjectID="_1454560557" r:id="rId8"/>
        </w:objec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 xml:space="preserve">вид товару в групі </w:t>
      </w:r>
      <w:r w:rsidRPr="005A3319">
        <w:rPr>
          <w:lang w:val="en-US"/>
        </w:rPr>
        <w:t>n</w:t>
      </w:r>
      <w:r w:rsidR="005A3319" w:rsidRPr="005A3319">
        <w:rPr>
          <w:lang w:val="uk-UA"/>
        </w:rPr>
        <w:t xml:space="preserve">. </w:t>
      </w:r>
    </w:p>
    <w:p w:rsid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t>Г</w:t>
      </w:r>
      <w:r w:rsidRPr="005A3319">
        <w:rPr>
          <w:lang w:val="uk-UA"/>
        </w:rPr>
        <w:t xml:space="preserve">рафічна інтерпретація точки беззбитковості наведена на </w:t>
      </w:r>
      <w:r w:rsidR="005A3319">
        <w:rPr>
          <w:lang w:val="uk-UA"/>
        </w:rPr>
        <w:t>рис.1</w:t>
      </w:r>
      <w:r w:rsidR="005A3319" w:rsidRPr="005A3319">
        <w:rPr>
          <w:lang w:val="uk-UA"/>
        </w:rPr>
        <w:t xml:space="preserve">. 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A3319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group id="_x0000_s1026" editas="canvas" style="width:222.5pt;height:141.8pt;mso-position-horizontal-relative:char;mso-position-vertical-relative:line" coordorigin="3049,3196" coordsize="4955,3161">
            <o:lock v:ext="edit" aspectratio="t"/>
            <v:shape id="_x0000_s1027" type="#_x0000_t75" style="position:absolute;left:3049;top:3196;width:4955;height:3161" o:preferrelative="f">
              <v:fill o:detectmouseclick="t"/>
              <v:path o:extrusionok="t" o:connecttype="none"/>
              <o:lock v:ext="edit" text="t"/>
            </v:shape>
            <v:line id="_x0000_s1028" style="position:absolute" from="4210,3723" to="4210,5936">
              <v:stroke startarrow="block"/>
            </v:line>
            <v:line id="_x0000_s1029" style="position:absolute" from="4210,5936" to="7152,5936">
              <v:stroke endarrow="block"/>
            </v:line>
            <v:line id="_x0000_s1030" style="position:absolute;flip:y" from="4210,3934" to="6687,5936" strokeweight="1.5pt"/>
            <v:line id="_x0000_s1031" style="position:absolute;flip:y" from="4210,4777" to="6687,5409" strokeweight="1.5pt"/>
            <v:line id="_x0000_s1032" style="position:absolute" from="6687,3934" to="6687,5936"/>
            <v:rect id="_x0000_s1033" style="position:absolute;left:3126;top:3723;width:929;height:316" stroked="f">
              <v:textbox inset="5.04pt,2.52pt,5.04pt,2.52pt">
                <w:txbxContent>
                  <w:p w:rsidR="00EF04D8" w:rsidRPr="005F561F" w:rsidRDefault="00EF04D8" w:rsidP="005F561F">
                    <w:pPr>
                      <w:pStyle w:val="af8"/>
                      <w:rPr>
                        <w:sz w:val="14"/>
                        <w:szCs w:val="14"/>
                        <w:lang w:val="uk-UA"/>
                      </w:rPr>
                    </w:pPr>
                    <w:r w:rsidRPr="005F561F">
                      <w:rPr>
                        <w:sz w:val="14"/>
                        <w:szCs w:val="14"/>
                        <w:lang w:val="en-US"/>
                      </w:rPr>
                      <w:t>Вартість</w:t>
                    </w:r>
                  </w:p>
                </w:txbxContent>
              </v:textbox>
            </v:rect>
            <v:rect id="_x0000_s1034" style="position:absolute;left:6997;top:4250;width:1007;height:316" stroked="f">
              <v:textbox inset="5.04pt,2.52pt,5.04pt,2.52pt">
                <w:txbxContent>
                  <w:p w:rsidR="00EF04D8" w:rsidRPr="005F561F" w:rsidRDefault="00EF04D8" w:rsidP="005F561F">
                    <w:pPr>
                      <w:pStyle w:val="af8"/>
                      <w:rPr>
                        <w:sz w:val="14"/>
                        <w:szCs w:val="14"/>
                        <w:lang w:val="uk-UA"/>
                      </w:rPr>
                    </w:pPr>
                    <w:r w:rsidRPr="005F561F">
                      <w:rPr>
                        <w:sz w:val="14"/>
                        <w:szCs w:val="14"/>
                        <w:lang w:val="uk-UA"/>
                      </w:rPr>
                      <w:t>Прибуток</w:t>
                    </w:r>
                  </w:p>
                </w:txbxContent>
              </v:textbox>
            </v:rect>
            <v:rect id="_x0000_s1035" style="position:absolute;left:6687;top:6042;width:1008;height:315" stroked="f">
              <v:textbox inset="5.04pt,2.52pt,5.04pt,2.52pt">
                <w:txbxContent>
                  <w:p w:rsidR="00EF04D8" w:rsidRPr="005F561F" w:rsidRDefault="00EF04D8" w:rsidP="005F561F">
                    <w:pPr>
                      <w:pStyle w:val="af8"/>
                      <w:rPr>
                        <w:sz w:val="14"/>
                        <w:szCs w:val="14"/>
                        <w:lang w:val="uk-UA"/>
                      </w:rPr>
                    </w:pPr>
                    <w:r w:rsidRPr="005F561F">
                      <w:rPr>
                        <w:sz w:val="14"/>
                        <w:szCs w:val="14"/>
                        <w:lang w:val="uk-UA"/>
                      </w:rPr>
                      <w:t>Продаж</w:t>
                    </w:r>
                  </w:p>
                </w:txbxContent>
              </v:textbox>
            </v:rect>
            <v:rect id="_x0000_s1036" style="position:absolute;left:3049;top:5515;width:929;height:316" stroked="f">
              <v:textbox inset="5.04pt,2.52pt,5.04pt,2.52pt">
                <w:txbxContent>
                  <w:p w:rsidR="00EF04D8" w:rsidRPr="005F561F" w:rsidRDefault="00EF04D8" w:rsidP="005F561F">
                    <w:pPr>
                      <w:pStyle w:val="af8"/>
                      <w:rPr>
                        <w:sz w:val="14"/>
                        <w:szCs w:val="14"/>
                        <w:lang w:val="uk-UA"/>
                      </w:rPr>
                    </w:pPr>
                    <w:r w:rsidRPr="005F561F">
                      <w:rPr>
                        <w:sz w:val="14"/>
                        <w:szCs w:val="14"/>
                        <w:lang w:val="uk-UA"/>
                      </w:rPr>
                      <w:t>Збитки</w:t>
                    </w:r>
                  </w:p>
                </w:txbxContent>
              </v:textbox>
            </v:rect>
            <v:rect id="_x0000_s1037" style="position:absolute;left:4907;top:4672;width:388;height:316" stroked="f">
              <v:textbox inset="5.04pt,2.52pt,5.04pt,2.52pt">
                <w:txbxContent>
                  <w:p w:rsidR="00EF04D8" w:rsidRPr="005F561F" w:rsidRDefault="00EF04D8" w:rsidP="005F561F">
                    <w:pPr>
                      <w:pStyle w:val="af8"/>
                      <w:rPr>
                        <w:sz w:val="14"/>
                        <w:szCs w:val="14"/>
                        <w:lang w:val="uk-UA"/>
                      </w:rPr>
                    </w:pPr>
                    <w:r w:rsidRPr="005F561F">
                      <w:rPr>
                        <w:sz w:val="14"/>
                        <w:szCs w:val="14"/>
                        <w:lang w:val="uk-UA"/>
                      </w:rPr>
                      <w:t>Б</w:t>
                    </w:r>
                  </w:p>
                </w:txbxContent>
              </v:textbox>
            </v:rect>
            <v:rect id="_x0000_s1038" style="position:absolute;left:6068;top:5093;width:465;height:316" stroked="f">
              <v:textbox inset="5.04pt,2.52pt,5.04pt,2.52pt">
                <w:txbxContent>
                  <w:p w:rsidR="00EF04D8" w:rsidRPr="005F561F" w:rsidRDefault="00EF04D8" w:rsidP="00EF04D8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7"/>
                        <w:szCs w:val="17"/>
                        <w:lang w:val="uk-UA"/>
                      </w:rPr>
                    </w:pPr>
                    <w:r w:rsidRPr="005F561F">
                      <w:rPr>
                        <w:sz w:val="17"/>
                        <w:szCs w:val="17"/>
                        <w:lang w:val="uk-UA"/>
                      </w:rPr>
                      <w:t>ТВБ</w:t>
                    </w:r>
                  </w:p>
                </w:txbxContent>
              </v:textbox>
            </v:rect>
            <v:rect id="_x0000_s1039" style="position:absolute;left:5913;top:6042;width:542;height:315" stroked="f">
              <v:textbox inset="5.04pt,2.52pt,5.04pt,2.52pt">
                <w:txbxContent>
                  <w:p w:rsidR="00EF04D8" w:rsidRPr="005F561F" w:rsidRDefault="00EF04D8" w:rsidP="00EF04D8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7"/>
                        <w:szCs w:val="17"/>
                        <w:lang w:val="uk-UA"/>
                      </w:rPr>
                    </w:pPr>
                    <w:r w:rsidRPr="005F561F">
                      <w:rPr>
                        <w:sz w:val="17"/>
                        <w:szCs w:val="17"/>
                        <w:lang w:val="uk-UA"/>
                      </w:rPr>
                      <w:t>ПВ</w:t>
                    </w:r>
                  </w:p>
                </w:txbxContent>
              </v:textbox>
            </v:rect>
            <v:rect id="_x0000_s1040" style="position:absolute;left:4520;top:6042;width:464;height:315" stroked="f">
              <v:textbox inset="5.04pt,2.52pt,5.04pt,2.52pt">
                <w:txbxContent>
                  <w:p w:rsidR="00EF04D8" w:rsidRPr="005F561F" w:rsidRDefault="00EF04D8" w:rsidP="00EF04D8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17"/>
                        <w:szCs w:val="17"/>
                        <w:lang w:val="uk-UA"/>
                      </w:rPr>
                    </w:pPr>
                    <w:r w:rsidRPr="005F561F">
                      <w:rPr>
                        <w:sz w:val="17"/>
                        <w:szCs w:val="17"/>
                        <w:lang w:val="uk-UA"/>
                      </w:rPr>
                      <w:t>ОБ</w:t>
                    </w:r>
                  </w:p>
                </w:txbxContent>
              </v:textbox>
            </v:rect>
            <v:line id="_x0000_s1041" style="position:absolute" from="5139,5199" to="5140,5935">
              <v:stroke dashstyle="dash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2" type="#_x0000_t88" style="position:absolute;left:6687;top:3934;width:155;height:843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3" type="#_x0000_t87" style="position:absolute;left:4055;top:5409;width:155;height:527"/>
            <w10:wrap type="none"/>
            <w10:anchorlock/>
          </v:group>
        </w:pict>
      </w:r>
    </w:p>
    <w:p w:rsidR="005A3319" w:rsidRDefault="005A331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Рис.1</w:t>
      </w:r>
      <w:r w:rsidRPr="005A3319">
        <w:rPr>
          <w:lang w:val="uk-UA"/>
        </w:rPr>
        <w:t xml:space="preserve">. </w:t>
      </w:r>
      <w:r w:rsidR="00EF04D8" w:rsidRPr="005A3319">
        <w:rPr>
          <w:lang w:val="uk-UA"/>
        </w:rPr>
        <w:t>Визначення точки беззбитковості</w:t>
      </w:r>
    </w:p>
    <w:p w:rsidR="005F561F" w:rsidRPr="005A3319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t>Г</w:t>
      </w:r>
      <w:r w:rsidRPr="005A3319">
        <w:rPr>
          <w:lang w:val="uk-UA"/>
        </w:rPr>
        <w:t xml:space="preserve">рафічна інтерпретація точки беззбитковості наведена на </w:t>
      </w:r>
      <w:r w:rsidR="005A3319">
        <w:rPr>
          <w:lang w:val="uk-UA"/>
        </w:rPr>
        <w:t>рис.1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 точці Б досягається рівновага, тобто така кількість реалізованих виробів дозволяє за рахунок надходжень від продажу повністю покрити витрати виробництва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Аналіз беззбитковості проекту може виконуватись з урахуванням і без урахування інвестиційних витрат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 першому випадку річні витрати на виробництво продукції зростають на всю суму інвестиційних витрат за рік, які звичайно включаються в постійну частку витрат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цьому інвестиційні витрати зменшуються на суму щорічних (щомісячних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платежів відсотків і погашень боргу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Аналіз беззбитковості за таким методом дозволяє передбачити можливість прискореного повернення капіталу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 другим методом аналізу беззбитковості інвестиційні витрати враховуються у вигляді постійних витрат (амортизації</w:t>
      </w:r>
      <w:r w:rsidR="005A3319" w:rsidRPr="005A3319">
        <w:rPr>
          <w:lang w:val="uk-UA"/>
        </w:rPr>
        <w:t xml:space="preserve">).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</w:pPr>
      <w:r w:rsidRPr="005A3319">
        <w:rPr>
          <w:lang w:val="uk-UA"/>
        </w:rPr>
        <w:t>Аналіз чутливості і беззбитковості дозволяє виявити домінуючі змінні і, варіюючи їхніми складовими, оцінити проект з точки зору доцільності здійснення інвестицій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Передумовами цього аналізу є стабільна соціально-економічна обстановка в країні і конкурентне середовище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Але в процесі реалізації проекту можуть виникнути обставини, які значно вплинуть на результати, що прогнозуються в проекті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На будь-якій стадії життєвого циклу інвестицій значення домінуючих змінних можуть суттєво відхилятися від передбачених в проекті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Більше того, можуть виникнути нові змінні, які матимуть домінуючий характер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Тому аналіз імовірності здійснення проекту набуває для інвестора першорядного значення</w:t>
      </w:r>
      <w:r w:rsidR="005A3319" w:rsidRPr="005A3319">
        <w:rPr>
          <w:lang w:val="uk-UA"/>
        </w:rPr>
        <w:t xml:space="preserve">. 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F561F">
      <w:pPr>
        <w:pStyle w:val="2"/>
        <w:rPr>
          <w:lang w:val="uk-UA"/>
        </w:rPr>
      </w:pPr>
      <w:r w:rsidRPr="005A3319">
        <w:rPr>
          <w:lang w:val="uk-UA"/>
        </w:rPr>
        <w:t>Розрахунок точки беззбитковості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Мета аналізу беззбитковості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визначення обсягу продукції, для якого обсяг виручки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від продажів дорівнює витратам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Коли обсяг продажів нижчий цієї точки, фірма зазнає збитків, а в точці, де виручка дорівнює витратам, фірма веде бізнес беззбитково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Обсяг продажів у точці беззбитковості являє собою вартість беззбиткових продажів, а ціна одиниці продукції в цьому разі є беззбитковою ціною продажів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виробнича програма включає різноманітні продукти, то для будь-якого беззбиткового обсягу продажів існуватимуть різні варіанти цін на вироби, але не буде єдиної беззбиткової ціни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Аналіз беззбитковості передбачає такі допущення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не враховуються зміни виробничих запасів з періоду в період (обсяг виробництва дорівнює обсягові продажів</w:t>
      </w:r>
      <w:r w:rsidR="005A3319" w:rsidRPr="005A3319">
        <w:rPr>
          <w:lang w:val="uk-UA"/>
        </w:rPr>
        <w:t xml:space="preserve">);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постійні операційні витрати однакові для будь-якого обсягу виробництва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змінні витрати змінюються пропорційно обсягу виробництва, а отже, загальний обсяг витрат також змінюється пропорційно обсягу виробництва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ціна продукту вважається постійною величиною протягом циклу проекту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частка продажу продукту в обсязі виручки не змінюється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незмінні витрати вважаються постійними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Зазначені обставини хоча й знижують можливості застосування даного методу, але простота розрахунків робить його досить популярним на практиці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Точка беззбитковості (ВЕР</w:t>
      </w:r>
      <w:r w:rsidR="005A3319" w:rsidRPr="005A3319">
        <w:rPr>
          <w:lang w:val="uk-UA"/>
        </w:rPr>
        <w:t xml:space="preserve">) - </w:t>
      </w:r>
      <w:r w:rsidRPr="005A3319">
        <w:rPr>
          <w:lang w:val="uk-UA"/>
        </w:rPr>
        <w:t>це обсяг реалізації, при якому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доходи підприємства дорівнюють його витратам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Вона розраховується за формулою</w:t>
      </w:r>
      <w:r w:rsidR="005A3319" w:rsidRPr="005A3319">
        <w:rPr>
          <w:lang w:val="uk-UA"/>
        </w:rPr>
        <w:t>: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для одного виду продукції (фізичний обсяг</w:t>
      </w:r>
      <w:r w:rsidR="005A3319" w:rsidRPr="005A3319">
        <w:rPr>
          <w:lang w:val="uk-UA"/>
        </w:rPr>
        <w:t xml:space="preserve">)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7" type="#_x0000_t75" style="width:93pt;height:31.5pt">
            <v:imagedata r:id="rId9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FC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постійні витрати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Р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ціна одиниці продукції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AVC</w:t>
      </w:r>
      <w:r w:rsidR="005A3319" w:rsidRPr="005A3319">
        <w:rPr>
          <w:lang w:val="uk-UA"/>
        </w:rPr>
        <w:t xml:space="preserve"> -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середні змінні витрати</w:t>
      </w:r>
      <w:r w:rsidR="005A3319" w:rsidRPr="005A3319">
        <w:rPr>
          <w:lang w:val="uk-UA"/>
        </w:rPr>
        <w:t xml:space="preserve">.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8" type="#_x0000_t75" style="width:348.75pt;height:42.75pt">
            <v:imagedata r:id="rId10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Маржинальний доход на одиницю продукції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це різниця між ціною одиниці продукції та середніми змінними витратами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розрахунку точки беззбитковості в грошових одиницях постійні витрати відносять до коефіцієнту маржинального доходу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Коефіцієнт маржинального доходу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це відношення маржинального доходу від реалізації одиниці продукції до її ціни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Аналіз беззбитковості зображується за допомогою графіка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(</w:t>
      </w:r>
      <w:r w:rsidR="005A3319">
        <w:rPr>
          <w:lang w:val="uk-UA"/>
        </w:rPr>
        <w:t>рис.1</w:t>
      </w:r>
      <w:r w:rsidR="005A3319" w:rsidRPr="005A3319">
        <w:rPr>
          <w:lang w:val="uk-UA"/>
        </w:rPr>
        <w:t xml:space="preserve">)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визначення впливу на прибуток зниження обсягу реалізації продукції можна використати запас міцності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Запас міцності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це величина, на яку фактичний обсяг реалізації перевищує критичний обсяг реалізації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Запас міцності = Обсяг реалізації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Точка беззбитковості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Запас міцності відображає граничну величину можливого зниження обсягу продажу без ризику зазнати збитків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 xml:space="preserve">Методи оцінки ефективності проектів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оцінки ефективності проектів застосовуються дві групи методів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формальні танеформальні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Формальні методи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передбачають використання математичного апарату для розрахунку показників ефективності, неформальні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евристичних підходів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Ефективність проекту характеризується системою показників, які виражають співвідношення вигід і витрат проекту з погляду його учасників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Виділяють такі показники ефективності інвестиційного проекту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показники комерційної ефективності, які враховують фінансові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наслідки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реалізації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проекту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для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його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безпосередніх учасників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показники економічної ефективності, які враховують народногосподарські вигоди й витрати проекту, включаючи оцінку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екологічних та соціальних наслідків</w:t>
      </w:r>
      <w:r w:rsidR="005A3319" w:rsidRPr="005A3319">
        <w:rPr>
          <w:lang w:val="uk-UA"/>
        </w:rPr>
        <w:t xml:space="preserve">, </w:t>
      </w:r>
      <w:r w:rsidRPr="005A3319">
        <w:rPr>
          <w:lang w:val="uk-UA"/>
        </w:rPr>
        <w:t>і допускають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грошовий вимір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показники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бюджетної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ефективності,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які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відображають фінансові наслідки здійснення проекту для державного та місцевого бюджетів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розрахунку цих показників можуть використовуватись одні й ті самі формули, але значення вихідних показників для розрахунків істотно різнитимуться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Залежно від тривалості циклу проекту оцінка показників ефективності може бути різною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Показники комерційної ефективності можуть розраховуватися не тільки на весь цикл проекту, а й на місяць, квартал, рік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До найпростіших показників ефективності інвестицій відносяться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капіталовіддача (річні продажі, поділені на капітальні витрати</w:t>
      </w:r>
      <w:r w:rsidR="005A3319" w:rsidRPr="005A3319">
        <w:rPr>
          <w:lang w:val="uk-UA"/>
        </w:rPr>
        <w:t xml:space="preserve">);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оборотність товарних запасів (річні продажі, поділені на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середньорічний обсяг товарних запасів</w:t>
      </w:r>
      <w:r w:rsidR="005A3319" w:rsidRPr="005A3319">
        <w:rPr>
          <w:lang w:val="uk-UA"/>
        </w:rPr>
        <w:t xml:space="preserve">);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трудовіддача (річні продажі, поділені на середньорічну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кількість зайнятих робітників і службовців</w:t>
      </w:r>
      <w:r w:rsidR="005A3319" w:rsidRPr="005A3319">
        <w:rPr>
          <w:lang w:val="uk-UA"/>
        </w:rPr>
        <w:t xml:space="preserve">).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Однак ці показники відносяться до числа показників моментного статичного ряду і не враховують динамічних процесів у їх взаємозв'язку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оцінки ефективності інвестицій доцільніше використовувати показники, які дають змогу розрахувати значення критеріїв ефективності інвестиційних проектів, беручи до уваги комплексну оцінку вигід і витрат, зміну вартості грошей у часі та інші чинники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До неформальних критеріїв оцінки та вибору інвестиційних проектів відносяться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рейтинг країни на основі оцінки інвестиційного клімату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рівень здібностей управлінського персоналу до реалізації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проекту</w:t>
      </w:r>
      <w:r w:rsidR="005A3319" w:rsidRPr="005A3319">
        <w:rPr>
          <w:lang w:val="uk-UA"/>
        </w:rPr>
        <w:t xml:space="preserve">;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рівень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розвитку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інфраструктури</w:t>
      </w:r>
      <w:r w:rsidR="005A3319" w:rsidRPr="005A3319">
        <w:rPr>
          <w:lang w:val="uk-UA"/>
        </w:rPr>
        <w:t xml:space="preserve">, </w:t>
      </w:r>
      <w:r w:rsidRPr="005A3319">
        <w:rPr>
          <w:lang w:val="uk-UA"/>
        </w:rPr>
        <w:t>що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забезпечує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реалізацію проекту (транспорт, зв'язок, готельний сервіс</w:t>
      </w:r>
      <w:r w:rsidR="005A3319" w:rsidRPr="005A3319">
        <w:rPr>
          <w:lang w:val="uk-UA"/>
        </w:rPr>
        <w:t xml:space="preserve">). </w:t>
      </w:r>
    </w:p>
    <w:p w:rsidR="005C41AC" w:rsidRDefault="005C41AC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A3319" w:rsidRPr="005A3319" w:rsidRDefault="00EF04D8" w:rsidP="005C41AC">
      <w:pPr>
        <w:pStyle w:val="2"/>
        <w:rPr>
          <w:lang w:val="uk-UA"/>
        </w:rPr>
      </w:pPr>
      <w:r w:rsidRPr="005A3319">
        <w:rPr>
          <w:lang w:val="uk-UA"/>
        </w:rPr>
        <w:t>Критерії ефективності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проектів</w:t>
      </w:r>
    </w:p>
    <w:p w:rsidR="005C41AC" w:rsidRDefault="005C41AC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Використання критеріїв ефективності інвестиційних проектів допомагає аналітикові прийняти, схвалити або змінити проект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Вибір конкретного критерію для висновку про ефективність проекту залежить від певних чинників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наявної ринкової перспективи, існування обмежень на ресурси для фінансування проекту, коливань грошових потоків та можливості одержання прибутку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Хоча деякі критерії добре відомі й широко застосовуються, для аналітика вкрай важливо бути ознайомленим з усім багатством вибору, щоб обрати комбінацію, яка найбільше підходить для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Чиста теперішня вартість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Net Present Value (NPV</w:t>
      </w:r>
      <w:r w:rsidR="005A3319" w:rsidRPr="005A3319">
        <w:rPr>
          <w:lang w:val="uk-UA"/>
        </w:rPr>
        <w:t xml:space="preserve">)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Це найвідоміший і найуживаніший критерій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У літературі зустрічаються й інші його назви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чиста наведена вартість, чиста наведена цінність, дисконтовані чисті вигоди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NPV являє собою дисконтовану цінність проекту (поточну вартість доходів або вигід від зроблених інвестицій</w:t>
      </w:r>
      <w:r w:rsidR="005A3319" w:rsidRPr="005A3319">
        <w:rPr>
          <w:lang w:val="uk-UA"/>
        </w:rPr>
        <w:t xml:space="preserve">).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NPV дорівнює різниці між майбутньою вартістю потоку очікуваних вигід і поточною вартістю нинішніх і наступних витрат проекту протягом усього його циклу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розрахунку NPV проекту необхідно визначити ставку дисконту, використати її для дисконтування потоків витрат та вигід і підсумувати дисконтовані вигоди й витрати (витрати зі знаком мінус</w:t>
      </w:r>
      <w:r w:rsidR="005A3319" w:rsidRPr="005A3319">
        <w:rPr>
          <w:lang w:val="uk-UA"/>
        </w:rPr>
        <w:t xml:space="preserve">). </w:t>
      </w:r>
      <w:r w:rsidRPr="005A3319">
        <w:rPr>
          <w:lang w:val="uk-UA"/>
        </w:rPr>
        <w:t>При проведенні фінансового аналізу ставка дисконту звичайно є ціною капіталу для фірми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 економічному аналізі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ставка дисконту являє собою закладену вартість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капіталу, тобто прибуток, який міг би бути одержаний при інвестуванні найприбутковіших альтернативних проектів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Якщо NPV позитивна, то проект можна рекомендувати для фінансування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NPV дорівнює нулю, то надходжень від проекту вистачить лише для відновлення вкладеного капіталу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NPV менша нуля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проект не приймається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Розрахунок NPV робиться за такими формулами</w:t>
      </w:r>
      <w:r w:rsidR="005A3319" w:rsidRPr="005A3319">
        <w:rPr>
          <w:lang w:val="uk-UA"/>
        </w:rPr>
        <w:t xml:space="preserve">: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9" type="#_x0000_t75" style="width:93.75pt;height:31.5pt">
            <v:imagedata r:id="rId11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або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0" type="#_x0000_t75" style="width:151.5pt;height:33.75pt">
            <v:imagedata r:id="rId12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Bf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вигоди проекту в рік t, Ct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витрати на проект у рік t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ставка дисконту</w:t>
      </w:r>
      <w:r w:rsidR="005A3319" w:rsidRPr="005A3319">
        <w:rPr>
          <w:lang w:val="uk-UA"/>
        </w:rPr>
        <w:t xml:space="preserve">; </w:t>
      </w:r>
      <w:r w:rsidRPr="005A3319">
        <w:rPr>
          <w:lang w:val="en-US"/>
        </w:rPr>
        <w:t>n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тривалість (строк життя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Основна перевага NPV полягає в тому, що всі розрахунки провадяться на основі грошових потоків, а не чистих доходів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Окрім того, ефективність головного проекту можна оцінити шляхом підсумування NPV його окремих підпроектів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Це дуже важлива властивість, яка дає змогу використовувати NPV як основний критерій при аналізі інвестиційного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Основна вада NPV полягає в тому, що її розрахунок вимагає детального прогнозу грошових потоків на строк життя проекту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Часто робиться припущення про постійність ставки дисконту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аналізу залежності NPV від ставки дисконту використовується крива, яка має назву профіль NPV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Іноді її називають профілем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Правила роботи з критерієм чистої теперішньої вартості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1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Проекти приймаються тільки тоді, коли NPV більша нуля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2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За наявності бюджетних обмежень обирається такий проект, який максимізує NPV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При виборі взаємовиключних проектів за умов відсутності бюджетних обмежень обирається проект з максимальною NPV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Однак, при застосуванні NPV виникають такі труднощі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1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Складно визначити NPV у проектах, до яких входять дріб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ніші проекти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2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порівнянні проектів різної тривалості за NPV не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обхідне використання спеціальних процедур приведення строків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до порівнюваного періоду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Внутрішня норма рентабельності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Internal Rate of Return (IRR</w:t>
      </w:r>
      <w:r w:rsidR="005A3319" w:rsidRPr="005A3319">
        <w:rPr>
          <w:lang w:val="uk-UA"/>
        </w:rPr>
        <w:t xml:space="preserve">)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У літературі зустрічаються й інші назви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Внутрішня ставка рентабельності, внутрішня ставка доходу, внутрішня норма прибутковості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IRR проекту дорівнює ставці дисконту, при якій сумарні дисконтова ні вигоди дорівнюють сумарним дисконтованим витратам, тобто IRR є ставкою дисконту, при якій NPV проекту дорівнює нулю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IRR дорівнює максимальному проценту за позиками, який можна платити за використання необхідних ресурсів, залишаючись при цьому на беззбитковому рівні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Розрахунок IRR проводиться методом послідовних наближень величини NPV до нуля при різних ставках дисконту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Розрахунки проводяться за формулою</w:t>
      </w:r>
      <w:r w:rsidR="005A3319" w:rsidRPr="005A3319">
        <w:rPr>
          <w:lang w:val="uk-UA"/>
        </w:rPr>
        <w:t xml:space="preserve">: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1" type="#_x0000_t75" style="width:94.5pt;height:33pt">
            <v:imagedata r:id="rId13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На практиці визначення IRR проводиться за допомогою такої формули</w:t>
      </w:r>
      <w:r w:rsidR="005A3319" w:rsidRPr="005A3319">
        <w:rPr>
          <w:lang w:val="uk-UA"/>
        </w:rPr>
        <w:t xml:space="preserve">: </w:t>
      </w:r>
      <w:r w:rsidR="007B7F09">
        <w:rPr>
          <w:lang w:val="uk-UA"/>
        </w:rPr>
        <w:pict>
          <v:shape id="_x0000_i1032" type="#_x0000_t75" style="width:111.75pt;height:31.5pt">
            <v:imagedata r:id="rId14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А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величина ставки дисконту, при якій NPV позитивна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В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величина ставки дисконту, при якій NPV негативна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а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величина позитивної NPV, при величині ставки дисконту А</w:t>
      </w:r>
      <w:r w:rsidR="005A3319" w:rsidRPr="005A3319">
        <w:rPr>
          <w:lang w:val="uk-UA"/>
        </w:rPr>
        <w:t xml:space="preserve">; </w:t>
      </w:r>
      <w:r w:rsidRPr="005A3319">
        <w:rPr>
          <w:lang w:val="en-US"/>
        </w:rPr>
        <w:t>b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величина негативної NPV, при величині ставки дисконту В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Якщо значення IRR проекту для приватних інвесторів більше за існуючу ставку рефінансування банків, а для держави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за нормативну ставку дисконту, і більше за IRR альтернативних проектів з урахуванням ступеня ризику, то проект може бути рекомендований для фінансування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5A3319">
        <w:rPr>
          <w:lang w:val="uk-UA"/>
        </w:rPr>
        <w:t>Коефіцієнт вигід/витрат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Benefit/Cost Ratio (BCR</w:t>
      </w:r>
      <w:r w:rsidR="005A3319" w:rsidRPr="005A3319">
        <w:rPr>
          <w:lang w:val="uk-UA"/>
        </w:rPr>
        <w:t xml:space="preserve">)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BCR є відношенням дисконтованих вигід до дисконтованих витрат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Основна формула розрахунку</w:t>
      </w:r>
      <w:r w:rsidR="005A3319" w:rsidRPr="005A3319">
        <w:rPr>
          <w:lang w:val="uk-UA"/>
        </w:rPr>
        <w:t xml:space="preserve">: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3" type="#_x0000_t75" style="width:93pt;height:66.75pt">
            <v:imagedata r:id="rId15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Критерій відбору проектів полягає в тому, щоб вибрати всі незалежні проекти з коефіцієнтами BCR, більшими або рівними одиниці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застосуванні цього критерію слід пам'ятати, що коефіцієнт BCR має такі недоліки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може давати неправильні ранжирування за перевагою навіть незалежних проектів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не годиться для користування при виборі взаємовиключних проектів</w:t>
      </w:r>
      <w:r w:rsidR="005A3319" w:rsidRPr="005A3319">
        <w:rPr>
          <w:lang w:val="uk-UA"/>
        </w:rPr>
        <w:t xml:space="preserve">;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не показує фактичну величину чистих вигід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BCR має кілька варіантів розрахунку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1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жорстких обмеженнях на капітал, на відміну від обмежень як по капіталу, так і по поточних витратах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en-US"/>
        </w:rPr>
        <w:t>BCR</w:t>
      </w:r>
      <w:r w:rsidRPr="005A3319">
        <w:rPr>
          <w:lang w:val="uk-UA"/>
        </w:rPr>
        <w:t xml:space="preserve"> = (</w:t>
      </w:r>
      <w:r w:rsidRPr="005A3319">
        <w:rPr>
          <w:lang w:val="en-US"/>
        </w:rPr>
        <w:t>B</w:t>
      </w:r>
      <w:r w:rsidRPr="005A3319">
        <w:rPr>
          <w:lang w:val="uk-UA"/>
        </w:rPr>
        <w:t>-О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/</w:t>
      </w:r>
      <w:r w:rsidRPr="005A3319">
        <w:rPr>
          <w:lang w:val="en-US"/>
        </w:rPr>
        <w:t>K</w:t>
      </w:r>
      <w:r w:rsidR="005A3319">
        <w:rPr>
          <w:lang w:val="uk-UA"/>
        </w:rPr>
        <w:t>, д</w:t>
      </w:r>
      <w:r w:rsidRPr="005A3319">
        <w:rPr>
          <w:lang w:val="uk-UA"/>
        </w:rPr>
        <w:t>е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О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поточні витрати</w:t>
      </w:r>
      <w:r w:rsidR="005A3319" w:rsidRPr="005A3319">
        <w:rPr>
          <w:lang w:val="uk-UA"/>
        </w:rPr>
        <w:t xml:space="preserve">; </w:t>
      </w:r>
      <w:r w:rsidRPr="005A3319">
        <w:rPr>
          <w:lang w:val="uk-UA"/>
        </w:rPr>
        <w:t>К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капітальні витрати</w:t>
      </w:r>
      <w:r w:rsidR="005A3319" w:rsidRPr="005A3319"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2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За наявності дефіцитних або унікальних ресурсів</w:t>
      </w:r>
      <w:r w:rsidR="005A3319" w:rsidRPr="005A3319">
        <w:rPr>
          <w:lang w:val="uk-UA"/>
        </w:rPr>
        <w:t xml:space="preserve">: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BCR = (B-C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/R</w:t>
      </w:r>
      <w:r w:rsidR="005A3319">
        <w:rPr>
          <w:lang w:val="uk-UA"/>
        </w:rPr>
        <w:t>, д</w:t>
      </w:r>
      <w:r w:rsidRPr="005A3319">
        <w:rPr>
          <w:lang w:val="uk-UA"/>
        </w:rPr>
        <w:t>е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R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вартість дефіцитних ресурсів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Прикладом дефіцитних ресурсів може бути іноземна валюта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Головною потенційною проблемою при застосуванні цих різновидів критерію є подвійний рахунок, якого слід уникати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Критерій BCR може бути використаний для демонстрації того, наскільки можливе збільшення витрат без перетворення проекту на економічно непривабливий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Основна перевага критерію полягає в можливості швидкого з'ясування його значень для оцінки впливу на результати проекту рівнів ризиків та непевностей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Індекс прибутковості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Profitability Index (PI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є відношенням суми наведених ефектів (різниця вигід і поточних витрат</w:t>
      </w:r>
      <w:r w:rsidR="005A3319" w:rsidRPr="005A3319">
        <w:rPr>
          <w:lang w:val="uk-UA"/>
        </w:rPr>
        <w:t>)</w:t>
      </w:r>
      <w:r w:rsidR="005A3319">
        <w:rPr>
          <w:lang w:val="uk-UA"/>
        </w:rPr>
        <w:t xml:space="preserve"> </w:t>
      </w:r>
      <w:r w:rsidRPr="005A3319">
        <w:rPr>
          <w:lang w:val="uk-UA"/>
        </w:rPr>
        <w:t>до величини інвестицій</w:t>
      </w:r>
      <w:r w:rsidR="005A3319" w:rsidRPr="005A3319">
        <w:rPr>
          <w:lang w:val="uk-UA"/>
        </w:rPr>
        <w:t xml:space="preserve">.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4" type="#_x0000_t75" style="width:105.75pt;height:32.25pt">
            <v:imagedata r:id="rId16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РІ тісно пов'язаний з NPV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NPV позитивна, то й РІ &gt; 1, і навпаки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РІ &gt; 1, проект ефективний, якщо РІ &lt; 1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неефективний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Модифікована внутрішня норма рентабельності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Modification Internal Rate of Return (MIRR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проекту дорівнює ставці дисконту, при якій чиста вартість капітальних витрат дорівнює майбутній вартості вхідних грошових потоків,, що реінвестуються за ціною капіталу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Тобто MIRR передбачає, що позитивні грошові потоки проекту реінвестуються за ціною капіталу, що дає краще уявлення про реальну доходність проекту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Розрахунок MIRR здійснюється за формулою</w:t>
      </w:r>
      <w:r w:rsidR="005A3319" w:rsidRPr="005A3319">
        <w:rPr>
          <w:lang w:val="uk-UA"/>
        </w:rPr>
        <w:t xml:space="preserve">: </w:t>
      </w:r>
    </w:p>
    <w:p w:rsidR="00EF04D8" w:rsidRPr="005A3319" w:rsidRDefault="007B7F09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35" type="#_x0000_t75" style="width:145.5pt;height:34.5pt">
            <v:imagedata r:id="rId17" o:title=""/>
          </v:shape>
        </w:pic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де X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значення МВСР, яке потрібно знайти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Тут до витрат відносяться всі вихідні грошові потоки, а до надходжень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вхідні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Ліва частина рівняння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поточна вартість капітальних витрат, дисконтована на ціну капіталу, а чисельник правої частини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майбутня вартість вигід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Строк окупності проекту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Payback Period (PBP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використовується переважно в промисловості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Він вказує кількість років, потрібних для відшкодування капітальних витрат проекту з чистих сумарних доходів проекту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Критерій прямо пов'язаний з відшкодуванням капітальних витрат у найкоротший період часу і не сприяє проектам, які дають великі вигоди лише згодом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Він не може слугувати за міру прибутковості, оскільки грошові потоки після строку окупності не враховуються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Критерій найменших витрат (НВ</w:t>
      </w:r>
      <w:r w:rsidR="005A3319" w:rsidRPr="005A3319">
        <w:rPr>
          <w:lang w:val="uk-UA"/>
        </w:rPr>
        <w:t xml:space="preserve">) </w:t>
      </w:r>
      <w:r w:rsidRPr="005A3319">
        <w:rPr>
          <w:lang w:val="uk-UA"/>
        </w:rPr>
        <w:t>використовується тоді, коли оцінка вигід проекту складна й ненадійна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цьому порівнюють наведені витрати по різних варіантах проекту і вибирають той, який при найменших витратах забезпечує найкращі результати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Критерій прибутку в перший рік експлуатації дає змогу перевірити, чи забезпечують вигоди за перший рік експлуатації проекту "достатню" доходність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цьому порівнюється чистий доход за перший рік експлуатації з капітальними витратами проекту, включаючи процентний доход у період робіт по будівництву (береться накопичена сума процентів, а не наведені проценти</w:t>
      </w:r>
      <w:r w:rsidR="005A3319" w:rsidRPr="005A3319">
        <w:rPr>
          <w:lang w:val="uk-UA"/>
        </w:rPr>
        <w:t xml:space="preserve">). </w:t>
      </w:r>
      <w:r w:rsidRPr="005A3319">
        <w:rPr>
          <w:lang w:val="uk-UA"/>
        </w:rPr>
        <w:t>Якщо відношення вигід до витрат менше ціни капіталу, то проект, можливо, є передчасним, а при більшому відношенні можна зробити висновок, що з проектом, очевидно, припізнилися</w:t>
      </w:r>
      <w:r w:rsidR="005A3319" w:rsidRPr="005A3319">
        <w:rPr>
          <w:lang w:val="uk-UA"/>
        </w:rPr>
        <w:t xml:space="preserve">. </w:t>
      </w: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Використання цього критерію є першим наближенням до повномасштабної перевірки з метою визначити, чи передбачена максимізація NPV планом проекту</w:t>
      </w:r>
      <w:r w:rsidR="005A3319" w:rsidRPr="005A3319">
        <w:rPr>
          <w:lang w:val="uk-UA"/>
        </w:rPr>
        <w:t xml:space="preserve">. 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F561F">
      <w:pPr>
        <w:pStyle w:val="2"/>
        <w:rPr>
          <w:lang w:val="uk-UA"/>
        </w:rPr>
      </w:pPr>
      <w:r w:rsidRPr="005A3319">
        <w:rPr>
          <w:lang w:val="uk-UA"/>
        </w:rPr>
        <w:t>Правила використання критеріїв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F04D8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Якщо існують загальні бюджетні обмеження та</w:t>
      </w:r>
      <w:r w:rsidR="005A3319" w:rsidRPr="005A3319">
        <w:rPr>
          <w:lang w:val="uk-UA"/>
        </w:rPr>
        <w:t xml:space="preserve"> </w:t>
      </w:r>
      <w:r w:rsidRPr="005A3319">
        <w:rPr>
          <w:lang w:val="uk-UA"/>
        </w:rPr>
        <w:t>вигоди і витрати змінюють знак не більше одного разу, то для ранжирування проектів використовують коефіцієнт вигоди/витрати або внутрішню норму рентабельності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Якщо немає ні бюджетних обмежень, ані обмежень на доступність грошей, тоді при нестабільності знака потоку використовують тільки чисту теперішню вартість, при стабільності</w:t>
      </w:r>
      <w:r w:rsidR="005A3319" w:rsidRPr="005A3319">
        <w:rPr>
          <w:lang w:val="uk-UA"/>
        </w:rPr>
        <w:t xml:space="preserve"> - </w:t>
      </w:r>
      <w:r w:rsidRPr="005A3319">
        <w:rPr>
          <w:lang w:val="uk-UA"/>
        </w:rPr>
        <w:t>NPV та IRR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A3319">
        <w:rPr>
          <w:lang w:val="uk-UA"/>
        </w:rPr>
        <w:t>Для відбору взаємовиключних проектів застосовується NPV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При високому ступені непевності використовується строк окупності</w:t>
      </w:r>
      <w:r w:rsidR="005A3319" w:rsidRPr="005A3319">
        <w:rPr>
          <w:lang w:val="uk-UA"/>
        </w:rPr>
        <w:t xml:space="preserve">. </w:t>
      </w:r>
    </w:p>
    <w:p w:rsidR="005A3319" w:rsidRPr="005A3319" w:rsidRDefault="005F561F" w:rsidP="005F561F">
      <w:pPr>
        <w:pStyle w:val="2"/>
        <w:rPr>
          <w:lang w:val="uk-UA"/>
        </w:rPr>
      </w:pPr>
      <w:r>
        <w:br w:type="page"/>
      </w:r>
      <w:r w:rsidR="00EF04D8" w:rsidRPr="005A3319">
        <w:t xml:space="preserve">Список использованной </w:t>
      </w:r>
      <w:r w:rsidR="00EF04D8" w:rsidRPr="005A3319">
        <w:rPr>
          <w:lang w:val="uk-UA"/>
        </w:rPr>
        <w:t>литературы</w:t>
      </w:r>
    </w:p>
    <w:p w:rsidR="005F561F" w:rsidRDefault="005F561F" w:rsidP="005A331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A3319" w:rsidRP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Бланк И</w:t>
      </w:r>
      <w:r w:rsidR="005A3319">
        <w:rPr>
          <w:lang w:val="uk-UA"/>
        </w:rPr>
        <w:t xml:space="preserve">.А. </w:t>
      </w:r>
      <w:r w:rsidRPr="005A3319">
        <w:rPr>
          <w:lang w:val="uk-UA"/>
        </w:rPr>
        <w:t>Инвестиционный менеджмент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К</w:t>
      </w:r>
      <w:r w:rsidR="005A3319" w:rsidRPr="005A3319">
        <w:rPr>
          <w:lang w:val="uk-UA"/>
        </w:rPr>
        <w:t xml:space="preserve">.: </w:t>
      </w:r>
      <w:r w:rsidRPr="005A3319">
        <w:rPr>
          <w:lang w:val="uk-UA"/>
        </w:rPr>
        <w:t>ИТЕМ, 1995, С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Брігхем Є</w:t>
      </w:r>
      <w:r w:rsidR="005A3319">
        <w:rPr>
          <w:lang w:val="uk-UA"/>
        </w:rPr>
        <w:t xml:space="preserve">.Ф. </w:t>
      </w:r>
      <w:r w:rsidRPr="005A3319">
        <w:rPr>
          <w:lang w:val="uk-UA"/>
        </w:rPr>
        <w:t>Основи фінансового менеджменту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К</w:t>
      </w:r>
      <w:r w:rsidR="005A3319" w:rsidRPr="005A3319">
        <w:rPr>
          <w:lang w:val="uk-UA"/>
        </w:rPr>
        <w:t xml:space="preserve">.: </w:t>
      </w:r>
      <w:r w:rsidRPr="005A3319">
        <w:rPr>
          <w:lang w:val="uk-UA"/>
        </w:rPr>
        <w:t>Молодь, 1997, С</w:t>
      </w:r>
      <w:r w:rsidR="005A3319">
        <w:rPr>
          <w:lang w:val="uk-UA"/>
        </w:rPr>
        <w:t>.4</w:t>
      </w:r>
      <w:r w:rsidRPr="005A3319">
        <w:rPr>
          <w:lang w:val="uk-UA"/>
        </w:rPr>
        <w:t>68-474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Липсиц И</w:t>
      </w:r>
      <w:r w:rsidR="005A3319">
        <w:rPr>
          <w:lang w:val="uk-UA"/>
        </w:rPr>
        <w:t xml:space="preserve">.В., </w:t>
      </w:r>
      <w:r w:rsidRPr="005A3319">
        <w:rPr>
          <w:lang w:val="uk-UA"/>
        </w:rPr>
        <w:t>Коссов В</w:t>
      </w:r>
      <w:r w:rsidR="005A3319">
        <w:rPr>
          <w:lang w:val="uk-UA"/>
        </w:rPr>
        <w:t xml:space="preserve">.В. </w:t>
      </w:r>
      <w:r w:rsidRPr="005A3319">
        <w:rPr>
          <w:lang w:val="uk-UA"/>
        </w:rPr>
        <w:t>Инвестиционной проект</w:t>
      </w:r>
      <w:r w:rsidR="005A3319" w:rsidRPr="005A3319">
        <w:rPr>
          <w:lang w:val="uk-UA"/>
        </w:rPr>
        <w:t xml:space="preserve">: </w:t>
      </w:r>
      <w:r w:rsidRPr="005A3319">
        <w:rPr>
          <w:lang w:val="uk-UA"/>
        </w:rPr>
        <w:t>методы подготовки и анализа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М</w:t>
      </w:r>
      <w:r w:rsidR="005A3319" w:rsidRPr="005A3319">
        <w:rPr>
          <w:lang w:val="uk-UA"/>
        </w:rPr>
        <w:t xml:space="preserve">.: </w:t>
      </w:r>
      <w:r w:rsidRPr="005A3319">
        <w:rPr>
          <w:lang w:val="uk-UA"/>
        </w:rPr>
        <w:t>БЕК</w:t>
      </w:r>
      <w:r w:rsidR="005A3319">
        <w:rPr>
          <w:lang w:val="uk-UA"/>
        </w:rPr>
        <w:t>, 19</w:t>
      </w:r>
      <w:r w:rsidRPr="005A3319">
        <w:rPr>
          <w:lang w:val="uk-UA"/>
        </w:rPr>
        <w:t>96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Пересада А</w:t>
      </w:r>
      <w:r w:rsidR="005A3319">
        <w:rPr>
          <w:lang w:val="uk-UA"/>
        </w:rPr>
        <w:t xml:space="preserve">.А. </w:t>
      </w:r>
      <w:r w:rsidRPr="005A3319">
        <w:rPr>
          <w:lang w:val="uk-UA"/>
        </w:rPr>
        <w:t>Інвестиційний процес в Україні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К</w:t>
      </w:r>
      <w:r w:rsidR="005A3319" w:rsidRPr="005A3319">
        <w:rPr>
          <w:lang w:val="uk-UA"/>
        </w:rPr>
        <w:t xml:space="preserve">.: </w:t>
      </w:r>
      <w:r w:rsidRPr="005A3319">
        <w:rPr>
          <w:lang w:val="uk-UA"/>
        </w:rPr>
        <w:t>Лібра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1998</w:t>
      </w:r>
      <w:r w:rsidR="005A3319" w:rsidRPr="005A3319">
        <w:rPr>
          <w:lang w:val="uk-UA"/>
        </w:rPr>
        <w:t xml:space="preserve">. </w:t>
      </w:r>
    </w:p>
    <w:p w:rsidR="005A3319" w:rsidRP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Ушакова Н</w:t>
      </w:r>
      <w:r w:rsidR="005A3319">
        <w:rPr>
          <w:lang w:val="uk-UA"/>
        </w:rPr>
        <w:t xml:space="preserve">.Н., </w:t>
      </w:r>
      <w:r w:rsidRPr="005A3319">
        <w:rPr>
          <w:lang w:val="uk-UA"/>
        </w:rPr>
        <w:t>Унковская Т</w:t>
      </w:r>
      <w:r w:rsidR="005A3319">
        <w:rPr>
          <w:lang w:val="uk-UA"/>
        </w:rPr>
        <w:t xml:space="preserve">.Е., </w:t>
      </w:r>
      <w:r w:rsidRPr="005A3319">
        <w:rPr>
          <w:lang w:val="uk-UA"/>
        </w:rPr>
        <w:t>Гуляева Н</w:t>
      </w:r>
      <w:r w:rsidR="005A3319">
        <w:rPr>
          <w:lang w:val="uk-UA"/>
        </w:rPr>
        <w:t xml:space="preserve">.Н., </w:t>
      </w:r>
      <w:r w:rsidRPr="005A3319">
        <w:rPr>
          <w:lang w:val="uk-UA"/>
        </w:rPr>
        <w:t>Гринюк Н</w:t>
      </w:r>
      <w:r w:rsidR="005A3319">
        <w:rPr>
          <w:lang w:val="uk-UA"/>
        </w:rPr>
        <w:t xml:space="preserve">.А. </w:t>
      </w:r>
      <w:r w:rsidRPr="005A3319">
        <w:rPr>
          <w:lang w:val="uk-UA"/>
        </w:rPr>
        <w:t>Инвестирование</w:t>
      </w:r>
      <w:r w:rsidR="005A3319" w:rsidRPr="005A3319">
        <w:rPr>
          <w:lang w:val="uk-UA"/>
        </w:rPr>
        <w:t xml:space="preserve">. </w:t>
      </w:r>
    </w:p>
    <w:p w:rsidR="005A3319" w:rsidRDefault="00EF04D8" w:rsidP="005F561F">
      <w:pPr>
        <w:pStyle w:val="a1"/>
        <w:ind w:firstLine="0"/>
        <w:rPr>
          <w:lang w:val="uk-UA"/>
        </w:rPr>
      </w:pPr>
      <w:r w:rsidRPr="005A3319">
        <w:rPr>
          <w:lang w:val="uk-UA"/>
        </w:rPr>
        <w:t>Финансирование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Кредитование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К</w:t>
      </w:r>
      <w:r w:rsidR="005A3319" w:rsidRPr="005A3319">
        <w:rPr>
          <w:lang w:val="uk-UA"/>
        </w:rPr>
        <w:t xml:space="preserve">.: </w:t>
      </w:r>
      <w:r w:rsidRPr="005A3319">
        <w:rPr>
          <w:lang w:val="uk-UA"/>
        </w:rPr>
        <w:t>Киевский торг</w:t>
      </w:r>
      <w:r w:rsidR="005A3319" w:rsidRPr="005A3319">
        <w:rPr>
          <w:lang w:val="uk-UA"/>
        </w:rPr>
        <w:t xml:space="preserve">. - </w:t>
      </w:r>
      <w:r w:rsidRPr="005A3319">
        <w:rPr>
          <w:lang w:val="uk-UA"/>
        </w:rPr>
        <w:t>эк</w:t>
      </w:r>
      <w:r w:rsidR="005A3319" w:rsidRPr="005A3319">
        <w:rPr>
          <w:lang w:val="uk-UA"/>
        </w:rPr>
        <w:t xml:space="preserve">. </w:t>
      </w:r>
      <w:r w:rsidRPr="005A3319">
        <w:rPr>
          <w:lang w:val="uk-UA"/>
        </w:rPr>
        <w:t>ун-т, 1997, С</w:t>
      </w:r>
      <w:r w:rsidR="005A3319">
        <w:rPr>
          <w:lang w:val="uk-UA"/>
        </w:rPr>
        <w:t>.1</w:t>
      </w:r>
      <w:r w:rsidRPr="005A3319">
        <w:rPr>
          <w:lang w:val="uk-UA"/>
        </w:rPr>
        <w:t>71-181</w:t>
      </w:r>
      <w:r w:rsidR="005A3319" w:rsidRPr="005A3319">
        <w:rPr>
          <w:lang w:val="uk-UA"/>
        </w:rPr>
        <w:t xml:space="preserve">. </w:t>
      </w:r>
    </w:p>
    <w:p w:rsidR="00AA3059" w:rsidRPr="005A3319" w:rsidRDefault="00AA3059" w:rsidP="005A3319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AA3059" w:rsidRPr="005A3319" w:rsidSect="005A3319">
      <w:headerReference w:type="default" r:id="rId18"/>
      <w:footerReference w:type="default" r:id="rId19"/>
      <w:pgSz w:w="11909" w:h="16834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71" w:rsidRDefault="00147271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147271" w:rsidRDefault="0014727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Lucida Console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76" w:rsidRDefault="00252A76" w:rsidP="00252A7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71" w:rsidRDefault="00147271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147271" w:rsidRDefault="0014727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19" w:rsidRDefault="005A3319" w:rsidP="00965916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C41AC">
      <w:rPr>
        <w:rStyle w:val="ae"/>
      </w:rPr>
      <w:t>2</w:t>
    </w:r>
    <w:r>
      <w:rPr>
        <w:rStyle w:val="ae"/>
      </w:rPr>
      <w:fldChar w:fldCharType="end"/>
    </w:r>
  </w:p>
  <w:p w:rsidR="005A3319" w:rsidRDefault="005A3319" w:rsidP="005A3319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17E"/>
    <w:multiLevelType w:val="hybridMultilevel"/>
    <w:tmpl w:val="F18C4E32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B5B9C"/>
    <w:multiLevelType w:val="hybridMultilevel"/>
    <w:tmpl w:val="8B3A947E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7C16287"/>
    <w:multiLevelType w:val="hybridMultilevel"/>
    <w:tmpl w:val="261682E8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73054"/>
    <w:multiLevelType w:val="hybridMultilevel"/>
    <w:tmpl w:val="811C762C"/>
    <w:lvl w:ilvl="0" w:tplc="CA9C4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B119B1"/>
    <w:multiLevelType w:val="hybridMultilevel"/>
    <w:tmpl w:val="C78E3F4E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41081719"/>
    <w:multiLevelType w:val="hybridMultilevel"/>
    <w:tmpl w:val="C25E4D2E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5EC4405D"/>
    <w:multiLevelType w:val="hybridMultilevel"/>
    <w:tmpl w:val="00C28D6A"/>
    <w:lvl w:ilvl="0" w:tplc="EEB2C1A6">
      <w:start w:val="1"/>
      <w:numFmt w:val="bullet"/>
      <w:lvlText w:val=""/>
      <w:lvlJc w:val="left"/>
      <w:pPr>
        <w:tabs>
          <w:tab w:val="num" w:pos="1571"/>
        </w:tabs>
        <w:ind w:left="1741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624710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3F4"/>
    <w:rsid w:val="00060037"/>
    <w:rsid w:val="000E0AAC"/>
    <w:rsid w:val="001043F4"/>
    <w:rsid w:val="00147271"/>
    <w:rsid w:val="002265FB"/>
    <w:rsid w:val="00252A76"/>
    <w:rsid w:val="00393476"/>
    <w:rsid w:val="003D3545"/>
    <w:rsid w:val="003D35D9"/>
    <w:rsid w:val="005362FA"/>
    <w:rsid w:val="005A3319"/>
    <w:rsid w:val="005C41AC"/>
    <w:rsid w:val="005F561F"/>
    <w:rsid w:val="007855C9"/>
    <w:rsid w:val="00790AF6"/>
    <w:rsid w:val="007B7F09"/>
    <w:rsid w:val="007F3D36"/>
    <w:rsid w:val="00842686"/>
    <w:rsid w:val="008F11B6"/>
    <w:rsid w:val="00965916"/>
    <w:rsid w:val="00986456"/>
    <w:rsid w:val="009F0AE7"/>
    <w:rsid w:val="00AA3059"/>
    <w:rsid w:val="00B16D07"/>
    <w:rsid w:val="00BD3159"/>
    <w:rsid w:val="00BF63EF"/>
    <w:rsid w:val="00C10941"/>
    <w:rsid w:val="00C30337"/>
    <w:rsid w:val="00C95CE5"/>
    <w:rsid w:val="00ED4F06"/>
    <w:rsid w:val="00E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docId w15:val="{E666E39E-AEA3-46DF-8FB1-8E09B4A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A3319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A331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A331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A331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A331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A331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A331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A331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A331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EF04D8"/>
    <w:pPr>
      <w:ind w:firstLine="709"/>
      <w:jc w:val="center"/>
    </w:pPr>
  </w:style>
  <w:style w:type="character" w:customStyle="1" w:styleId="a7">
    <w:name w:val="Название Знак"/>
    <w:basedOn w:val="a3"/>
    <w:link w:val="a6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2"/>
    <w:link w:val="a9"/>
    <w:uiPriority w:val="99"/>
    <w:qFormat/>
    <w:rsid w:val="00EF04D8"/>
    <w:pPr>
      <w:ind w:firstLine="709"/>
      <w:jc w:val="center"/>
    </w:pPr>
  </w:style>
  <w:style w:type="character" w:customStyle="1" w:styleId="a9">
    <w:name w:val="Подзаголовок Знак"/>
    <w:basedOn w:val="a3"/>
    <w:link w:val="a8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footer"/>
    <w:basedOn w:val="a2"/>
    <w:link w:val="ab"/>
    <w:uiPriority w:val="99"/>
    <w:semiHidden/>
    <w:rsid w:val="005A331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c">
    <w:name w:val="Верхний колонтитул Знак"/>
    <w:basedOn w:val="a3"/>
    <w:link w:val="ad"/>
    <w:uiPriority w:val="99"/>
    <w:semiHidden/>
    <w:locked/>
    <w:rsid w:val="005A3319"/>
    <w:rPr>
      <w:noProof/>
      <w:kern w:val="16"/>
      <w:sz w:val="28"/>
      <w:szCs w:val="28"/>
      <w:lang w:val="ru-RU" w:eastAsia="ru-RU"/>
    </w:rPr>
  </w:style>
  <w:style w:type="character" w:styleId="ae">
    <w:name w:val="page number"/>
    <w:basedOn w:val="a3"/>
    <w:uiPriority w:val="99"/>
    <w:rsid w:val="005A3319"/>
  </w:style>
  <w:style w:type="paragraph" w:customStyle="1" w:styleId="FR1">
    <w:name w:val="FR1"/>
    <w:uiPriority w:val="99"/>
    <w:rsid w:val="00EF04D8"/>
    <w:pPr>
      <w:widowControl w:val="0"/>
      <w:spacing w:after="0" w:line="260" w:lineRule="auto"/>
      <w:ind w:firstLine="340"/>
      <w:jc w:val="both"/>
    </w:pPr>
  </w:style>
  <w:style w:type="paragraph" w:styleId="ad">
    <w:name w:val="header"/>
    <w:basedOn w:val="a2"/>
    <w:next w:val="af"/>
    <w:link w:val="ac"/>
    <w:uiPriority w:val="99"/>
    <w:rsid w:val="005A33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0">
    <w:name w:val="footnote reference"/>
    <w:basedOn w:val="a3"/>
    <w:uiPriority w:val="99"/>
    <w:semiHidden/>
    <w:rsid w:val="005A3319"/>
    <w:rPr>
      <w:sz w:val="28"/>
      <w:szCs w:val="28"/>
      <w:vertAlign w:val="superscript"/>
    </w:rPr>
  </w:style>
  <w:style w:type="paragraph" w:styleId="af">
    <w:name w:val="Body Text"/>
    <w:basedOn w:val="a2"/>
    <w:link w:val="af1"/>
    <w:uiPriority w:val="99"/>
    <w:rsid w:val="005A3319"/>
    <w:pPr>
      <w:widowControl w:val="0"/>
      <w:autoSpaceDE w:val="0"/>
      <w:autoSpaceDN w:val="0"/>
      <w:adjustRightInd w:val="0"/>
      <w:ind w:firstLine="709"/>
    </w:pPr>
  </w:style>
  <w:style w:type="character" w:customStyle="1" w:styleId="af1">
    <w:name w:val="Основной текст Знак"/>
    <w:basedOn w:val="a3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5A3319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basedOn w:val="a3"/>
    <w:uiPriority w:val="99"/>
    <w:rsid w:val="005A3319"/>
    <w:rPr>
      <w:color w:val="0000FF"/>
      <w:u w:val="single"/>
    </w:rPr>
  </w:style>
  <w:style w:type="character" w:customStyle="1" w:styleId="11">
    <w:name w:val="Текст Знак1"/>
    <w:basedOn w:val="a3"/>
    <w:link w:val="af4"/>
    <w:uiPriority w:val="99"/>
    <w:locked/>
    <w:rsid w:val="005A331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5A3319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basedOn w:val="a3"/>
    <w:link w:val="aa"/>
    <w:uiPriority w:val="99"/>
    <w:semiHidden/>
    <w:locked/>
    <w:rsid w:val="005A3319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5A3319"/>
    <w:pPr>
      <w:widowControl w:val="0"/>
      <w:numPr>
        <w:numId w:val="9"/>
      </w:numPr>
      <w:autoSpaceDE w:val="0"/>
      <w:autoSpaceDN w:val="0"/>
      <w:adjustRightInd w:val="0"/>
      <w:jc w:val="left"/>
    </w:pPr>
  </w:style>
  <w:style w:type="character" w:customStyle="1" w:styleId="af6">
    <w:name w:val="номер страницы"/>
    <w:basedOn w:val="a3"/>
    <w:uiPriority w:val="99"/>
    <w:rsid w:val="005A3319"/>
    <w:rPr>
      <w:sz w:val="28"/>
      <w:szCs w:val="28"/>
    </w:rPr>
  </w:style>
  <w:style w:type="paragraph" w:styleId="af7">
    <w:name w:val="Normal (Web)"/>
    <w:basedOn w:val="a2"/>
    <w:uiPriority w:val="99"/>
    <w:rsid w:val="005A331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A3319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5A3319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A331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A331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A3319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5A3319"/>
    <w:pPr>
      <w:numPr>
        <w:numId w:val="10"/>
      </w:numPr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A3319"/>
    <w:pPr>
      <w:numPr>
        <w:numId w:val="11"/>
      </w:numPr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A3319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A3319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A3319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A3319"/>
    <w:rPr>
      <w:i/>
      <w:iCs/>
    </w:rPr>
  </w:style>
  <w:style w:type="paragraph" w:customStyle="1" w:styleId="af8">
    <w:name w:val="схема"/>
    <w:basedOn w:val="a2"/>
    <w:uiPriority w:val="99"/>
    <w:rsid w:val="005A331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9">
    <w:name w:val="ТАБЛИЦА"/>
    <w:next w:val="a2"/>
    <w:autoRedefine/>
    <w:uiPriority w:val="99"/>
    <w:rsid w:val="005A3319"/>
    <w:pPr>
      <w:spacing w:after="0" w:line="360" w:lineRule="auto"/>
    </w:pPr>
    <w:rPr>
      <w:color w:val="000000"/>
      <w:sz w:val="20"/>
      <w:szCs w:val="20"/>
    </w:rPr>
  </w:style>
  <w:style w:type="paragraph" w:styleId="afa">
    <w:name w:val="footnote text"/>
    <w:basedOn w:val="a2"/>
    <w:link w:val="afb"/>
    <w:autoRedefine/>
    <w:uiPriority w:val="99"/>
    <w:semiHidden/>
    <w:rsid w:val="005A3319"/>
    <w:pPr>
      <w:autoSpaceDE w:val="0"/>
      <w:autoSpaceDN w:val="0"/>
      <w:ind w:firstLine="709"/>
    </w:pPr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rPr>
      <w:sz w:val="20"/>
      <w:szCs w:val="20"/>
    </w:rPr>
  </w:style>
  <w:style w:type="paragraph" w:customStyle="1" w:styleId="afc">
    <w:name w:val="титут"/>
    <w:uiPriority w:val="99"/>
    <w:rsid w:val="005A3319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2917</Words>
  <Characters>16629</Characters>
  <Application>Microsoft Office Word</Application>
  <DocSecurity>0</DocSecurity>
  <Lines>138</Lines>
  <Paragraphs>39</Paragraphs>
  <ScaleCrop>false</ScaleCrop>
  <Company>Home</Company>
  <LinksUpToDate>false</LinksUpToDate>
  <CharactersWithSpaces>19507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банк України</dc:title>
  <dc:subject/>
  <dc:creator>home</dc:creator>
  <cp:keywords/>
  <dc:description/>
  <cp:lastModifiedBy>admin</cp:lastModifiedBy>
  <cp:revision>2</cp:revision>
  <cp:lastPrinted>2006-12-05T20:43:00Z</cp:lastPrinted>
  <dcterms:created xsi:type="dcterms:W3CDTF">2014-02-22T05:49:00Z</dcterms:created>
  <dcterms:modified xsi:type="dcterms:W3CDTF">2014-02-22T05:49:00Z</dcterms:modified>
</cp:coreProperties>
</file>