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41" w:rsidRPr="0064386A" w:rsidRDefault="00AC0E41" w:rsidP="00AC0E41">
      <w:pPr>
        <w:spacing w:before="120"/>
        <w:jc w:val="center"/>
        <w:rPr>
          <w:b/>
          <w:bCs/>
          <w:sz w:val="32"/>
          <w:szCs w:val="32"/>
        </w:rPr>
      </w:pPr>
      <w:r w:rsidRPr="0064386A">
        <w:rPr>
          <w:b/>
          <w:bCs/>
          <w:sz w:val="32"/>
          <w:szCs w:val="32"/>
        </w:rPr>
        <w:t xml:space="preserve">Взаимодействие средств, применяемых для лечения соматических заболеваний, и психотропных препаратов </w:t>
      </w:r>
    </w:p>
    <w:p w:rsidR="00AC0E41" w:rsidRPr="0064386A" w:rsidRDefault="00AC0E41" w:rsidP="00AC0E41">
      <w:pPr>
        <w:spacing w:before="120"/>
        <w:ind w:firstLine="567"/>
        <w:jc w:val="both"/>
        <w:rPr>
          <w:sz w:val="28"/>
          <w:szCs w:val="28"/>
        </w:rPr>
      </w:pPr>
      <w:r w:rsidRPr="0064386A">
        <w:rPr>
          <w:sz w:val="28"/>
          <w:szCs w:val="28"/>
        </w:rPr>
        <w:t>М.Ю. Дробижев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При лечении психических расстройств у пациентов, страдающих соматическими заболеваниями (СЗ), могут возникать показания к одновременному назначению различных видов психотропной терапии и средств, используемых в клинике внутренних болезней. При этом необходимо учитывать возможность перекрестного влияния такой фармакотерапии на функции центральной нервной системы (ЦНС) и внутренних органов, а также особенности лекарственных взаимодействий препаратов. Исследованию данных проблем посвящены многочисленные работы [1 – 7]. При этом подчеркивается, что наиболее важным в аспекте практического применения является изучение влияния психотропных средств на деятельность внутренних органов (так называемые соматотропные эффекты психофармакотерапии) </w:t>
      </w:r>
      <w:hyperlink r:id="rId4" w:anchor="R1#R1" w:history="1">
        <w:r w:rsidRPr="00AD17B4">
          <w:rPr>
            <w:rStyle w:val="a3"/>
            <w:vertAlign w:val="superscript"/>
          </w:rPr>
          <w:t>1</w:t>
        </w:r>
      </w:hyperlink>
      <w:r w:rsidRPr="00AD17B4">
        <w:t>, а также лекарственных взаимодействий психо- и соматотропных препаратов.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Целью настоящего обзора является систематизация имеющихся в литературе данных по указанной проблеме</w:t>
      </w:r>
      <w:hyperlink r:id="rId5" w:anchor="R2#R2" w:history="1">
        <w:r w:rsidRPr="00AD17B4">
          <w:rPr>
            <w:rStyle w:val="a3"/>
            <w:vertAlign w:val="superscript"/>
          </w:rPr>
          <w:t>2</w:t>
        </w:r>
      </w:hyperlink>
      <w:r w:rsidRPr="00AD17B4">
        <w:t>. Наибольшее внимание уделено лекарственным взаимодействиям соматотропных средств и транквилизаторов, антидепрессантов (тимолептиков), нейролептиков (антипсихотических средств) и нормотимиков, поскольку психотропные средства данных классов чаще всего используют при лечении психических расстройств [8, 9]. В то же время опускаются данные о некоторых иных психофармакотерапевтических медикаментах, которые либо сравнительно редко назначаются в комбинации с соматотропными веществами (психостимуляторы), либо почти не вступают с ними в клинически значимые взаимодействия (ноотропы) [4, 10].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При сочетании производных метилксантина (эуфиллин, теофиллин) с бензодиазепиновыми транквилизаторами может произойти незначительное повышение артериального давления, а также ускорение биотрансформации теофиллина [1]. Известно, что фармакологические эффекты ингаляционных симпатомиметиков потенцируются трициклическими антидепрессантами (ТЦА) и селективными блокаторами обратного захвата норадреналина (СБОЗН) вплоть до развития токсического воздействия на сердечно-сосудистую систему [11 – 13]. Так, показано, что при сочетании изадрина и амитриптилина возможно появление тахикардии и аритмии сердца [1]. Неблагоприятные воздействия на сердечно-сосудистую систему могут наблюдаться и при использовании периферических a</w:t>
      </w:r>
      <w:r w:rsidRPr="00AD17B4">
        <w:rPr>
          <w:vertAlign w:val="subscript"/>
        </w:rPr>
        <w:t>1</w:t>
      </w:r>
      <w:r w:rsidRPr="00AD17B4">
        <w:t>-адреномиметиков нафазолина (нафтизин) и ксилометазолина (галазолин) на фоне приема СБОЗН (мапротилин). При этом отмечаются тахикардия, развитие гипертонических кризов [11]. Общеизвестна необходимость избегать совместного назначения b-адреномиметиков (изадрин), периферических a-адреномиметиков (нафазолин, ксилометазолин) с ингибиторами моноаминоксидазы (ИМАО) из-за опасности развития гипертонических кризов, гипертермии, судорог и даже летального исхода</w:t>
      </w:r>
      <w:hyperlink r:id="rId6" w:anchor="R3#R3" w:history="1">
        <w:r w:rsidRPr="00AD17B4">
          <w:rPr>
            <w:rStyle w:val="a3"/>
            <w:vertAlign w:val="superscript"/>
          </w:rPr>
          <w:t>3</w:t>
        </w:r>
      </w:hyperlink>
      <w:r w:rsidRPr="00AD17B4">
        <w:t xml:space="preserve"> [1, 3, 12, 14]. При сочетании теофиллина с некоторыми селективными ингибиторами обратного захвата серотонина (СИОЗС), в частности с флувоксамином и пароксетином, отмечается клинически значимое увеличение содержания теофиллина в плазме крови с возможностью развития серьезных побочных проявлений (нарушения сердечного ритма) [12, 15, 16]. Наконец, при совместном применении теофиллина и ИМАО может наблюдаться небольшое повышение артериального давления [1]. Производные метилксантина уменьшают прямой психотропный эффект солей лития [1, 6, 17]. При сочетании теофиллина с карбамазепином происходит снижение фармакологических эффектов первого препарата [12, 18].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При сочетании центрального a-адреномиметика клонидина (клофелин) с транквилизаторами возможно усиление гипотензивного эффекта и угнетающего действия на ЦНС [1, 12]. ТЦА уменьшают гипотензивный эффект клонидина. Имеются даже указания на клинически значимый гипертензивный эффект сочетания клонидина с имипрамином или дезипрамином, метилдопа с любыми ТЦА [4, 8, 11, 14, 17, 19, 20]. Совместное назначение клонидина и ТЦА может также привести к усилению угнетающего действия на ЦНС [1, 11, 12]. При внезапной же отмене ТЦА и СБОЗН (мапротилин) может произойти резкое снижение артериального давления за счет восстановления гипотензивного эффекта центральных a-адреномиметиков. 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Нейролептики – производные фенотиазина, а также блокаторы D</w:t>
      </w:r>
      <w:r w:rsidRPr="00AD17B4">
        <w:rPr>
          <w:vertAlign w:val="superscript"/>
        </w:rPr>
        <w:t>2</w:t>
      </w:r>
      <w:r w:rsidRPr="00AD17B4">
        <w:t>-допаминовых рецепторов (тиаприд) снижают гипотензивный эффект препаратов группы клонидина. При этом возможно увеличение собственной токсичности антипсихотических средств (седативное действие, экстрапирамидные расстройства) [1, 8, 13, 14, 16, 19, 21]. При сочетанном применении a-адреномиметиков с солями лития наблюдается взаимное cнижение терапевтического эффекта при одновременном усилении токсичности [1, 12, 17]. При комбинации периферических a-адреноблокаторов (фентоламин, тропафен, индорамин, празозин) с производными бензодиазепина, ТЦА, ИМАО и алифатическими производными фенотиазина возможно усиление адренолитического эффекта вплоть до развития тяжелой гипотензивной реакции. Одновременно наблюдается усиление рефлекторной тахикардии [1, 12, 14, 15], а также седативного эффекта анксиолитиков [12].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Результаты взаимодействия b-адреноблокаторов и психотропных средств могут носить как терапевтически желательный, так и неблагоприятный характер. В частности, совместное применение неселективных b-адреноблокаторов (пропранолол) и производных бензодиазепина повышает вероятность взаимного усиления угнетающего действия препаратов на ЦНС [1]. Пропранолол и ТЦА могут приводить к дизрегуляции артериального давления (возникновение гипертонических кризов) [1, 14]. Имеются сообщения о высокой вероятности развития желудочковых аритмий при комбинации соталола и ТЦА [12]. Наконец, сочетание b-адреноблокаторов с ИМАО чревато опасностью развития гипертонических кризов [11, 14, 17, 19]. Некоторые СИОЗС (флувоксамин) вызывают значительное повышение концентрации пропранолола в плазме крови, что приводит к дополнительному снижению частоты сердечных сокращений и диастолического артериального давления при физической нагрузке [4,15, 22], а также к развитию полной атриовентрикулярной блокады [23]. Однако перечисленные эффекты не были продемонстрированы у других препаратов рассматриваемой группы антидепрессантов (сертралин, пароксетин, флуоксетин) [2, 7, 15, 24 – 26]. Хлорпромазин и другие фенотиазиновые нейролептики могут потенцировать гипотензивный эффект некоторых b-адреноблокаторов (пропранолол). В свою очередь пропранолол усиливает побочные действия хлорпромазина (седативное, экстрапирамидное и др.) [3, 8, 12, 14, 16, 27].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Вместе с тем некоторые результаты взаимодействия b-адреноблокаторов и психотропных средств расцениваются как терапевтически желательные. Так, рассматриваемые кардиотропные препараты нашли применение в лечении ряда осложнений психофармакотерапии. Например, пропранолол с успехом применяется при лечении тремора, возникшего на фоне приема лития [1, 14, 28, 29]. Имеются сообщения об успешной фармакотерапии рассматриваемых расстройств атенололом и надололом.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При сочетании блокаторов кальциевых каналов (БКК) – дилтиазема и верапамила – с ТЦА (имипрамин) возможны нарушения проводимости сердца [1, 12, 16]. Сочетание нифедипина и ТЦА может приводить к усилению гипотензивного действия БКК [4]. Аналогичное взаимодействие отмечается при совместном применении нейролептиков и БКК [12]. Что касается нормотимиков, то имеются указания на возможность развития нефротоксического эффекта при сочетании БКК с препаратами лития [6]. Дилтиазем и верапамил могут усиливать психотропное действие карбамазепина [12, 18]. При комбинации некоторых других БКК (фелодипин, исрадипин) с карбамазепином гипотензивный эффект первых уменьшается [12].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При комбинации ингибиторов ангиотензинпревращающего фермента (ИАПФ) с транквилизаторами и антидепрессантами и нейролептиками (производные фенотиазина) отмечается усиление гипотензивного эффекта, а также развитие ортостатической гипотензии [12, 16]. Имеются также сообщения о случаях усиления токсических воздействий солей лития при их сочетании с ИАПФ (каптоприл и эналаприл) [4, 6, 30, 31].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ТЦА и СБОЗН уменьшают гипотензивное действие гуанетидина [16, 17, 20]. Сочетание производных гуанетидина с ИМАО может привести к парадоксальному повышению артериального давления, но возможно и его значительное снижение [14, 17]. Гипотензивный эффект производных гуанетидина при сочетанном применении с фенотиазиновыми нейролептиками и производными бутирофенона (галоперидол) снижается [3, 8,14, 16].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Прессорный эффект вводимых парентерально симпатомиметиков прямого действия (адреналин, норадреналин, мезатон) значимо возрастает при их сочетании с ТЦА и СБОЗН. При этом могут возникать сильная головная боль, тахикардия, аритмии сердца, гипертонические кризы [1, 11, 12, 14, 17, 20, 24]. Сочетания адреналина, мезатона, эфедрина с ИМАО противопоказаны из-за опасности развития повышения артериального давления, гипертермии, судорог, летального исхода [1, 3, 12, 14, 17] – т.е. признаков “сырного эффекта”, чреватого летальным исходом. При комбинации адреналина и эфедрина с алифатическими производными фенотиазина (хлопромазин, левомепромазин), а также с бутирофенонами (галоперидол, дроперидол) или тиоксантеном (хлорпротиксен) возможно извращение прессорного действия симпатомиметика с развитием тяжелой гипотензии [1, 3, 12, 14, 16]. Сходный эффект возможен и при сочетании норадреналина с препаратами лития [1].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Производные бензодиазепина способны потенцировать действие противоаритмических препаратов IV класса (дилтиазема) [8, 32]. Наиболее выражено потенцирование как терапевтических, так и неблагоприятных (проаритмогенное действие) эффектов при взаимодействии ТЦА, некоторых нейролептиков (производные фенотиазина) с антиаритмическими препаратами классов Iа (хинидин, новокаинамид, этмозин), Ib (лидокаин, дифенин), Ic (флекаинид) и III (амиодарон, соталол) [8, 12, 14, 15, 20]. Флуоксетин может потенцировать эффекты флекаинида (класс Ic) [12, 15]. 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При сочетании сердечных гликозидов (дигоксин) и ТЦА возможно снижение насосной функции левого желудочка и возникновение аритмий сердца [33]. При одновременном приеме препаратов наперстянки и некоторых СИОЗС (пароксетин, флуоксетин) возрастает риск неблагоприятных воздействий сердечных гликозидов [11, 15, 25]. Селективный ингибитор нейронального захвата серотонина (СИНЗС)тразодон увеличивает содержание дигоксина в плазме крови [20]. При сочетании сердечных гликозидов с нейролептиками наблюдается снижение кардиотропного эффекта первых, причем одновременно усиливается собственная токсичность производных наперстянки [1, 12]. Совместное применение производных наперстянки и солей лития не рекомендуется из-за опасности возникновения или усугубления нарушений проводимости сердца и повышения эктопической активности миокарда (проаритмогенное действие). При сочетании дигоксина и дигитоксина с карбамазепином происходит уменьшение кардиотропных эффектов препаратов наперстянки [12, 18].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Среди клинически значимых проявлений сочетания антиангинальных средств и психотропных препаратов следует отметить нарастание рефлекторной тахикардии при совместном назначении ТЦА с фармакологическими агентами, воздействующими на гладкие мышцы сосудов (нитраты, нитропруссид натрия и др.) [14, 19], что может привести к снижению антиангинального эффекта последних [15]. Биодоступность нитроглицерина при сублингвальном приеме снижается вследствие возникающей на фоне лечения ТЦА сухости слизистых полости рта [12, 15].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Гель-структурные антациды (альмагель, маалокс) ухудшают всасывание ряда психотропных средств, в частности, бензодиазепиновых транквилизаторов, нейролептиков и некоторых альтернативных нормотимиков (габапентин) [3, 14, 16, 17, 19]. Блокатор Н</w:t>
      </w:r>
      <w:r w:rsidRPr="00AD17B4">
        <w:rPr>
          <w:vertAlign w:val="superscript"/>
        </w:rPr>
        <w:t>2</w:t>
      </w:r>
      <w:r w:rsidRPr="00AD17B4">
        <w:t>-гистаминовых рецепторов циметидин снижает клиренс и увеличивает содержание в крови ряда производных бензодиазепина (диазепам, хлордиазепоксид, мезапам, алпразолам) [12, 14, 16, 19, 34]. Циметидин может замедлять метаболизм ТЦА (амитриптилин, дезипрамин, доксепин, имипрамин, нортриптилин), СБОЗН (мапротилин), обратимых ингибиторов моноаминоксидазы типа (ОИМАО-А – моклобемид), некоторых нейролептиков (хлопромазин, клозапин) и нормотимиков (карбамазепин, габапентин), что приводит к повышению концентрации психотропных средств в плазме крови и развитию их токсических проявлений [11, 12, 15, 16, 18, 20]. Следует также указать на возможность развития агранулоцитоза со смертельным исходом при сочетанном применении хлорпромазина и циметидина [3, 14]. Наконец, при комбинированном назначении блокаторов D</w:t>
      </w:r>
      <w:r w:rsidRPr="00AD17B4">
        <w:rPr>
          <w:vertAlign w:val="superscript"/>
        </w:rPr>
        <w:t>2</w:t>
      </w:r>
      <w:r w:rsidRPr="00AD17B4">
        <w:t>-допаминовых рецепторов (тиаприд) и метоклопрамида (церукал) возможно усиление экстрапирамидных побочных симптомов тиаприда [21].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Результаты взаимодействия диуретиков и психотропных средств могут носить как терапевтически желательный, так и нежелательный характер, например усиление артериальной гипотонии при совместном применении транквилизаторов и диуретиков [3, 4, 14]. Сочетание тиазидных диуретиков с ТЦА и нейролептиками разных химических групп (флуфеназин-деканоат, галоперидол, тиоридазин) может приводить к развитию синдрома непропорциональной секреции антидиуретического гормона гипофиза (сонливость, головная боль, анорексия, тошнота, рвота, депрессия, потеря сознания) [1, 3]. Совместное применение рассматриваемых мочегонных средств c фенотиазиновыми производными (хлопромазин), ИМАО и ТЦА может также спровоцировать тяжелую гипотензивную реакцию [12, 14, 17, 27]. Указывают также на случаи развития желудочковых аритмий при назначении некоторых нейролептиков (пимозид) на фоне гипокалиемии, вызванной действием тиазидных диуретиков [12]. Калийсберегающий диуретик спиронолактон (верошпирон) снижает психотропную активность производных фенотиазина [27]. На фоне сочетанного применения препаратов лития и мочегонных средств разных групп может развиваться литиевая интоксикация, однако степень риска ее возникновения варьирует. Так, наиболее значительное повышение концентрации лития в крови наблюдается при использовании тиазидных диуретиков [1, 12]. Петлевые диуретики и калийсберегающие препараты вызывают менее выраженную ретенцию лития в организме [35]. Среди других взаимодействий нормотимиков с мочегонными препаратами следует указать на возможность усиления артериальной гипотонии при сочетании диуретиков всех групп с карбамазепином [12]. К терапевтически желательным эффектам взаимодействия диуретиков и психотропных средств традиционно относят редуцирующее воздействие тиазидных диуретиков на литийиндуцированную полиурию [17]. Таким же эффектом обладают и некоторые калийсберегающие диуретики (амилорид) [5, 36]. Другим терапевтически желательным эффектом взаимодействия психотропных и мочегонных средств является редуцирующее влияние осмотических диуретиков (маннитол) и ацетазоламида (диакарб) на литиевую интоксикацию за счет увеличения клиренса лития. Известно, что рассматриваемые диуретики даже применялись в качестве антидотов при отравлении солями лития [6, 12, 17]. 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Некоторые транквилизаторы (мепротан и диазепам) снижают активность антикоагулянтов непрямого действия (варфарин) [14]. Напротив, при сочетании ТЦА и ИМАО с варфарином отмечается увеличение протромбинового индекса [14]. При одновременном приеме непрямых антикоагулянтов (варфарин, никумалон) и СИОЗС (сертралин, флуоксетин) происходит усиление кровоточивости [11, 12, 16, 22]. Совместное применение непрямых антикоагулянтов и производных фенотиазина может привести к усилению противосвертывающего эффекта (гипопротромбинемия, снижению коагуляционных свойств крови) [1]. Галоперидол и некоторые нормотимики (карбамазепин), напротив, способствуют инактивации непрямых антикоагулянтов [17, 18]. Наконец, сообщается об уменьшении антикоагулянтного эффекта никумалона, дикумарола и варфарина при их комбинации с карбамазепином [12, 18].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Токсичность нестероидных противовоспалительных средств (НПВС) увеличивается при их комбинации с ТЦА [14]. С другой стороны, есть указания на то, что ТЦА могут снижать всасывание в кишечнике некоторых НПВС (в частности, фенилбутазона) [17]. На фоне приема кортикостероидов, а также некоторых НПВС (аспирин) отмечено повышение уровня плазменной концентрации ТЦА [13, 17]. Производные ацетаминофена (парацетамол) могут замедлять метаболизм нейролептиков фенотиазинового ряда и увеличивать содержание последних в плазме крови [17]. НПВС (индометацин, пироксикам, фенилбутазон, диклофенак) повышают концентрацию солей лития в крови вплоть до развития литиевой интоксикации [6, 14, 37 – 39]. При сочетании некоторых глюкокортикоидов (кортизон) с карбамазепином содержание в плазме крови таких гормональных препаратов снижается [18].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При сочетании антидиабетических препаратов с производными бензодиазепина наблюдается усиление гипогликемического эффекта [14]. ИМАО могут потенцировать индуцированную инсулином гипогликемию, усиливать эффект глибенкламида и других сахароснижающих препаратов [1, 14, 16, 17, 40]. Аналогичным образом необходима осторожность при совместном назначении пероральных сахароснижающих средств и некоторых СИОЗС (сертралин) [22]. С другой стороны, не отмечено клинически значимого воздействия других СИОЗС (флуоксетин) на фармакокинетику некоторых антидиабетических препаратов (толбутамид) [25]. Совместный прием тиреоидина и имипрамина может спровоцировать пароксизмальную предсердную тахикардию [11, 14, 24]. Такой же эффект отмечен при сочетании гормонов щитовидной железы и СБОЗН (мапротилин) [11]. Следует также иметь в виду, что при взаимодействии с ТЦА медикаментов, используемых для лечения гипертиреоза (мерказолил, радиоактивный йод), увеличивается риск агранулоцитоза [11]. Нейролептики (производные фенотиазина), по данным некоторых авторов, ослабляют активность ряда гипогликемизирующих медикаментов (в частности, инсулина и производных сульфонилмочевины) [1, 12, 14, 17]. 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Макролиды (эритромицин) нарушают метаболизм бензодиазепинов (алпразолам) in vitro и мидазолама [12, 16, 34] in vivo, что приводит к повышению концентрации указанных препаратов в плазме крови. Сходным образом изониазид угнетает метаболизм диазепама [12]. Рифампицин, напротив, увеличивает метаболизм диазепама и, возможно, других бензодиазепинов [12]. Аналогичный эффект наблюдается при совместном применении хлорамфеникола (левомицетин) и некоторых метаболизируемых гепатоцитами антидепрессантов (ТЦА) [13]. Показано, что концентрация атипичного антипсихотика клозапина в сыворотке крови может резко увеличиваться (вплоть до развития токсических проявлений) под действием антибиотиков из группы макролидов [41]. Прямо противоположный эффект отмечается при сочетании рифампицина и галоперидола [12]. Описаны отдельные случаи поражения почечных канальцев при сочетании солей лития с тетрациклинами [14]. Другой нормотимик – карбамазепин уменьшает антимикробное действие доксициклина [18]. </w:t>
      </w:r>
      <w:r>
        <w:t xml:space="preserve"> </w:t>
      </w:r>
    </w:p>
    <w:p w:rsidR="00AC0E41" w:rsidRPr="00AD17B4" w:rsidRDefault="00AC0E41" w:rsidP="00AC0E41">
      <w:pPr>
        <w:spacing w:before="120"/>
        <w:ind w:firstLine="567"/>
        <w:jc w:val="both"/>
      </w:pPr>
      <w:r w:rsidRPr="00AD17B4">
        <w:t>Завершая обзор литературы, необходимо указать на два ограничения, связанные с использованием содержащихся в нем данных. Первое из них обусловлено тем, что рассмотренные эффекты взаимодействия соматотропных и психотропных лекарственных средств могут существенно изменяться при определенных соотношениях доз. При этом между препаратами могут возникать и иные, не рассмотренные в этой работе взаимные влияния. Второе ограничение связано с тем, что представленные данные касаются прежде всего вариантов интеракции двух препаратов. Тогда как при совместном назначении трех и более лекарственных средств конечный эффект такой медикаментозной комбинации может существенным образом отличаться от указанного.</w:t>
      </w:r>
    </w:p>
    <w:p w:rsidR="00AC0E41" w:rsidRPr="0064386A" w:rsidRDefault="00AC0E41" w:rsidP="00AC0E41">
      <w:pPr>
        <w:spacing w:before="120"/>
        <w:jc w:val="center"/>
        <w:rPr>
          <w:b/>
          <w:bCs/>
          <w:sz w:val="28"/>
          <w:szCs w:val="28"/>
        </w:rPr>
      </w:pPr>
      <w:r w:rsidRPr="0064386A">
        <w:rPr>
          <w:b/>
          <w:bCs/>
          <w:sz w:val="28"/>
          <w:szCs w:val="28"/>
        </w:rPr>
        <w:t>Список литературы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1. Балткайс Я.Я., Фатеев В.А. Взаимодействие лекарственных веществ. – М., 1991.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 xml:space="preserve">2. Мосолов С.Н. Клиническое применение современных антидепрессантов. – СПб., 1995. 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3. Райский В.А. Психотропные средства в клинике внутренних болезней. – М., 1988.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4. Справочник Видаль. Лекарственные препараты в России. – М., 1997.</w:t>
      </w:r>
      <w:r>
        <w:t xml:space="preserve">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5. Boton R, Gaviria M, Batlle DC. Am J Kidney Dis 1987;10:329–45.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6. Finley PR, Warner MD, Peabody CA. Clin Pharmacokinet 1995;29:172–91. </w:t>
      </w:r>
    </w:p>
    <w:p w:rsidR="00AC0E41" w:rsidRDefault="00AC0E41" w:rsidP="00AC0E41">
      <w:pPr>
        <w:spacing w:before="120"/>
        <w:ind w:firstLine="567"/>
        <w:jc w:val="both"/>
      </w:pPr>
      <w:r w:rsidRPr="00F06774">
        <w:rPr>
          <w:lang w:val="en-US"/>
        </w:rPr>
        <w:t xml:space="preserve">7. Fisch C, Knoebel SB. </w:t>
      </w:r>
      <w:r w:rsidRPr="00AD17B4">
        <w:t>Drug Investigation 1992;4:305–12.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8. Дроздов Д.В., Аллилуев И.Г., Полтавская М.Г. // Психические расстройства и сердечно-сосудистая патология / Под ред. А.Б.Смулевича, А.Л.Сыркина. – М., 1994. – С. 101–113.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9. Сыркин А.Л. Инфаркт миокарда. – М., 1991.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10. Шубина Т.И., Зайцев В.П. // Клин медицина – 1989. – №5. – С. 36–38.</w:t>
      </w:r>
      <w:r>
        <w:t xml:space="preserve">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AD17B4">
        <w:t>11. Информация о лекарственных средствах для специалистов здравоохранения. Выпуск 1: Лекарственные средства, действующие на центральную нервную систему / Под ред. М</w:t>
      </w:r>
      <w:r w:rsidRPr="00F06774">
        <w:rPr>
          <w:lang w:val="en-US"/>
        </w:rPr>
        <w:t>.</w:t>
      </w:r>
      <w:r w:rsidRPr="00AD17B4">
        <w:t>Д</w:t>
      </w:r>
      <w:r w:rsidRPr="00F06774">
        <w:rPr>
          <w:lang w:val="en-US"/>
        </w:rPr>
        <w:t xml:space="preserve">. </w:t>
      </w:r>
      <w:r w:rsidRPr="00AD17B4">
        <w:t>Машковского</w:t>
      </w:r>
      <w:r w:rsidRPr="00F06774">
        <w:rPr>
          <w:lang w:val="en-US"/>
        </w:rPr>
        <w:t xml:space="preserve"> – </w:t>
      </w:r>
      <w:r w:rsidRPr="00AD17B4">
        <w:t>М</w:t>
      </w:r>
      <w:r w:rsidRPr="00F06774">
        <w:rPr>
          <w:lang w:val="en-US"/>
        </w:rPr>
        <w:t xml:space="preserve">., 1996.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12. British National Formulary №31. British medical association and Royal pharmaceutical society of Great Britain. 1996.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13. Clark WG, del Giudice J. Principles of psychopharmacology. 1978.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14. </w:t>
      </w:r>
      <w:r w:rsidRPr="00AD17B4">
        <w:t>Спивак</w:t>
      </w:r>
      <w:r w:rsidRPr="00F06774">
        <w:rPr>
          <w:lang w:val="en-US"/>
        </w:rPr>
        <w:t xml:space="preserve"> </w:t>
      </w:r>
      <w:r w:rsidRPr="00AD17B4">
        <w:t>Л</w:t>
      </w:r>
      <w:r w:rsidRPr="00F06774">
        <w:rPr>
          <w:lang w:val="en-US"/>
        </w:rPr>
        <w:t>.</w:t>
      </w:r>
      <w:r w:rsidRPr="00AD17B4">
        <w:t>И</w:t>
      </w:r>
      <w:r w:rsidRPr="00F06774">
        <w:rPr>
          <w:lang w:val="en-US"/>
        </w:rPr>
        <w:t xml:space="preserve">., </w:t>
      </w:r>
      <w:r w:rsidRPr="00AD17B4">
        <w:t>Райский</w:t>
      </w:r>
      <w:r w:rsidRPr="00F06774">
        <w:rPr>
          <w:lang w:val="en-US"/>
        </w:rPr>
        <w:t xml:space="preserve"> </w:t>
      </w:r>
      <w:r w:rsidRPr="00AD17B4">
        <w:t>В</w:t>
      </w:r>
      <w:r w:rsidRPr="00F06774">
        <w:rPr>
          <w:lang w:val="en-US"/>
        </w:rPr>
        <w:t>.</w:t>
      </w:r>
      <w:r w:rsidRPr="00AD17B4">
        <w:t>А</w:t>
      </w:r>
      <w:r w:rsidRPr="00F06774">
        <w:rPr>
          <w:lang w:val="en-US"/>
        </w:rPr>
        <w:t xml:space="preserve">., </w:t>
      </w:r>
      <w:r w:rsidRPr="00AD17B4">
        <w:t>Виленский</w:t>
      </w:r>
      <w:r w:rsidRPr="00F06774">
        <w:rPr>
          <w:lang w:val="en-US"/>
        </w:rPr>
        <w:t xml:space="preserve"> </w:t>
      </w:r>
      <w:r w:rsidRPr="00AD17B4">
        <w:t>Б</w:t>
      </w:r>
      <w:r w:rsidRPr="00F06774">
        <w:rPr>
          <w:lang w:val="en-US"/>
        </w:rPr>
        <w:t>.</w:t>
      </w:r>
      <w:r w:rsidRPr="00AD17B4">
        <w:t>С</w:t>
      </w:r>
      <w:r w:rsidRPr="00F06774">
        <w:rPr>
          <w:lang w:val="en-US"/>
        </w:rPr>
        <w:t xml:space="preserve">. </w:t>
      </w:r>
      <w:r w:rsidRPr="00AD17B4">
        <w:t>Осложнения</w:t>
      </w:r>
      <w:r w:rsidRPr="00F06774">
        <w:rPr>
          <w:lang w:val="en-US"/>
        </w:rPr>
        <w:t xml:space="preserve"> </w:t>
      </w:r>
      <w:r w:rsidRPr="00AD17B4">
        <w:t>психофармакологической</w:t>
      </w:r>
      <w:r w:rsidRPr="00F06774">
        <w:rPr>
          <w:lang w:val="en-US"/>
        </w:rPr>
        <w:t xml:space="preserve"> </w:t>
      </w:r>
      <w:r w:rsidRPr="00AD17B4">
        <w:t>терапии</w:t>
      </w:r>
      <w:r w:rsidRPr="00F06774">
        <w:rPr>
          <w:lang w:val="en-US"/>
        </w:rPr>
        <w:t xml:space="preserve">. – </w:t>
      </w:r>
      <w:r w:rsidRPr="00AD17B4">
        <w:t>Л</w:t>
      </w:r>
      <w:r w:rsidRPr="00F06774">
        <w:rPr>
          <w:lang w:val="en-US"/>
        </w:rPr>
        <w:t xml:space="preserve">., 1988.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15. Lane RM, Sweeney M, Henry JA. Brit J Clin Pract 1994;48:257–62.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16. Schatzber AF, DeBattista Ch, Ereshefsky L, et al. Primary psychiatry 1997;4(7):35–60.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17. Ban TA. Psychopharmacology for the aged. 1980.  </w:t>
      </w:r>
    </w:p>
    <w:p w:rsidR="00AC0E41" w:rsidRDefault="00AC0E41" w:rsidP="00AC0E41">
      <w:pPr>
        <w:spacing w:before="120"/>
        <w:ind w:firstLine="567"/>
        <w:jc w:val="both"/>
      </w:pPr>
      <w:r w:rsidRPr="00F06774">
        <w:rPr>
          <w:lang w:val="en-US"/>
        </w:rPr>
        <w:t xml:space="preserve">18. Greil W, Sassim N, Strubel-Sassim C. Manic- depressive illness: therapy with carbamazepine. </w:t>
      </w:r>
      <w:r w:rsidRPr="00AD17B4">
        <w:t>1996;68–79.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19. Райский В.А., Авруцкий Г.Я. // Тер архив – 1986. – N.10. – С. 51–55.</w:t>
      </w:r>
      <w:r>
        <w:t xml:space="preserve">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20. Nemeroff CB. J Clin Psychiatry 1994;55: [Suppl 12]:3–15.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21. Peters DH, Faulds D. Drugs 1994;47:1010–32.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22. Warringtone SJ. Int Clin Psychopharmacol 1991;6[Suppl 2]:11–21.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23. Drake WM, Gordon GD. Lancet 1994;343:425–6.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24. Смулевич А.Б., Дробижев М.Ю. // Русский медицинский журнал. – 1996. – № 1. – С. 4–10.</w:t>
      </w:r>
      <w:r>
        <w:t xml:space="preserve">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25. Стоукс П.Е. // Социальная и клиническая психиатрия. – 1995. – № 2. – С. 124–144.</w:t>
      </w:r>
      <w:r>
        <w:t xml:space="preserve">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26. Ziegler MG, Wilner KD. J Clin Psychiatry 1996;57[Suppl 1]:12–15. 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27. Клиническая фармакология / Под ред. В.Г. Кукеса – М., 1991.</w:t>
      </w:r>
      <w:r>
        <w:t xml:space="preserve">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28. Dav M. Can J Psychiatry – 1989;34:132-3.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29. Dav M, Langbart MM. Ann Clin Psychiatry 1994;6:51–2.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30. Mignat C, Unger T. Drug Saf 1995;12:334–47.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31. Shionoiri H. Clin Pharmacokinet 1993;25:20–58.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32. </w:t>
      </w:r>
      <w:r w:rsidRPr="00AD17B4">
        <w:t>Дроздов</w:t>
      </w:r>
      <w:r w:rsidRPr="00F06774">
        <w:rPr>
          <w:lang w:val="en-US"/>
        </w:rPr>
        <w:t xml:space="preserve"> </w:t>
      </w:r>
      <w:r w:rsidRPr="00AD17B4">
        <w:t>Д</w:t>
      </w:r>
      <w:r w:rsidRPr="00F06774">
        <w:rPr>
          <w:lang w:val="en-US"/>
        </w:rPr>
        <w:t>.</w:t>
      </w:r>
      <w:r w:rsidRPr="00AD17B4">
        <w:t>В</w:t>
      </w:r>
      <w:r w:rsidRPr="00F06774">
        <w:rPr>
          <w:lang w:val="en-US"/>
        </w:rPr>
        <w:t xml:space="preserve">., </w:t>
      </w:r>
      <w:r w:rsidRPr="00AD17B4">
        <w:t>Новикова</w:t>
      </w:r>
      <w:r w:rsidRPr="00F06774">
        <w:rPr>
          <w:lang w:val="en-US"/>
        </w:rPr>
        <w:t xml:space="preserve"> </w:t>
      </w:r>
      <w:r w:rsidRPr="00AD17B4">
        <w:t>Н</w:t>
      </w:r>
      <w:r w:rsidRPr="00F06774">
        <w:rPr>
          <w:lang w:val="en-US"/>
        </w:rPr>
        <w:t>.</w:t>
      </w:r>
      <w:r w:rsidRPr="00AD17B4">
        <w:t>А</w:t>
      </w:r>
      <w:r w:rsidRPr="00F06774">
        <w:rPr>
          <w:lang w:val="en-US"/>
        </w:rPr>
        <w:t xml:space="preserve">. // </w:t>
      </w:r>
      <w:r w:rsidRPr="00AD17B4">
        <w:t>Ипохондрия</w:t>
      </w:r>
      <w:r w:rsidRPr="00F06774">
        <w:rPr>
          <w:lang w:val="en-US"/>
        </w:rPr>
        <w:t xml:space="preserve"> </w:t>
      </w:r>
      <w:r w:rsidRPr="00AD17B4">
        <w:t>и</w:t>
      </w:r>
      <w:r w:rsidRPr="00F06774">
        <w:rPr>
          <w:lang w:val="en-US"/>
        </w:rPr>
        <w:t xml:space="preserve"> </w:t>
      </w:r>
      <w:r w:rsidRPr="00AD17B4">
        <w:t>соматоформные</w:t>
      </w:r>
      <w:r w:rsidRPr="00F06774">
        <w:rPr>
          <w:lang w:val="en-US"/>
        </w:rPr>
        <w:t xml:space="preserve"> </w:t>
      </w:r>
      <w:r w:rsidRPr="00AD17B4">
        <w:t>расстройства</w:t>
      </w:r>
      <w:r w:rsidRPr="00F06774">
        <w:rPr>
          <w:lang w:val="en-US"/>
        </w:rPr>
        <w:t xml:space="preserve"> / </w:t>
      </w:r>
      <w:r w:rsidRPr="00AD17B4">
        <w:t>Под</w:t>
      </w:r>
      <w:r w:rsidRPr="00F06774">
        <w:rPr>
          <w:lang w:val="en-US"/>
        </w:rPr>
        <w:t xml:space="preserve"> </w:t>
      </w:r>
      <w:r w:rsidRPr="00AD17B4">
        <w:t>ред</w:t>
      </w:r>
      <w:r w:rsidRPr="00F06774">
        <w:rPr>
          <w:lang w:val="en-US"/>
        </w:rPr>
        <w:t xml:space="preserve">. </w:t>
      </w:r>
      <w:r w:rsidRPr="00AD17B4">
        <w:t>А</w:t>
      </w:r>
      <w:r w:rsidRPr="00F06774">
        <w:rPr>
          <w:lang w:val="en-US"/>
        </w:rPr>
        <w:t>.</w:t>
      </w:r>
      <w:r w:rsidRPr="00AD17B4">
        <w:t>Б</w:t>
      </w:r>
      <w:r w:rsidRPr="00F06774">
        <w:rPr>
          <w:lang w:val="en-US"/>
        </w:rPr>
        <w:t>.</w:t>
      </w:r>
      <w:r w:rsidRPr="00AD17B4">
        <w:t>Смулевича</w:t>
      </w:r>
      <w:r w:rsidRPr="00F06774">
        <w:rPr>
          <w:lang w:val="en-US"/>
        </w:rPr>
        <w:t xml:space="preserve">. – </w:t>
      </w:r>
      <w:r w:rsidRPr="00AD17B4">
        <w:t>М</w:t>
      </w:r>
      <w:r w:rsidRPr="00F06774">
        <w:rPr>
          <w:lang w:val="en-US"/>
        </w:rPr>
        <w:t xml:space="preserve">., 1992. – </w:t>
      </w:r>
      <w:r w:rsidRPr="00AD17B4">
        <w:t>С</w:t>
      </w:r>
      <w:r w:rsidRPr="00F06774">
        <w:rPr>
          <w:lang w:val="en-US"/>
        </w:rPr>
        <w:t xml:space="preserve">. 136–147.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33. Prescorn SH. J Clin Psychiatry 1996;57[Suppl 1]:3–6.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34. Greenblatt DJ, Moltke LL von Harmatz JS, et al. J Clin Psychiat 1993;54[Suppl]:4–11.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35. Crabtree BL, Mack JE, Johnson CD, et al. Am J Psychiatry 1991;148:1060–3.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36. Kosten TR, Forrest JN. Am J Psychiatry 1986;143:1563–8.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37. Furst DE. J Rheumatol Suppl 1988;17(10):58–62.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38. Johnson AG, Seideman P, Day RO. Drug Saf 1993;8:99–127.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39. Weinblatt ME. Scand J Rheumatol 1989;83 [Suppl]:7–10. </w:t>
      </w:r>
    </w:p>
    <w:p w:rsidR="00AC0E41" w:rsidRPr="00F06774" w:rsidRDefault="00AC0E41" w:rsidP="00AC0E41">
      <w:pPr>
        <w:spacing w:before="120"/>
        <w:ind w:firstLine="567"/>
        <w:jc w:val="both"/>
        <w:rPr>
          <w:lang w:val="en-US"/>
        </w:rPr>
      </w:pPr>
      <w:r w:rsidRPr="00F06774">
        <w:rPr>
          <w:lang w:val="en-US"/>
        </w:rPr>
        <w:t xml:space="preserve">40. Garland EJ, Remick RA, Zis AP. J Clin Psychopharmacol 1988;8:323–30. </w:t>
      </w:r>
    </w:p>
    <w:p w:rsidR="00AC0E41" w:rsidRPr="00AD17B4" w:rsidRDefault="00AC0E41" w:rsidP="00AC0E41">
      <w:pPr>
        <w:spacing w:before="120"/>
        <w:ind w:firstLine="567"/>
        <w:jc w:val="both"/>
      </w:pPr>
      <w:r w:rsidRPr="00F06774">
        <w:rPr>
          <w:lang w:val="en-US"/>
        </w:rPr>
        <w:t xml:space="preserve">41. Cohen LG, Chesley S, Eugenio L, et al. </w:t>
      </w:r>
      <w:r w:rsidRPr="00AD17B4">
        <w:t>Arch Intern Med 1996;156:675–7.</w:t>
      </w:r>
    </w:p>
    <w:p w:rsidR="00AC0E41" w:rsidRPr="00AD17B4" w:rsidRDefault="00AC0E41" w:rsidP="00AC0E41">
      <w:pPr>
        <w:spacing w:before="120"/>
        <w:ind w:firstLine="567"/>
        <w:jc w:val="both"/>
      </w:pPr>
      <w:r w:rsidRPr="00AD17B4">
        <w:t>1</w:t>
      </w:r>
      <w:r>
        <w:t xml:space="preserve"> </w:t>
      </w:r>
      <w:r w:rsidRPr="00AD17B4">
        <w:t>Cоматотропные препараты, использующиеся в клинике внутренних болезней, обладают, как правило, ограниченным спектром воздействий на функции ЦНС [15].</w:t>
      </w:r>
    </w:p>
    <w:p w:rsidR="00AC0E41" w:rsidRPr="00AD17B4" w:rsidRDefault="00AC0E41" w:rsidP="00AC0E41">
      <w:pPr>
        <w:spacing w:before="120"/>
        <w:ind w:firstLine="567"/>
        <w:jc w:val="both"/>
      </w:pPr>
      <w:r w:rsidRPr="00AD17B4">
        <w:t>2</w:t>
      </w:r>
      <w:r>
        <w:t xml:space="preserve"> </w:t>
      </w:r>
      <w:r w:rsidRPr="00AD17B4">
        <w:t>Для удобства изложения сведения цитированных источников сгруппированы в разделы, в каждом из которых представлена информация о взаимодействии психотропных средств с препаратами, использующимися при лечении патологии одной из систем организма (дыхательной, сердечно-сосудистой, пищеварительной, мочевыделительной, кроветворной, свертывающей, суставной). Помимо этого, в связи с высокой распространенностью эндокринно-обменных расстройств и воспалительных заболеваний бактериальной этиологии в клинике внутренних болезней, в обзор включены разделы, посвященные интеракции психотропных медикаментов с гиполипидемическими агентами и антибиотиками.</w:t>
      </w:r>
    </w:p>
    <w:p w:rsidR="00AC0E41" w:rsidRDefault="00AC0E41" w:rsidP="00AC0E41">
      <w:pPr>
        <w:spacing w:before="120"/>
        <w:ind w:firstLine="567"/>
        <w:jc w:val="both"/>
      </w:pPr>
      <w:r w:rsidRPr="00AD17B4">
        <w:t>3 Впервые такое побочное действие было отмечено при одновременном применении ИМАО с пищевыми продуктами, содержащими тирамин или его предшественник тирозин (сыры, копчености и др.), отчего и происходит его определение – “сырный эффект” . Основным механизмом данного взаимодействия является снижение скорости инактивации симпатомиметических соединений моноаминоксидазой, что приводит к накоплению избыточных количеств симпатомиметиков в синапсе, усилению стимуляции постсинаптических адренорецепторов и в результате – к выраженным гипертензивному и сосудосуживающему действиям [3, 14].</w:t>
      </w:r>
    </w:p>
    <w:p w:rsidR="00AC0E41" w:rsidRPr="00AD17B4" w:rsidRDefault="00AC0E41" w:rsidP="00AC0E41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E41"/>
    <w:rsid w:val="0009131E"/>
    <w:rsid w:val="001776F2"/>
    <w:rsid w:val="001821ED"/>
    <w:rsid w:val="002B459B"/>
    <w:rsid w:val="004B1473"/>
    <w:rsid w:val="005064A4"/>
    <w:rsid w:val="005F369E"/>
    <w:rsid w:val="0064386A"/>
    <w:rsid w:val="00820540"/>
    <w:rsid w:val="00AC0E41"/>
    <w:rsid w:val="00AD17B4"/>
    <w:rsid w:val="00AF5F9F"/>
    <w:rsid w:val="00F06774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8FDC92-1902-438B-AE49-1A6B39FF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4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0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j.ru/sovpsih/t1/n2/3.htm" TargetMode="External"/><Relationship Id="rId5" Type="http://schemas.openxmlformats.org/officeDocument/2006/relationships/hyperlink" Target="http://www.rmj.ru/sovpsih/t1/n2/3.htm" TargetMode="External"/><Relationship Id="rId4" Type="http://schemas.openxmlformats.org/officeDocument/2006/relationships/hyperlink" Target="http://www.rmj.ru/sovpsih/t1/n2/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15339</Words>
  <Characters>8744</Characters>
  <Application>Microsoft Office Word</Application>
  <DocSecurity>0</DocSecurity>
  <Lines>72</Lines>
  <Paragraphs>48</Paragraphs>
  <ScaleCrop>false</ScaleCrop>
  <Company>Home</Company>
  <LinksUpToDate>false</LinksUpToDate>
  <CharactersWithSpaces>24035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средств, применяемых для лечения соматических заболеваний, и психотропных препаратов </dc:title>
  <dc:subject/>
  <dc:creator>User</dc:creator>
  <cp:keywords/>
  <dc:description/>
  <cp:lastModifiedBy>admin</cp:lastModifiedBy>
  <cp:revision>2</cp:revision>
  <dcterms:created xsi:type="dcterms:W3CDTF">2014-01-25T14:50:00Z</dcterms:created>
  <dcterms:modified xsi:type="dcterms:W3CDTF">2014-01-25T14:50:00Z</dcterms:modified>
</cp:coreProperties>
</file>