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DB" w:rsidRDefault="00C25BDB">
      <w:pPr>
        <w:pStyle w:val="a7"/>
      </w:pPr>
      <w:r>
        <w:t>Ярмак О.А.</w:t>
      </w:r>
    </w:p>
    <w:p w:rsidR="00C25BDB" w:rsidRDefault="00C25BDB">
      <w:pPr>
        <w:pStyle w:val="1"/>
        <w:ind w:firstLine="0"/>
        <w:jc w:val="center"/>
      </w:pPr>
      <w:r>
        <w:t>Международный рынок государственных долговых обязательств</w:t>
      </w:r>
    </w:p>
    <w:p w:rsidR="00C25BDB" w:rsidRDefault="00C25BDB">
      <w:r>
        <w:t>Рынок государственных долговых обязательств имеет разные названия, в их числе: рынок правительственных заимствований, рынок государственных облигаций, рынок государственного или национального долга, рынок правительственных займов или рынок государственных инструментов с фиксированной ставкой.</w:t>
      </w:r>
    </w:p>
    <w:p w:rsidR="00C25BDB" w:rsidRDefault="00C25BDB">
      <w:pPr>
        <w:pStyle w:val="2"/>
      </w:pPr>
      <w:r>
        <w:t>Государственные долговые инструменты</w:t>
      </w:r>
    </w:p>
    <w:p w:rsidR="00C25BDB" w:rsidRDefault="00C25BDB">
      <w:pPr>
        <w:pStyle w:val="3"/>
      </w:pPr>
      <w:r>
        <w:t>Периоды заимствования (сроки погашения) государственных займов:</w:t>
      </w:r>
    </w:p>
    <w:p w:rsidR="00C25BDB" w:rsidRDefault="00C25BDB">
      <w:pPr>
        <w:pStyle w:val="a0"/>
        <w:tabs>
          <w:tab w:val="left" w:pos="5760"/>
        </w:tabs>
      </w:pPr>
      <w:r>
        <w:t>«Краткосрочные бумаги»</w:t>
      </w:r>
      <w:r>
        <w:tab/>
        <w:t>(от 3 месяцев до 1 года)</w:t>
      </w:r>
    </w:p>
    <w:p w:rsidR="00C25BDB" w:rsidRDefault="00C25BDB">
      <w:pPr>
        <w:pStyle w:val="a0"/>
        <w:tabs>
          <w:tab w:val="left" w:pos="5760"/>
        </w:tabs>
      </w:pPr>
      <w:r>
        <w:t>Рынок краткосрочных займов или облигаций</w:t>
      </w:r>
      <w:r>
        <w:tab/>
        <w:t>(от 1 года до 5 лет)</w:t>
      </w:r>
    </w:p>
    <w:p w:rsidR="00C25BDB" w:rsidRDefault="00C25BDB">
      <w:pPr>
        <w:pStyle w:val="a0"/>
        <w:tabs>
          <w:tab w:val="left" w:pos="5760"/>
        </w:tabs>
      </w:pPr>
      <w:r>
        <w:t>Рынок среднесрочных займов или облигаций</w:t>
      </w:r>
      <w:r>
        <w:tab/>
        <w:t>(от 5 лет до 15 лет)</w:t>
      </w:r>
    </w:p>
    <w:p w:rsidR="00C25BDB" w:rsidRDefault="00C25BDB">
      <w:pPr>
        <w:pStyle w:val="a0"/>
        <w:tabs>
          <w:tab w:val="left" w:pos="5760"/>
        </w:tabs>
      </w:pPr>
      <w:r>
        <w:t>Рынок долгосрочных займов или облигаций</w:t>
      </w:r>
      <w:r>
        <w:tab/>
        <w:t>(до 30 лет)</w:t>
      </w:r>
    </w:p>
    <w:p w:rsidR="00C25BDB" w:rsidRDefault="00C25BDB">
      <w:pPr>
        <w:pStyle w:val="a0"/>
        <w:tabs>
          <w:tab w:val="left" w:pos="5760"/>
        </w:tabs>
      </w:pPr>
      <w:r>
        <w:t>Бессрочные облигации</w:t>
      </w:r>
      <w:r>
        <w:tab/>
        <w:t>(без конкретной даты погашения)</w:t>
      </w:r>
    </w:p>
    <w:p w:rsidR="00C25BDB" w:rsidRDefault="00C25BDB">
      <w:pPr>
        <w:pStyle w:val="3"/>
      </w:pPr>
      <w:r>
        <w:t>Виды процентов</w:t>
      </w:r>
    </w:p>
    <w:p w:rsidR="00C25BDB" w:rsidRDefault="00C25BDB">
      <w:r>
        <w:t>Методы, которые правительство использует для выплаты процентов кредиторам:</w:t>
      </w:r>
    </w:p>
    <w:p w:rsidR="00C25BDB" w:rsidRDefault="00C25BDB">
      <w:pPr>
        <w:pStyle w:val="a0"/>
      </w:pPr>
      <w:r>
        <w:t>Дисконтирование</w:t>
      </w:r>
    </w:p>
    <w:p w:rsidR="00C25BDB" w:rsidRDefault="00C25BDB">
      <w:pPr>
        <w:pStyle w:val="a8"/>
      </w:pPr>
      <w:r>
        <w:t>По этому виду правительство включает все начисляемые на заимствование проценты и выплачивает вместе с основной суммой долга. Соответственно первоначальная сумма, предоставляемая в кредит государству, будет меньше той суммы, которую государство выплачивает в конце срока, Традиционно этот метод применяется практически для всех краткосрочных бумаг, но в последние годы он также стал популярен для более долгосрочных инструментов.</w:t>
      </w:r>
    </w:p>
    <w:p w:rsidR="00C25BDB" w:rsidRDefault="00C25BDB">
      <w:pPr>
        <w:pStyle w:val="a0"/>
      </w:pPr>
      <w:r>
        <w:t>Купонные платежи</w:t>
      </w:r>
    </w:p>
    <w:p w:rsidR="00C25BDB" w:rsidRDefault="00C25BDB">
      <w:pPr>
        <w:pStyle w:val="a8"/>
      </w:pPr>
      <w:r>
        <w:t>При этом методе государство устанавливает фиксированную годовую процентную ставку (купон), который выплачивается кредиторам либо раз в год, либо раз в полгода. В этом случае та сумма, которую государство заимствует в начале периода, будет равняться той сумме, которую оно выплатит в конце периода. Этот метод используется правительствами для большинства государственных облигаций.</w:t>
      </w:r>
    </w:p>
    <w:p w:rsidR="00C25BDB" w:rsidRDefault="00C25BDB">
      <w:pPr>
        <w:pStyle w:val="a0"/>
      </w:pPr>
      <w:r>
        <w:t>Индексация</w:t>
      </w:r>
    </w:p>
    <w:p w:rsidR="00C25BDB" w:rsidRDefault="00C25BDB">
      <w:pPr>
        <w:pStyle w:val="a8"/>
      </w:pPr>
      <w:r>
        <w:t>Поскольку покупательная сила денег в будущем может быть меньше, чем в настоящий момент (поскольку цены, как правило, растут с течением времени — ценовая инфляция, то государства все больше и больше понимают, что для того, чтобы поощрять инвесторов предоставлять свои средства в кредит, они должны сделать свои продукты более привлекательными). Основой для индексации является публикуемая государством статистика инфляции. Инфляционный ценовой индекс будет расти по мере роста цен на основные товары и услуги, и соответственно правительство будет привязывать купонные платежи (проценты) и основную сумму долга (сумма к погашению) к этому индексу, что даст инвесторам стабильный доход от их средств в реальном выражении.</w:t>
      </w:r>
    </w:p>
    <w:p w:rsidR="00C25BDB" w:rsidRDefault="00C25BDB">
      <w:pPr>
        <w:pStyle w:val="3"/>
      </w:pPr>
      <w:r>
        <w:t>Факторы эмиссии</w:t>
      </w:r>
    </w:p>
    <w:p w:rsidR="00C25BDB" w:rsidRDefault="00C25BDB">
      <w:r>
        <w:t>В процессе заимствования средств заемщик должен продумать, как он будет погашать займ, а кредитор должен учитывать вероятность того, что его средства могут к нему не вернуться. Оба должны, таким образом, решить, какая процентная ставка должна выплачиваться по займу. Совершенно очевидно, что заемщик хочет получить средства по наименьшей возможной ставке, а кредитор хочет предоставить средства в кредит по наивысшей возможной ставке. Для того чтобы обе стороны могли найти ставку, которая лежит где-то посередине, необходимо учесть ряд факторов. Эти факторы могут рассматриваться как другие факторы эмиссии, самым важным из которых является кредитоспособность.</w:t>
      </w:r>
    </w:p>
    <w:p w:rsidR="00C25BDB" w:rsidRDefault="00C25BDB">
      <w:pPr>
        <w:pStyle w:val="a0"/>
      </w:pPr>
      <w:r>
        <w:t>Кредитоспособность</w:t>
      </w:r>
    </w:p>
    <w:p w:rsidR="00C25BDB" w:rsidRDefault="00C25BDB">
      <w:pPr>
        <w:pStyle w:val="a8"/>
      </w:pPr>
      <w:r>
        <w:t>Кредитоспособность — это термин, который используется для определения способности заемщика ответить по своим финансовым обязательствам. В принципе это рейтинг способности погасить заем, и погасить в той же форме, что и первоначальное заимствование. Считается, что правительства будут существовать всегда, хотя люди, которые входят в состав правительства, будут меняться. Если инвестор считает, что будущее правительство какой-либо страны сможет вернуть долг, то тогда кредитный рейтинг будет высоким (хорошим). Чем выше кредитный рейтинг, тем ниже процентная ставка, которая будет выплачиваться кредитору.</w:t>
      </w:r>
    </w:p>
    <w:p w:rsidR="00C25BDB" w:rsidRDefault="00C25BDB">
      <w:pPr>
        <w:pStyle w:val="a0"/>
      </w:pPr>
      <w:r>
        <w:t>Стабильность государства</w:t>
      </w:r>
    </w:p>
    <w:p w:rsidR="00C25BDB" w:rsidRDefault="00C25BDB">
      <w:pPr>
        <w:pStyle w:val="a8"/>
      </w:pPr>
      <w:r>
        <w:t>Поскольку правительства являются крупными заемщиками по разным причинам, то наиболее важный фактор кредитоспособности для кредитора – это стабильность государства. Кредитор также будет чувствовать себя более уверенно, если он увидит, что политика государства в области заимствований и планы использования средств характеризуются постоянством и что государство остается верным своим принципам заимствования. Как уже говорилось, чем больше стабильности демонстрирует государство, тем меньший уровень процентных ставок потребуют кредиторы.</w:t>
      </w:r>
    </w:p>
    <w:p w:rsidR="00C25BDB" w:rsidRDefault="00C25BDB">
      <w:pPr>
        <w:pStyle w:val="a0"/>
      </w:pPr>
      <w:r>
        <w:t>Прогноз инфляции</w:t>
      </w:r>
    </w:p>
    <w:p w:rsidR="00C25BDB" w:rsidRDefault="00C25BDB">
      <w:pPr>
        <w:pStyle w:val="a8"/>
      </w:pPr>
      <w:r>
        <w:t>Если вернуться к покупательной силе валюты по сравнению с тем, какой она будет в будущем, необходимо также обратить внимание на прогноз инфляции в стране. Если цены на товары, дома и т. д. растут быстро, то считается, что инфляция высока. Если же цены растут медленно с течением времени, то тогда считается, что инфляция низкая. Поскольку кредитор знает, что пройдет какое-то время прежде, чем он получит свои деньги назад, то, естественно, он обеспокоен уровнем инфляции. Этот фактор распространяется на все виды заимствований независимо от того, является ли заемщиком государство или предприятие. В принципе, чем меньше уровень инфляции в настоящий момент и по прогнозам, тем меньше будет процентная ставка, требуемая кредитором. Совершенно очевидно, что по этим трем факторам — стабильность государства, способность к погашению, уровень инфляции — чем хуже ситуация, тем скорее это приведет к тому, что кредитор затребует более высокую процентную ставку, под которую он предоставит кредит, если он вообще на это пойдет.</w:t>
      </w:r>
    </w:p>
    <w:p w:rsidR="00C25BDB" w:rsidRDefault="00C25BDB">
      <w:pPr>
        <w:pStyle w:val="2"/>
      </w:pPr>
      <w:r>
        <w:t>Основные участники</w:t>
      </w:r>
    </w:p>
    <w:p w:rsidR="00C25BDB" w:rsidRDefault="00C25BDB">
      <w:r>
        <w:t>Основные заемщики и поставщики капитала , которые связаны с долговыми ценными бумагами:</w:t>
      </w:r>
    </w:p>
    <w:p w:rsidR="00C25BDB" w:rsidRDefault="00C25BDB">
      <w:pPr>
        <w:pStyle w:val="a0"/>
      </w:pPr>
      <w:r>
        <w:t>Первичные дилеры</w:t>
      </w:r>
    </w:p>
    <w:p w:rsidR="00C25BDB" w:rsidRDefault="00C25BDB">
      <w:pPr>
        <w:pStyle w:val="a0"/>
      </w:pPr>
      <w:r>
        <w:t>Другие дилеры и агенты (биржи, регулирующие органы и др.)</w:t>
      </w:r>
    </w:p>
    <w:p w:rsidR="00C25BDB" w:rsidRDefault="00C25BDB">
      <w:pPr>
        <w:pStyle w:val="a0"/>
      </w:pPr>
      <w:r>
        <w:t>Инвесторы, вкладывающие деньги в облигации</w:t>
      </w:r>
    </w:p>
    <w:p w:rsidR="00C25BDB" w:rsidRDefault="00C25BDB">
      <w:pPr>
        <w:pStyle w:val="a0"/>
      </w:pPr>
      <w:r>
        <w:t>Банки</w:t>
      </w:r>
    </w:p>
    <w:p w:rsidR="00C25BDB" w:rsidRDefault="00C25BDB">
      <w:pPr>
        <w:pStyle w:val="a0"/>
      </w:pPr>
      <w:r>
        <w:t>Пенсионные фонды</w:t>
      </w:r>
    </w:p>
    <w:p w:rsidR="00C25BDB" w:rsidRDefault="00C25BDB">
      <w:pPr>
        <w:pStyle w:val="a0"/>
      </w:pPr>
      <w:r>
        <w:t>Страховые компании</w:t>
      </w:r>
    </w:p>
    <w:p w:rsidR="00C25BDB" w:rsidRDefault="00C25BDB">
      <w:pPr>
        <w:pStyle w:val="a0"/>
      </w:pPr>
      <w:r>
        <w:t>Паевые фонды</w:t>
      </w:r>
    </w:p>
    <w:p w:rsidR="00C25BDB" w:rsidRDefault="00C25BDB">
      <w:pPr>
        <w:pStyle w:val="a0"/>
      </w:pPr>
      <w:r>
        <w:t>Прочие консультанты</w:t>
      </w:r>
    </w:p>
    <w:p w:rsidR="00C25BDB" w:rsidRDefault="00C25BDB">
      <w:pPr>
        <w:pStyle w:val="a0"/>
      </w:pPr>
      <w:r>
        <w:t>Частные лица</w:t>
      </w:r>
    </w:p>
    <w:p w:rsidR="00C25BDB" w:rsidRDefault="00C25BDB">
      <w:pPr>
        <w:pStyle w:val="2"/>
      </w:pPr>
      <w:r>
        <w:t>Международные рынки государственных облигаций</w:t>
      </w:r>
    </w:p>
    <w:p w:rsidR="00C25BDB" w:rsidRDefault="00C25BDB">
      <w:pPr>
        <w:pStyle w:val="3"/>
      </w:pPr>
      <w:r>
        <w:t>Соединенные Штаты Америки</w:t>
      </w:r>
    </w:p>
    <w:p w:rsidR="00C25BDB" w:rsidRDefault="00C25BDB">
      <w:r>
        <w:t>В США находится самый крупный в мире рынок государственных облигаций. Он состоит из трех частей: краткосрочная секция рынка (казначейские векселя), среднесрочная секция рынка (казначейские ноты), долгосрочная секция рынка (казначейские облигации).</w:t>
      </w:r>
    </w:p>
    <w:p w:rsidR="00C25BDB" w:rsidRDefault="00C25BDB">
      <w:r>
        <w:t>Структура торговли на этом рынке основывается на: дилерах-брокерах, выполняющих двойную функцию (т.е. при проведении операций они могут выступать в качестве агентов и принципалов) и междилерских брокерах (которые представляют собой агентов, не имеющих права работать с клиентами, но которые выступают в качестве связующего звена для уравнивания ликвидности между основными трейдерами).</w:t>
      </w:r>
    </w:p>
    <w:p w:rsidR="00C25BDB" w:rsidRDefault="00C25BDB">
      <w:r>
        <w:t>Ценные бумаги выпускаются через аукцион, и трейдеры первичного рынка предоставляют заявки на номинальную сумму ценных бумаг, которую они хотели бы купить либо для себя, либо для своих клиентов.</w:t>
      </w:r>
    </w:p>
    <w:p w:rsidR="00C25BDB" w:rsidRDefault="00C25BDB">
      <w:r>
        <w:t>Сделки заключаются по телефону и через электронные торговые системы. Расчеты проводятся либо в тот же день, либо на следующий день через Федеральный резервный банк. Денежные суммы вносятся на счет в одном из федеральных банков, а передача прав собственности осуществляется через систему бухгалтерских проводок. Эта система называется системой «телеграфных переводов».</w:t>
      </w:r>
    </w:p>
    <w:p w:rsidR="00C25BDB" w:rsidRDefault="00C25BDB">
      <w:pPr>
        <w:pStyle w:val="3"/>
      </w:pPr>
      <w:r>
        <w:t>Великобритания</w:t>
      </w:r>
    </w:p>
    <w:p w:rsidR="00C25BDB" w:rsidRDefault="00C25BDB">
      <w:r>
        <w:t>Британский рынок государственных облигаций также достаточно большой и тоже состоит из трех секций. Система аналогична американскому рынку за исключением того, что краткосрочную секцию составляют облигации со сроком погашения вплоть до пяти лет, среднесрочную — со сроками до пятнадцати лет, а долгосрочную — ценные бумаги со сроком погашения больше пятнадцати лет (вплоть до тридцати лет, а также существуют бессрочные облигации).</w:t>
      </w:r>
    </w:p>
    <w:p w:rsidR="00C25BDB" w:rsidRDefault="00C25BDB">
      <w:r>
        <w:t>Большая часть сделок заключается по телефону и через электронные торговые системы с использованием маркет-мейкеров, которые называются GEMM (маркет-мейкеры по золотообрезным облигациям). GEMM должен получить разрешение от Банка Англии на проведение операций, и они представляют собой подразделения с собственным капиталом и должны действовать самостоятельно по отношению к подразделениям той же самой компании, которые работают с другими ценными бумагами. Как и в США, междилерские брокеры предоставляют анонимные посреднические услуги.</w:t>
      </w:r>
    </w:p>
    <w:p w:rsidR="00C25BDB" w:rsidRDefault="00C25BDB">
      <w:r>
        <w:t>Облигации выпускаются так же, как и в США, через аукцион (с 1987 года), в ходе которого GEMM подают заявки в Банк Англии.</w:t>
      </w:r>
    </w:p>
    <w:p w:rsidR="00C25BDB" w:rsidRDefault="00C25BDB">
      <w:r>
        <w:t>При расчетах Банк Англии использует систему электронных поставок и платежную систему, которая называется Центральным управлением золотообрезных облигаций, и на практике требуется, чтобы денежные средства поступали до того, как будет совершена поставка ценных бумаг.</w:t>
      </w:r>
    </w:p>
    <w:p w:rsidR="00C25BDB" w:rsidRDefault="00C25BDB">
      <w:pPr>
        <w:pStyle w:val="3"/>
      </w:pPr>
      <w:r>
        <w:t>Япония</w:t>
      </w:r>
    </w:p>
    <w:p w:rsidR="00C25BDB" w:rsidRDefault="00C25BDB">
      <w:r>
        <w:t>Японский рынок государственных облигаций так же, как и британский, использует разные названия для выпусков облигаций. Среди наименований выпусков можно встретить строительные облигации, займы для финансирования дефицита бюджета или для рефинансирования, но опять-таки в настоящий момент названия не играют никакой роли, так как все японские государственные облигации (JGB) имеют одинаковый ранг. Исторически Япония выпускала только облигации со сроком погашения десять лет и называла эти облигации долгосрочными. Недавно они начали выпускать облигации со сроком погашения двадцать лет и больше и называют их «супердолгосрочными».</w:t>
      </w:r>
    </w:p>
    <w:p w:rsidR="00C25BDB" w:rsidRDefault="00C25BDB">
      <w:r>
        <w:t>Обычно в Японии государственные облигации выпускаются как на предъявителя, так и именные, но каждая из этих облигаций может быть конвертирована в любом направлении в течение двух дней.</w:t>
      </w:r>
    </w:p>
    <w:p w:rsidR="00C25BDB" w:rsidRDefault="00C25BDB">
      <w:r>
        <w:t>Облигации выпускаются с использованием комбинированной системы. На 60% каждого выпуска подписывается консорциум банков, институциональные инвесторы и компании, занимающиеся ценными бумагами. Оставшаяся часть выносится на аукцион для широких масс.</w:t>
      </w:r>
    </w:p>
    <w:p w:rsidR="00C25BDB" w:rsidRDefault="00C25BDB">
      <w:r>
        <w:t>Расчеты по японским государственным облигациям проводятся на четвертый день на каждодневной основе.</w:t>
      </w:r>
    </w:p>
    <w:p w:rsidR="00C25BDB" w:rsidRDefault="00C25BDB">
      <w:pPr>
        <w:pStyle w:val="3"/>
      </w:pPr>
      <w:r>
        <w:t>Германия</w:t>
      </w:r>
    </w:p>
    <w:p w:rsidR="00C25BDB" w:rsidRDefault="00C25BDB">
      <w:r>
        <w:t>В дополнение к государственным выпускам в Германии существуют два квазиправительственных выпуска, которые осуществляются почтовым («Постс») и железнодорожным ведомствами («Банз») Германии. Большая часть государственного долга приходится на облигации ФРГ, Бундсы, (которые имеют срок погашения 10 лет и больше), и недавно стали выпускаться «объединенные» облигации. Правительство также выпускает среднесрочные облигации BOBL (которые выпускаются со сроком пять лет), которые первоначально были доступны только для внутренних инвесторов, а с 1989 года стали продаваться и иностранным покупателям; облигации SCHATZ всегда были доступны для всех видов инвесторов.</w:t>
      </w:r>
    </w:p>
    <w:p w:rsidR="00C25BDB" w:rsidRDefault="00C25BDB">
      <w:r>
        <w:t>Всеми этими инструментами официально торгуют на бирже, но, как и в Японии, большие объемы проходят через внебиржевой рынок в форме сделок между крупными банками. Следует заметить, что Бундесбанк (Центральный банк Германии) выступает в качестве маркет-мейкера для облигаций ФРГ и облигаций федеральной почтовой службы, а для облигаций федеральной железнодорожной службы маркет-мейкером выступает Железнодорожный банк (Railway bank).</w:t>
      </w:r>
    </w:p>
    <w:p w:rsidR="00C25BDB" w:rsidRDefault="00C25BDB">
      <w:r>
        <w:t>Как и в Японии, часть выпуска распродается через аукцион, а часть — через консорциум банков и компаний, занимающихся ценными бумагами, а третья часть поступает непосредственно в Бундесбанк, который использует эти ценные бумаги для интервенций на рынок с целью повлиять на процентные ставки.</w:t>
      </w:r>
    </w:p>
    <w:p w:rsidR="00C25BDB" w:rsidRDefault="00C25BDB">
      <w:r>
        <w:t>Расчеты проводятся через централизованную систему бухгалтерских проводок, управляемую «Кассовыми союзами» (частично частный механизм электронных поставок и расчетов, который также используется в Голландии и в странах Северной Европы). Расчеты также можно проводить через CEDEL и Euroclear — две основных расчетно-клиринговых палаты для еврооблигаций, где расчеты осуществляются через три дня в соответствии с конвенцией еврорынков.</w:t>
      </w:r>
    </w:p>
    <w:p w:rsidR="00C25BDB" w:rsidRDefault="00C25BDB">
      <w:bookmarkStart w:id="0" w:name="_GoBack"/>
      <w:bookmarkEnd w:id="0"/>
    </w:p>
    <w:sectPr w:rsidR="00C2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91C76"/>
    <w:multiLevelType w:val="hybridMultilevel"/>
    <w:tmpl w:val="D05E2138"/>
    <w:lvl w:ilvl="0" w:tplc="1F3E103E">
      <w:start w:val="1"/>
      <w:numFmt w:val="bullet"/>
      <w:pStyle w:val="a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 w:hint="default"/>
      </w:rPr>
    </w:lvl>
    <w:lvl w:ilvl="1" w:tplc="C4D01C58">
      <w:start w:val="1"/>
      <w:numFmt w:val="bullet"/>
      <w:pStyle w:val="a0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autoHyphenation/>
  <w:hyphenationZone w:val="357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BDB"/>
    <w:rsid w:val="00156AAE"/>
    <w:rsid w:val="004C24AA"/>
    <w:rsid w:val="00767BBF"/>
    <w:rsid w:val="00C2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2FAD8C-C63D-48F8-AC3C-BBBE9E11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567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pacing w:after="3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240"/>
      <w:outlineLvl w:val="1"/>
    </w:pPr>
    <w:rPr>
      <w:b/>
      <w:bCs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Код"/>
    <w:basedOn w:val="a1"/>
    <w:next w:val="a1"/>
    <w:uiPriority w:val="99"/>
    <w:pPr>
      <w:ind w:left="1134" w:right="1134"/>
      <w:jc w:val="center"/>
    </w:pPr>
    <w:rPr>
      <w:rFonts w:ascii="Courier New" w:hAnsi="Courier New" w:cs="Courier New"/>
      <w:color w:val="008080"/>
      <w:lang w:val="en-US"/>
    </w:rPr>
  </w:style>
  <w:style w:type="character" w:customStyle="1" w:styleId="a6">
    <w:name w:val="Выражение"/>
    <w:uiPriority w:val="99"/>
    <w:rPr>
      <w:i/>
      <w:iCs/>
    </w:rPr>
  </w:style>
  <w:style w:type="paragraph" w:customStyle="1" w:styleId="a7">
    <w:name w:val="Автор"/>
    <w:basedOn w:val="a1"/>
    <w:next w:val="a1"/>
    <w:uiPriority w:val="99"/>
    <w:pPr>
      <w:spacing w:after="240"/>
    </w:pPr>
    <w:rPr>
      <w:b/>
      <w:bCs/>
      <w:i/>
      <w:iCs/>
    </w:rPr>
  </w:style>
  <w:style w:type="paragraph" w:customStyle="1" w:styleId="a">
    <w:name w:val="Комментарий"/>
    <w:basedOn w:val="a1"/>
    <w:next w:val="a1"/>
    <w:uiPriority w:val="99"/>
    <w:pPr>
      <w:numPr>
        <w:numId w:val="1"/>
      </w:numPr>
      <w:tabs>
        <w:tab w:val="left" w:pos="1287"/>
      </w:tabs>
      <w:ind w:left="1281" w:right="567" w:hanging="357"/>
    </w:pPr>
    <w:rPr>
      <w:sz w:val="16"/>
      <w:szCs w:val="16"/>
    </w:rPr>
  </w:style>
  <w:style w:type="paragraph" w:customStyle="1" w:styleId="a0">
    <w:name w:val="Точки"/>
    <w:basedOn w:val="a1"/>
    <w:uiPriority w:val="99"/>
    <w:pPr>
      <w:numPr>
        <w:ilvl w:val="1"/>
        <w:numId w:val="1"/>
      </w:numPr>
      <w:tabs>
        <w:tab w:val="left" w:pos="851"/>
      </w:tabs>
      <w:ind w:left="851" w:hanging="284"/>
    </w:pPr>
  </w:style>
  <w:style w:type="paragraph" w:customStyle="1" w:styleId="a8">
    <w:name w:val="Мелкий"/>
    <w:basedOn w:val="a1"/>
    <w:uiPriority w:val="99"/>
    <w:pPr>
      <w:ind w:left="284" w:right="284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Съешь ещё этих мягких французских булок, да выпей чаю</vt:lpstr>
    </vt:vector>
  </TitlesOfParts>
  <Company>Home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Съешь ещё этих мягких французских булок, да выпей чаю</dc:title>
  <dc:subject/>
  <dc:creator>Ali</dc:creator>
  <cp:keywords/>
  <dc:description/>
  <cp:lastModifiedBy>admin</cp:lastModifiedBy>
  <cp:revision>2</cp:revision>
  <dcterms:created xsi:type="dcterms:W3CDTF">2014-02-28T08:33:00Z</dcterms:created>
  <dcterms:modified xsi:type="dcterms:W3CDTF">2014-02-28T08:33:00Z</dcterms:modified>
</cp:coreProperties>
</file>