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C8" w:rsidRPr="00FB5053" w:rsidRDefault="00C933C8" w:rsidP="00C933C8">
      <w:pPr>
        <w:spacing w:before="120"/>
        <w:jc w:val="center"/>
        <w:rPr>
          <w:b/>
          <w:bCs/>
          <w:sz w:val="32"/>
          <w:szCs w:val="32"/>
        </w:rPr>
      </w:pPr>
      <w:r w:rsidRPr="00FB5053">
        <w:rPr>
          <w:b/>
          <w:bCs/>
          <w:sz w:val="32"/>
          <w:szCs w:val="32"/>
        </w:rPr>
        <w:t>Общая постановка проблемы перекрестных эффектов</w:t>
      </w:r>
    </w:p>
    <w:p w:rsidR="00C933C8" w:rsidRPr="00FB5053" w:rsidRDefault="00C933C8" w:rsidP="00C933C8">
      <w:pPr>
        <w:spacing w:before="120"/>
        <w:jc w:val="center"/>
        <w:rPr>
          <w:sz w:val="28"/>
          <w:szCs w:val="28"/>
        </w:rPr>
      </w:pPr>
      <w:r w:rsidRPr="00FB5053">
        <w:rPr>
          <w:sz w:val="28"/>
          <w:szCs w:val="28"/>
        </w:rPr>
        <w:t>Халиков Г.А.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 xml:space="preserve">Предложена физико-математическая модель крупномасштабных перекрестных эффектов. Расчеты обобщены на теорию порядка и хаоса, устойчивости и катастроф. На основе выполненных расчетов построена дидактика явлений переноса. 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Проблемы перекрестных эффектов и явлений переноса описываются в общем случае системой уравнений [1...4]: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18.75pt">
            <v:imagedata r:id="rId4" o:title=""/>
          </v:shape>
        </w:pict>
      </w:r>
      <w:r w:rsidR="00C933C8" w:rsidRPr="00470984">
        <w:t>,           (1)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26" type="#_x0000_t75" style="width:114.75pt;height:24.75pt">
            <v:imagedata r:id="rId5" o:title=""/>
          </v:shape>
        </w:pict>
      </w:r>
      <w:r w:rsidR="00C933C8" w:rsidRPr="00470984">
        <w:t>,               (2)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27" type="#_x0000_t75" style="width:132.75pt;height:27pt">
            <v:imagedata r:id="rId6" o:title=""/>
          </v:shape>
        </w:pict>
      </w:r>
      <w:r w:rsidR="00C933C8" w:rsidRPr="00470984">
        <w:t xml:space="preserve">               (3)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28" type="#_x0000_t75" style="width:81pt;height:33pt">
            <v:imagedata r:id="rId7" o:title=""/>
          </v:shape>
        </w:pict>
      </w:r>
      <w:r w:rsidR="00C933C8" w:rsidRPr="00470984">
        <w:t>,                          (4)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29" type="#_x0000_t75" style="width:180pt;height:39.75pt">
            <v:imagedata r:id="rId8" o:title=""/>
          </v:shape>
        </w:pict>
      </w:r>
      <w:r w:rsidR="00C933C8" w:rsidRPr="00470984">
        <w:t>,         (5)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30" type="#_x0000_t75" style="width:87.75pt;height:39pt">
            <v:imagedata r:id="rId9" o:title=""/>
          </v:shape>
        </w:pict>
      </w:r>
      <w:r w:rsidR="00C933C8" w:rsidRPr="00470984">
        <w:t>,                            (6)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31" type="#_x0000_t75" style="width:44.25pt;height:18pt">
            <v:imagedata r:id="rId10" o:title=""/>
          </v:shape>
        </w:pict>
      </w:r>
      <w:r w:rsidR="00C933C8" w:rsidRPr="00470984">
        <w:t>,                                  (7)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32" type="#_x0000_t75" style="width:176.25pt;height:51.75pt">
            <v:imagedata r:id="rId11" o:title=""/>
          </v:shape>
        </w:pict>
      </w:r>
      <w:r w:rsidR="00C933C8" w:rsidRPr="00470984">
        <w:t xml:space="preserve">     (8)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33" type="#_x0000_t75" style="width:75.75pt;height:21pt">
            <v:imagedata r:id="rId12" o:title=""/>
          </v:shape>
        </w:pict>
      </w:r>
      <w:r w:rsidR="00C933C8" w:rsidRPr="00470984">
        <w:t>,                          (9)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34" type="#_x0000_t75" style="width:104.25pt;height:38.25pt">
            <v:imagedata r:id="rId13" o:title=""/>
          </v:shape>
        </w:pict>
      </w:r>
      <w:r w:rsidR="00C933C8" w:rsidRPr="00470984">
        <w:t>.                       (10)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Формулы (1) и (2) являются следствиями второго закона И.Ньютона. Постановка Л.Онсагера (1) применима к мелкомасштабным линейным флуктуациям. Более важный практический интерес представляют формулы П.Гленсдорфа, И.Пригожина, Л.Лейбензона и др. для крупномасштабных нелинейных флуктуаций. Примером крупномасшатабных нелинейных флуктуаций являются вольт-амперная характеристика электрических цепей и индикаторные диаграммы притока идеального газа и газированной жидкости из горных пород [5].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К нелинейным крупномасштабным флуктуациям применяются формулы Гленсдорфа-Пригожина (2), которые линеаризуются с помощью так называемых квазипотенциальных функций (3) и (5).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При оценке изменения флуктуаций во времени формулы Гленсдорфа-Пригожина дополняются уравнениями математической физики (4)...(7), синергетики (8) и различными видами дельта-функции (9), (10).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Символы в формулах (1)...(10) общепринятые. В дельта-функции (9) обозначены: f - дробные значения действительного ряда чисел от нуля до единицы, t i - фиксированное время.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Поинтервальные параметры дельта-функции (9) позволили обобщить предложения автора на проблемы порядка и хаоса, катастроф и устойчивости. Формула (10) дает возможность и непрерывного определения дельта-функции.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По результатам решения уравнений (1...10) созданы методические пособия к изучению перекрестных эффектов на ЭВМ для студентов старших курсов специализации теплофизика в следующих направлениях.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Свойства квазиавтомодельности флуктуаций в локальных полях Земли.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Механика разнопеременного движения тел в поле переходных процессов.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Квазистационарность переходных процессов.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Промежуточные стадии выравнивания квазипотенциалов.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Профили термоэрозии твердых тел.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Комбинированные методы исследования переходных процессов.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Скачки потенциалов при выравнивании термодинамических сил.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Прикладные задачи перекрестных эффектов (разработка газогидратных залежей, нагревание битумов, очистка и рекультивация загрязненных участков сельскохозяйственных угодий).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Рассмотрим для примера квазиавтомодельное распределение температуры в конечных полях. Возьмем для этого автомодельное решение задачи при краевых условиях первого рода на полуплоскости: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35" type="#_x0000_t75" style="width:93pt;height:33pt">
            <v:imagedata r:id="rId14" o:title=""/>
          </v:shape>
        </w:pict>
      </w:r>
      <w:r w:rsidR="00C933C8" w:rsidRPr="00470984">
        <w:t xml:space="preserve">                       (11)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Формулу (11) можно применить и к конечным полям при соблюдении условия: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36" type="#_x0000_t75" style="width:143.25pt;height:33pt">
            <v:imagedata r:id="rId15" o:title=""/>
          </v:shape>
        </w:pict>
      </w:r>
      <w:r w:rsidR="00C933C8" w:rsidRPr="00470984">
        <w:t xml:space="preserve">             (12)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Аналогичные расчеты сделаны и для остальных случаев перехода термодинамических потенциалов к равновесию.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Предложенная методика эволюции перекрестных эффектов обобщена на экономику, социологию и др. направления естественных, технических и гуманитарных наук.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Взаимосвязь перекрестных эффектов по формулам (1)...(10) для ограниченных тел названа квазипотенциальностью и квазиавтомодельностью явлений переноса [4, 5].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Закономерность образования нелинейных квазипотенциальных полей Земли зарегистрирована в качестве научного открытия [6].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Изобары в поле теплопереноса управляются формулой (12):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37" type="#_x0000_t75" style="width:129.75pt;height:33.75pt">
            <v:imagedata r:id="rId16" o:title=""/>
          </v:shape>
        </w:pict>
      </w:r>
      <w:r w:rsidR="00C933C8" w:rsidRPr="00470984">
        <w:t xml:space="preserve">                    (13)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Отсюда найдем закон движения изобар:</w:t>
      </w:r>
    </w:p>
    <w:p w:rsidR="00C933C8" w:rsidRPr="00470984" w:rsidRDefault="00FF58E7" w:rsidP="00C933C8">
      <w:pPr>
        <w:spacing w:before="120"/>
        <w:ind w:firstLine="567"/>
        <w:jc w:val="both"/>
      </w:pPr>
      <w:r>
        <w:pict>
          <v:shape id="_x0000_i1038" type="#_x0000_t75" style="width:125.25pt;height:18.75pt">
            <v:imagedata r:id="rId17" o:title=""/>
          </v:shape>
        </w:pict>
      </w:r>
      <w:r w:rsidR="00C933C8" w:rsidRPr="00470984">
        <w:t xml:space="preserve">                     (14)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На основе формулы (14) разработана дидактика разнопеременного движения.</w:t>
      </w:r>
    </w:p>
    <w:p w:rsidR="00C933C8" w:rsidRPr="00FB5053" w:rsidRDefault="00C933C8" w:rsidP="00C933C8">
      <w:pPr>
        <w:spacing w:before="120"/>
        <w:jc w:val="center"/>
        <w:rPr>
          <w:b/>
          <w:bCs/>
          <w:sz w:val="28"/>
          <w:szCs w:val="28"/>
        </w:rPr>
      </w:pPr>
      <w:r w:rsidRPr="00FB5053">
        <w:rPr>
          <w:b/>
          <w:bCs/>
          <w:sz w:val="28"/>
          <w:szCs w:val="28"/>
        </w:rPr>
        <w:t>Список литературы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Халиков Г.А., Валиуллин Р.А., Хабибуллин И.Л. Развитие исследований в области прикладной физики: физическая гидродинамика, геофизика и физическая экология. Уфа: Гилем, 1996. С. 308-316.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Халиков Г.А. Физическое и математическое моделирование природных катастроф // Физические проблемы экологии (Физическая экология). В Тр. Второй Всероссийской научной конференции. М.: Московский ун-т, 1999. С. 99.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Халиков Г.А. Физико-химическая механика переходных процессов. Уфа: Изд-во БашГУ, 1995. 180 с.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Халиков Г.А. Газовые методы интенсификации нефтедобычи. М.: Недра, 1997. 192 с.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Халиков Г.А. Проблемы освоения нефтегазовых ресурсов. Уфа: Восточный университет, 1999. 152 с.</w:t>
      </w:r>
    </w:p>
    <w:p w:rsidR="00C933C8" w:rsidRPr="00470984" w:rsidRDefault="00C933C8" w:rsidP="00C933C8">
      <w:pPr>
        <w:spacing w:before="120"/>
        <w:ind w:firstLine="567"/>
        <w:jc w:val="both"/>
      </w:pPr>
      <w:r w:rsidRPr="00470984">
        <w:t>Халиков Г.А. Закономерности образования нелинейных квазипотенциалов полей Земли. М.: РАЕН. Диплом научного открытия № 495. 1995. 1 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3C8"/>
    <w:rsid w:val="00095BA6"/>
    <w:rsid w:val="0031418A"/>
    <w:rsid w:val="00470984"/>
    <w:rsid w:val="00497324"/>
    <w:rsid w:val="005A2562"/>
    <w:rsid w:val="00A44D32"/>
    <w:rsid w:val="00BE2B11"/>
    <w:rsid w:val="00C933C8"/>
    <w:rsid w:val="00E12572"/>
    <w:rsid w:val="00FB505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docId w15:val="{03B333B5-64E5-41FD-85D1-C081EF14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3C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3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3819</Characters>
  <Application>Microsoft Office Word</Application>
  <DocSecurity>0</DocSecurity>
  <Lines>31</Lines>
  <Paragraphs>8</Paragraphs>
  <ScaleCrop>false</ScaleCrop>
  <Company>Home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постановка проблемы перекрестных эффектов</dc:title>
  <dc:subject/>
  <dc:creator>Alena</dc:creator>
  <cp:keywords/>
  <dc:description/>
  <cp:lastModifiedBy>admin</cp:lastModifiedBy>
  <cp:revision>2</cp:revision>
  <dcterms:created xsi:type="dcterms:W3CDTF">2014-02-16T14:39:00Z</dcterms:created>
  <dcterms:modified xsi:type="dcterms:W3CDTF">2014-02-16T14:39:00Z</dcterms:modified>
</cp:coreProperties>
</file>