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30" w:rsidRDefault="00FD6947">
      <w:pPr>
        <w:pStyle w:val="a3"/>
        <w:spacing w:line="360" w:lineRule="auto"/>
        <w:ind w:firstLine="720"/>
      </w:pPr>
      <w:r>
        <w:t>Введение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Западный административный округ занимает площадь 132,8 км</w:t>
      </w:r>
      <w:r>
        <w:rPr>
          <w:sz w:val="24"/>
          <w:vertAlign w:val="superscript"/>
        </w:rPr>
        <w:t>2</w:t>
      </w:r>
      <w:r>
        <w:rPr>
          <w:sz w:val="24"/>
        </w:rPr>
        <w:t>, население более 993,4 тыс. человек, плотность населения 7,5 тыс. человек на км</w:t>
      </w:r>
      <w:r>
        <w:rPr>
          <w:sz w:val="24"/>
          <w:vertAlign w:val="superscript"/>
        </w:rPr>
        <w:t>2</w:t>
      </w:r>
      <w:r>
        <w:rPr>
          <w:sz w:val="24"/>
        </w:rPr>
        <w:t>. Загрязнение атмосферы в округе обусловлено в основном автомобильным транспортом, на долю которого приходится более 90% выбросов.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Наиболее крупным загрязнителем атмосферы среди энергетических и промышленных предприятий являются ТЭЦ-25, ряд домостроительных комбинатов в микрорайонах Очаково, Матвеевское, Востряково. На территории Западного округа находятся также завод легких сплавов (ВИЛС), радиотехнический завод (МРТЗ).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По некоторым химически токсичным веществам в округе выявлены превышения ПДК в 5 и более раз.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Западный округ имеет средний уровень загрязнения почвы тяжелыми металлами. Однако, можно выделить несколько геохимических аномалий. Одна из них занимает левый берег Москвы-реки в Лужнецкой пойме. Здесь за последние годы отмечается усиление накопления тяжелых металлов, что в значительной степени объясняется природной неустойчивостью к загрязнению.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В округе можно выделить территории, относящиеся к зонам геологического риска, где особенно активны оползневые процессы. На Воробьевых горах активные подвижки наблюдаются на протяжении 600 – 650 м  по склону (район размещения метромоста)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На территории округа зафиксировано максимальное число свалок (22). Видимо, в связи с этим округ выделяется и биологическим загрязнением. Почти на всей территории отмечается максимальная в городе плотность серой крысы.</w:t>
      </w:r>
    </w:p>
    <w:p w:rsidR="00EB5430" w:rsidRDefault="00FD6947">
      <w:pPr>
        <w:spacing w:line="360" w:lineRule="auto"/>
        <w:ind w:firstLine="720"/>
        <w:rPr>
          <w:sz w:val="24"/>
          <w:lang w:val="en-US"/>
        </w:rPr>
      </w:pPr>
      <w:r>
        <w:rPr>
          <w:sz w:val="24"/>
        </w:rPr>
        <w:t>Зеленые насаждения представлены сравнительно небольшими городскими парками – парк Фили, Суворовский парк, парк Победы на Поклонной горе, парк на Воробьевых горах. Водные поверхности – реки Москва, Сетунь, Раменка, Олимпийские и Троекуровские пруды. Отдельно следует отметить обширную рекреационную территорию Олимпийского спортивного центра профсоюзов с гребным каналом, озелененными территориями вдоль велотрассы</w:t>
      </w:r>
      <w:r>
        <w:rPr>
          <w:sz w:val="24"/>
          <w:lang w:val="en-US"/>
        </w:rPr>
        <w:t>.</w:t>
      </w:r>
    </w:p>
    <w:p w:rsidR="00EB5430" w:rsidRDefault="00EB5430">
      <w:pPr>
        <w:spacing w:line="360" w:lineRule="auto"/>
        <w:ind w:firstLine="720"/>
        <w:rPr>
          <w:sz w:val="24"/>
          <w:lang w:val="en-US"/>
        </w:rPr>
      </w:pPr>
    </w:p>
    <w:p w:rsidR="00EB5430" w:rsidRDefault="00FD6947">
      <w:pPr>
        <w:pStyle w:val="3"/>
        <w:spacing w:line="360" w:lineRule="auto"/>
        <w:rPr>
          <w:lang w:val="en-US"/>
        </w:rPr>
      </w:pPr>
      <w:r>
        <w:rPr>
          <w:lang w:val="en-US"/>
        </w:rPr>
        <w:t>Управление ГОЧС Западного административного округа (рис. 1).</w:t>
      </w:r>
    </w:p>
    <w:p w:rsidR="00EB5430" w:rsidRDefault="00EB5430">
      <w:pPr>
        <w:spacing w:line="360" w:lineRule="auto"/>
        <w:ind w:firstLine="720"/>
        <w:rPr>
          <w:b/>
          <w:sz w:val="28"/>
          <w:u w:val="single"/>
          <w:lang w:val="en-US"/>
        </w:rPr>
      </w:pPr>
    </w:p>
    <w:p w:rsidR="00EB5430" w:rsidRDefault="00EB5430">
      <w:pPr>
        <w:spacing w:line="360" w:lineRule="auto"/>
        <w:ind w:firstLine="720"/>
        <w:rPr>
          <w:b/>
          <w:sz w:val="28"/>
          <w:u w:val="single"/>
          <w:lang w:val="en-US"/>
        </w:rPr>
      </w:pPr>
    </w:p>
    <w:p w:rsidR="00EB5430" w:rsidRDefault="00FD6947">
      <w:pPr>
        <w:spacing w:line="360" w:lineRule="auto"/>
        <w:ind w:firstLine="720"/>
        <w:rPr>
          <w:sz w:val="24"/>
          <w:lang w:val="en-US"/>
        </w:rPr>
      </w:pPr>
      <w:r>
        <w:rPr>
          <w:sz w:val="24"/>
          <w:lang w:val="en-US"/>
        </w:rPr>
        <w:lastRenderedPageBreak/>
        <w:t>Рис. 1. Схема роганизации управления ГОЧС западного административного округа</w:t>
      </w:r>
    </w:p>
    <w:p w:rsidR="00EB5430" w:rsidRDefault="00FD6947">
      <w:pPr>
        <w:spacing w:line="360" w:lineRule="auto"/>
      </w:pPr>
      <w:r>
        <w:object w:dxaOrig="9604" w:dyaOrig="7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382.5pt" o:ole="" fillcolor="window">
            <v:imagedata r:id="rId5" o:title=""/>
          </v:shape>
          <o:OLEObject Type="Embed" ProgID="Visio.Drawing.4" ShapeID="_x0000_i1025" DrawAspect="Content" ObjectID="_1471446660" r:id="rId6"/>
        </w:object>
      </w:r>
    </w:p>
    <w:p w:rsidR="00EB5430" w:rsidRDefault="00FD6947">
      <w:pPr>
        <w:pStyle w:val="a5"/>
        <w:ind w:firstLine="720"/>
        <w:rPr>
          <w:b w:val="0"/>
        </w:rPr>
      </w:pPr>
      <w:r>
        <w:rPr>
          <w:b w:val="0"/>
        </w:rPr>
        <w:t>Силы и средства ГОЧС Западного административного округа (рис. 2)</w:t>
      </w: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EB5430">
      <w:pPr>
        <w:ind w:firstLine="720"/>
      </w:pPr>
    </w:p>
    <w:p w:rsidR="00EB5430" w:rsidRDefault="00FD6947">
      <w:pPr>
        <w:pStyle w:val="2"/>
        <w:ind w:firstLine="720"/>
      </w:pPr>
      <w:r>
        <w:t>Рис. 2. Силы и средства</w:t>
      </w:r>
    </w:p>
    <w:p w:rsidR="00EB5430" w:rsidRDefault="00FD6947">
      <w:pPr>
        <w:ind w:firstLine="720"/>
      </w:pPr>
      <w:r>
        <w:object w:dxaOrig="7377" w:dyaOrig="7197">
          <v:shape id="_x0000_i1026" type="#_x0000_t75" style="width:369pt;height:5in" o:ole="" fillcolor="window">
            <v:imagedata r:id="rId7" o:title=""/>
          </v:shape>
          <o:OLEObject Type="Embed" ProgID="Visio.Drawing.4" ShapeID="_x0000_i1026" DrawAspect="Content" ObjectID="_1471446661" r:id="rId8"/>
        </w:object>
      </w:r>
    </w:p>
    <w:p w:rsidR="00EB5430" w:rsidRDefault="00EB5430">
      <w:pPr>
        <w:ind w:firstLine="720"/>
      </w:pPr>
    </w:p>
    <w:p w:rsidR="00EB5430" w:rsidRDefault="00FD6947">
      <w:pPr>
        <w:pStyle w:val="a4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Структура автоматизированного рабочего места дежурного ГОЧС Западного административного округа (рис. 3).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Автоматизированное рабочее место (АРМ), представляет собой место пользователя ПЭВМ, оборудованное средствами, необходимыми для автоматизации выполнения дежурным функций планирования и организации действий сил РСЧС. Такими средствами, как правило, является персональный компьютер, дополняемый по мере необходимости другими вспомогательными электронными устройствами (принтер, сканнер, модем).</w:t>
      </w:r>
    </w:p>
    <w:p w:rsidR="00EB5430" w:rsidRDefault="00EB5430">
      <w:pPr>
        <w:spacing w:line="360" w:lineRule="auto"/>
        <w:ind w:firstLine="720"/>
        <w:rPr>
          <w:sz w:val="24"/>
        </w:rPr>
      </w:pP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Требования, предъявляемые к АРМ и его структура.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К АРМ предъявляются общие требования, выполняемые при его создании, а именно: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непосредственное наличие средств обработки информации;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возможность работы в диалоговом режиме (интерактивном);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выполнение основных требований эргономики;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достаточно высокая производительность и надежность ПК, работающего в системе АРМ;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адекватное характеру решаемых задач программное обеспечение;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максимальная степень автоматизации рутинных процессов;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оптимальные условия обслуживания.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>Кроме того, такое рабочее место должно соответствовать определенной структуре, которая обязательно включает в себя совокупность систем: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технической;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информационной;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программной;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организационной.</w:t>
      </w:r>
    </w:p>
    <w:p w:rsidR="00EB5430" w:rsidRDefault="00EB5430">
      <w:pPr>
        <w:spacing w:line="360" w:lineRule="auto"/>
        <w:ind w:firstLine="720"/>
        <w:rPr>
          <w:sz w:val="24"/>
        </w:rPr>
      </w:pPr>
    </w:p>
    <w:p w:rsidR="00EB5430" w:rsidRDefault="00FD6947">
      <w:pPr>
        <w:spacing w:line="360" w:lineRule="auto"/>
        <w:ind w:firstLine="720"/>
        <w:jc w:val="right"/>
      </w:pPr>
      <w:r>
        <w:t>Рис.3 Структурная схема АРМ</w:t>
      </w:r>
    </w:p>
    <w:p w:rsidR="00EB5430" w:rsidRDefault="00FD6947">
      <w:pPr>
        <w:spacing w:line="360" w:lineRule="auto"/>
        <w:rPr>
          <w:sz w:val="24"/>
        </w:rPr>
      </w:pPr>
      <w:r>
        <w:rPr>
          <w:sz w:val="24"/>
        </w:rPr>
        <w:object w:dxaOrig="9424" w:dyaOrig="6967">
          <v:shape id="_x0000_i1027" type="#_x0000_t75" style="width:471pt;height:5in" o:ole="" fillcolor="window">
            <v:imagedata r:id="rId9" o:title=""/>
          </v:shape>
          <o:OLEObject Type="Embed" ProgID="Visio.Drawing.4" ShapeID="_x0000_i1027" DrawAspect="Content" ObjectID="_1471446662" r:id="rId10"/>
        </w:object>
      </w:r>
    </w:p>
    <w:p w:rsidR="00EB5430" w:rsidRDefault="00EB5430">
      <w:pPr>
        <w:spacing w:line="360" w:lineRule="auto"/>
        <w:ind w:firstLine="720"/>
        <w:rPr>
          <w:sz w:val="24"/>
        </w:rPr>
      </w:pPr>
    </w:p>
    <w:p w:rsidR="00EB5430" w:rsidRDefault="00FD6947">
      <w:pPr>
        <w:pStyle w:val="3"/>
        <w:spacing w:line="360" w:lineRule="auto"/>
      </w:pPr>
      <w:r>
        <w:t>Состав базового комплекта автоматизированного рабочего места дежурного по управлению ГОЧС западного административного округа и автоматизированной системы поддержки принятия решений.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Базовый комплект автоматизированного рабочего места дежурного по управлению ГО ЧС предназначен для обеспечения подготовки обоснованного планирования действий сил  в конкретной чрезвычайной обстановке, а так же для решения проблем, связанных с прогнозированием последствий аварий, организацией ведения аварийно-спасательных работ в зонах поражения.</w:t>
      </w:r>
    </w:p>
    <w:p w:rsidR="00EB5430" w:rsidRDefault="00EB5430">
      <w:pPr>
        <w:spacing w:line="360" w:lineRule="auto"/>
        <w:ind w:firstLine="720"/>
        <w:rPr>
          <w:sz w:val="24"/>
        </w:rPr>
      </w:pPr>
    </w:p>
    <w:p w:rsidR="00EB5430" w:rsidRDefault="00FD6947">
      <w:pPr>
        <w:pStyle w:val="a4"/>
        <w:spacing w:line="360" w:lineRule="auto"/>
        <w:rPr>
          <w:sz w:val="24"/>
        </w:rPr>
      </w:pPr>
      <w:r>
        <w:rPr>
          <w:sz w:val="24"/>
        </w:rPr>
        <w:t>АРМ дежурного по управлению ГОЧС предназначен для подготовки и принятия решений по конкретной чрезвычайной ситуации.</w:t>
      </w:r>
    </w:p>
    <w:p w:rsidR="00EB5430" w:rsidRDefault="00FD6947">
      <w:pPr>
        <w:spacing w:line="360" w:lineRule="auto"/>
        <w:ind w:firstLine="720"/>
        <w:rPr>
          <w:sz w:val="24"/>
        </w:rPr>
      </w:pPr>
      <w:r>
        <w:rPr>
          <w:sz w:val="24"/>
        </w:rPr>
        <w:t>АРМ дежурного по управлению ГОЧС позволяет: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Обеспечить ввод исходных данных для прогнозирования обстановки;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Обеспечить отображение исходной информации на графических документах (картах, планах);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Произвести расчет сил и средств для ведения аварийно-спасательных работ;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Готовить план-график ведения аварийно-спасательных работ;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Обеспечить оформление решений на графических документах (планах, картах);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Распечатывать отчетный материал;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Использовать компьютерные базы данных и информационно-справочные программы;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Использовать возможности вычислительной компьютерной сети и оперативно передавать информацию исполнительным звеньям и силам экстренного реагирования.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 xml:space="preserve">Автоматизированное рабочее место дежурного оборудуется в специальном помещении управления ГОЧС западного административного округа  по адресу ул. Богданова д. 58 на основе одной персональной ЭВМ типа </w:t>
      </w:r>
      <w:r>
        <w:rPr>
          <w:sz w:val="24"/>
          <w:lang w:val="en-US"/>
        </w:rPr>
        <w:t xml:space="preserve">IBM PC/AT Pentium-166 </w:t>
      </w:r>
      <w:r>
        <w:rPr>
          <w:sz w:val="24"/>
        </w:rPr>
        <w:t xml:space="preserve">МГц, с оперативной памятью не менее 16 Мб, и жестким диском объемом не менее 1 Гб; принтером (лазерным типа </w:t>
      </w:r>
      <w:r>
        <w:rPr>
          <w:sz w:val="24"/>
          <w:lang w:val="en-US"/>
        </w:rPr>
        <w:t>Lazer Jet)</w:t>
      </w:r>
      <w:r>
        <w:rPr>
          <w:sz w:val="24"/>
        </w:rPr>
        <w:t>. АРМ также включает ручной цветной сканер.</w:t>
      </w:r>
    </w:p>
    <w:p w:rsidR="00EB5430" w:rsidRDefault="00EB5430">
      <w:pPr>
        <w:spacing w:line="360" w:lineRule="auto"/>
        <w:ind w:left="720" w:firstLine="720"/>
        <w:rPr>
          <w:sz w:val="24"/>
        </w:rPr>
      </w:pPr>
    </w:p>
    <w:p w:rsidR="00EB5430" w:rsidRDefault="00FD6947">
      <w:pPr>
        <w:spacing w:line="360" w:lineRule="auto"/>
        <w:ind w:left="720" w:firstLine="720"/>
        <w:rPr>
          <w:sz w:val="28"/>
          <w:u w:val="single"/>
        </w:rPr>
      </w:pPr>
      <w:r>
        <w:rPr>
          <w:sz w:val="28"/>
          <w:u w:val="single"/>
        </w:rPr>
        <w:t>Информационное обеспечение АРМ специалиста.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 xml:space="preserve">К информационной подсистеме относятся массивы информации, хранящиеся в локальных базах данных, как правило на дисковых накопителях (винчестерах), а также на лазерных дисках </w:t>
      </w:r>
      <w:r>
        <w:rPr>
          <w:sz w:val="24"/>
          <w:lang w:val="en-US"/>
        </w:rPr>
        <w:t>CD-ROM.</w:t>
      </w:r>
      <w:r>
        <w:rPr>
          <w:sz w:val="24"/>
        </w:rPr>
        <w:t xml:space="preserve"> Сюда же относятся и системы управления базами данных (СУБД). Кроме того, информационная подсистема должна включать и территориальную компьютерную информационную сеть (в данном случае окружную и городскую), подключение к которой возможно через специальное устройство – модем.</w:t>
      </w:r>
    </w:p>
    <w:p w:rsidR="00EB5430" w:rsidRDefault="00EB5430">
      <w:pPr>
        <w:spacing w:line="360" w:lineRule="auto"/>
        <w:ind w:left="720" w:firstLine="720"/>
        <w:rPr>
          <w:sz w:val="24"/>
        </w:rPr>
      </w:pPr>
    </w:p>
    <w:p w:rsidR="00EB5430" w:rsidRDefault="00FD6947">
      <w:pPr>
        <w:spacing w:line="360" w:lineRule="auto"/>
        <w:ind w:left="720" w:firstLine="720"/>
        <w:rPr>
          <w:sz w:val="28"/>
          <w:u w:val="single"/>
        </w:rPr>
      </w:pPr>
      <w:r>
        <w:rPr>
          <w:sz w:val="28"/>
          <w:u w:val="single"/>
        </w:rPr>
        <w:t>Базовое программное обеспечение автоматизированного рабочего места дежурного по управлению ГОЧС Западного административного округа.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 xml:space="preserve">Базовое программное обеспечение автоматизированного рабочего места дежурного по управлению ГОЧС представляет собой набор сервисных программ, исполняемых на </w:t>
      </w:r>
      <w:r>
        <w:rPr>
          <w:sz w:val="24"/>
          <w:lang w:val="en-US"/>
        </w:rPr>
        <w:t>IBM-</w:t>
      </w:r>
      <w:r>
        <w:rPr>
          <w:sz w:val="24"/>
        </w:rPr>
        <w:t>совместимых ПЭВМ;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 xml:space="preserve">пакет программ операционной системы </w:t>
      </w:r>
      <w:r>
        <w:rPr>
          <w:sz w:val="24"/>
          <w:lang w:val="en-US"/>
        </w:rPr>
        <w:t>MS-DOS;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 xml:space="preserve">пакет программ </w:t>
      </w:r>
      <w:r>
        <w:rPr>
          <w:sz w:val="24"/>
          <w:lang w:val="en-US"/>
        </w:rPr>
        <w:t>Windows-95</w:t>
      </w:r>
      <w:r>
        <w:rPr>
          <w:sz w:val="24"/>
        </w:rPr>
        <w:t xml:space="preserve"> (пакет программ обеспечивает работу специального программного обеспечения)</w:t>
      </w:r>
      <w:r>
        <w:rPr>
          <w:sz w:val="24"/>
          <w:lang w:val="en-US"/>
        </w:rPr>
        <w:t>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 xml:space="preserve">пакет программ </w:t>
      </w:r>
      <w:r>
        <w:rPr>
          <w:sz w:val="24"/>
          <w:lang w:val="en-US"/>
        </w:rPr>
        <w:t>Norton Commander;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 xml:space="preserve">пакет программ </w:t>
      </w:r>
      <w:r>
        <w:rPr>
          <w:sz w:val="24"/>
          <w:lang w:val="en-US"/>
        </w:rPr>
        <w:t>Norton Utilites;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пакет программ русификаторов;</w:t>
      </w:r>
    </w:p>
    <w:p w:rsidR="00EB5430" w:rsidRDefault="00FD6947">
      <w:pPr>
        <w:spacing w:line="360" w:lineRule="auto"/>
        <w:ind w:left="1080" w:firstLine="720"/>
        <w:rPr>
          <w:sz w:val="24"/>
        </w:rPr>
      </w:pPr>
      <w:r>
        <w:rPr>
          <w:sz w:val="24"/>
        </w:rPr>
        <w:t xml:space="preserve">Базовое программное обеспечение является лицензионным продуктом </w:t>
      </w:r>
      <w:r>
        <w:rPr>
          <w:sz w:val="24"/>
          <w:lang w:val="en-US"/>
        </w:rPr>
        <w:t xml:space="preserve">Microsoft – </w:t>
      </w:r>
      <w:r>
        <w:rPr>
          <w:sz w:val="24"/>
        </w:rPr>
        <w:t>основой функционирования специального пакета программ.</w:t>
      </w:r>
    </w:p>
    <w:p w:rsidR="00EB5430" w:rsidRDefault="00EB5430">
      <w:pPr>
        <w:spacing w:line="360" w:lineRule="auto"/>
        <w:ind w:left="1080" w:firstLine="720"/>
        <w:rPr>
          <w:sz w:val="24"/>
        </w:rPr>
      </w:pPr>
    </w:p>
    <w:p w:rsidR="00EB5430" w:rsidRDefault="00FD6947">
      <w:pPr>
        <w:pStyle w:val="1"/>
        <w:spacing w:line="360" w:lineRule="auto"/>
        <w:ind w:firstLine="720"/>
      </w:pPr>
      <w:r>
        <w:t>Специальное программное обеспечение АРМ дежурного (рис. 4)</w:t>
      </w:r>
    </w:p>
    <w:p w:rsidR="00EB5430" w:rsidRDefault="00FD6947">
      <w:pPr>
        <w:spacing w:line="360" w:lineRule="auto"/>
        <w:ind w:left="1080" w:firstLine="720"/>
        <w:rPr>
          <w:sz w:val="24"/>
        </w:rPr>
      </w:pPr>
      <w:r>
        <w:rPr>
          <w:sz w:val="24"/>
        </w:rPr>
        <w:t>Для подготовки обоснованных расчетов сил и средств органами управления ГОЧС при организации и проведении аварийно-спасательных работ в конкретной чрезвычайной ситуации используется специальное программное обеспечение, включающее: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общую программную оболочку;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расчетные программы;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базы данных (в т.ч. графические);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информационно-справочные программы;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учебные программы.</w:t>
      </w:r>
    </w:p>
    <w:p w:rsidR="00EB5430" w:rsidRDefault="00EB5430">
      <w:pPr>
        <w:spacing w:line="360" w:lineRule="auto"/>
        <w:ind w:left="1080" w:firstLine="720"/>
        <w:rPr>
          <w:sz w:val="24"/>
        </w:rPr>
      </w:pPr>
    </w:p>
    <w:p w:rsidR="00EB5430" w:rsidRDefault="00FD6947">
      <w:pPr>
        <w:pStyle w:val="20"/>
        <w:spacing w:line="360" w:lineRule="auto"/>
      </w:pPr>
      <w:r>
        <w:t>Расчетные программы, базы данных, информационно-справочные и учебные программы объединены общей программной оболочкой, которая предназначена для поддержки функционирования автоматизированного рабочего места дежурного по управлению ГОЧС.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 xml:space="preserve">Программная оболочка специального программного обеспечения предусматривает возможность подключения при необходимости других систем и использование новых расчетных и информационно-справочных программ в единой сети. 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>Для расчета и планирования средств при крупных авариях в состав расчетных программ должны входить: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программа расчета зон поражения при взрывах газо-воздушных смесей на объектах экономики и транспорте;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программа расчета зон поражения при авариях с выбросом СДЯВ;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программа расчета зон поражения при авариях с выбросом радиоактивных веществ;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программа расчета сил и средств для ведения аварийно-спасательных работ.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>Расчетные программы позволяют определить вероятные рубежи и границы зон действия опасных факторов в чрезвычайной ситуации и в целом произвести прогнозирование обстановки в районе аварии с последующим нанесением результатов расчетов в графическом и табличном виде на карту (план).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>Исходными данными для определения сил являются конечные значения расчетной программы, определяющей глубину и площадь зон поражения.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>В составе баз данных в общем пакете программ должна содержаться следующая информация: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тактико-технические характеристики технических средств, используемых для ведения аварийно-спасательных и других неотложных работ (АСИНДР);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основные показатели потенциально-опасных объектов (в соответствии с Декларацией безопасности потенциально-опасных объектов);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база данных графических документов (округа, близлежащих округа, города). Эта база данных должна быть открытой и позволять наносить расчетную (прогнозируемую) обстановку на карту или план, корректировать результаты прогноза по данным разведки, обеспечивать графическое оформление подготовки и принятия решения по конкретной обстановке, кроме того, база данных должна позволять при выполнении определенных требований дополнять перечень уже имеющихся карт, а также архивировать отработанные графические материалы и документы;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специализированные карты (карты промышленных зон округа и города, карты экологической обстановки в городе, карты радиационно-опасных объектов);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схемы и планы эвакуации основных объектов округа;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информация о количестве людей в рабочих сменах на объектах экономики;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база данных по наличию, укомплектованности, оснащенности и возможностям объектовых, ведомственных, территориальных формирований РСЧС и подразделений вооруженных сил.</w:t>
      </w:r>
    </w:p>
    <w:p w:rsidR="00EB5430" w:rsidRDefault="00EB5430">
      <w:pPr>
        <w:spacing w:line="360" w:lineRule="auto"/>
        <w:ind w:left="720" w:firstLine="720"/>
        <w:rPr>
          <w:sz w:val="24"/>
        </w:rPr>
      </w:pPr>
    </w:p>
    <w:p w:rsidR="00EB5430" w:rsidRDefault="00FD6947">
      <w:pPr>
        <w:pStyle w:val="20"/>
        <w:spacing w:line="360" w:lineRule="auto"/>
      </w:pPr>
      <w:r>
        <w:t>Информационно-справочные программы предназначены для обеспечения информацией в соответствии с решаемыми задачами при планировании сил и средств для ведения аварийно-спасательных работ в чрезвычайной ситуации.</w:t>
      </w:r>
    </w:p>
    <w:p w:rsidR="00EB5430" w:rsidRDefault="00FD6947">
      <w:pPr>
        <w:spacing w:line="360" w:lineRule="auto"/>
        <w:ind w:left="720" w:firstLine="720"/>
        <w:rPr>
          <w:sz w:val="24"/>
        </w:rPr>
      </w:pPr>
      <w:r>
        <w:rPr>
          <w:sz w:val="24"/>
        </w:rPr>
        <w:t>В составе информационно-справочных программ для Западного административного округа должен быть следующий материал: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перечень промышленных объектов округа;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перечень радиационно-опасных объектов округа;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перечень химически-опасных объектов округа;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материалы по предыдущим авариям;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планы действий в предыдущих чрезвычайных ситуациях;</w:t>
      </w:r>
    </w:p>
    <w:p w:rsidR="00EB5430" w:rsidRDefault="00FD6947">
      <w:pPr>
        <w:numPr>
          <w:ilvl w:val="0"/>
          <w:numId w:val="1"/>
        </w:numPr>
        <w:spacing w:line="360" w:lineRule="auto"/>
        <w:ind w:firstLine="720"/>
        <w:rPr>
          <w:sz w:val="24"/>
        </w:rPr>
      </w:pPr>
      <w:r>
        <w:rPr>
          <w:sz w:val="24"/>
        </w:rPr>
        <w:t>планы действий органов управления в ЧС;</w:t>
      </w:r>
    </w:p>
    <w:p w:rsidR="00EB5430" w:rsidRDefault="00FD6947">
      <w:pPr>
        <w:pStyle w:val="20"/>
        <w:spacing w:line="360" w:lineRule="auto"/>
      </w:pPr>
      <w:r>
        <w:t>Общая программная оболочка предназначена для обеспечения удобства и оперативности работы со специальным програмным обеспечением. Она позволяет выбирать нужные программы из общего пакета, пользоваться справочным материалом и базами данных.</w:t>
      </w:r>
    </w:p>
    <w:p w:rsidR="00EB5430" w:rsidRDefault="00EB5430">
      <w:pPr>
        <w:pStyle w:val="20"/>
        <w:spacing w:line="360" w:lineRule="auto"/>
      </w:pPr>
    </w:p>
    <w:p w:rsidR="00EB5430" w:rsidRDefault="00FD6947">
      <w:pPr>
        <w:pStyle w:val="20"/>
        <w:spacing w:line="360" w:lineRule="auto"/>
        <w:jc w:val="right"/>
        <w:rPr>
          <w:sz w:val="20"/>
        </w:rPr>
      </w:pPr>
      <w:r>
        <w:rPr>
          <w:sz w:val="20"/>
        </w:rPr>
        <w:t>Рис 4. Структурно-логическая схема</w:t>
      </w:r>
    </w:p>
    <w:p w:rsidR="00EB5430" w:rsidRDefault="00FD6947">
      <w:pPr>
        <w:pStyle w:val="20"/>
        <w:spacing w:line="360" w:lineRule="auto"/>
        <w:jc w:val="right"/>
        <w:rPr>
          <w:sz w:val="20"/>
        </w:rPr>
      </w:pPr>
      <w:r>
        <w:rPr>
          <w:sz w:val="20"/>
        </w:rPr>
        <w:t>специального программного обеспечения</w:t>
      </w:r>
    </w:p>
    <w:p w:rsidR="00EB5430" w:rsidRDefault="00FD6947">
      <w:pPr>
        <w:pStyle w:val="20"/>
        <w:spacing w:line="360" w:lineRule="auto"/>
        <w:jc w:val="right"/>
        <w:rPr>
          <w:sz w:val="20"/>
        </w:rPr>
      </w:pPr>
      <w:r>
        <w:rPr>
          <w:sz w:val="20"/>
        </w:rPr>
        <w:t>АРМ дежурного по управлению</w:t>
      </w:r>
    </w:p>
    <w:p w:rsidR="00EB5430" w:rsidRDefault="00FD6947">
      <w:pPr>
        <w:pStyle w:val="20"/>
        <w:spacing w:line="360" w:lineRule="auto"/>
        <w:jc w:val="right"/>
        <w:rPr>
          <w:sz w:val="20"/>
        </w:rPr>
      </w:pPr>
      <w:r>
        <w:rPr>
          <w:sz w:val="20"/>
        </w:rPr>
        <w:t>ГОЧС Западного округа</w:t>
      </w:r>
    </w:p>
    <w:p w:rsidR="00EB5430" w:rsidRDefault="00FD6947">
      <w:pPr>
        <w:pStyle w:val="20"/>
        <w:spacing w:line="360" w:lineRule="auto"/>
        <w:ind w:left="0" w:right="-908" w:firstLine="0"/>
      </w:pPr>
      <w:r>
        <w:object w:dxaOrig="10189" w:dyaOrig="9199">
          <v:shape id="_x0000_i1028" type="#_x0000_t75" style="width:509.25pt;height:459.75pt" o:ole="" fillcolor="window">
            <v:imagedata r:id="rId11" o:title=""/>
          </v:shape>
          <o:OLEObject Type="Embed" ProgID="Visio.Drawing.4" ShapeID="_x0000_i1028" DrawAspect="Content" ObjectID="_1471446663" r:id="rId12"/>
        </w:object>
      </w:r>
    </w:p>
    <w:p w:rsidR="00EB5430" w:rsidRDefault="00EB5430">
      <w:pPr>
        <w:pStyle w:val="20"/>
        <w:spacing w:line="360" w:lineRule="auto"/>
        <w:ind w:left="0" w:right="-908"/>
      </w:pPr>
    </w:p>
    <w:p w:rsidR="00EB5430" w:rsidRDefault="00FD6947">
      <w:pPr>
        <w:pStyle w:val="20"/>
        <w:spacing w:line="360" w:lineRule="auto"/>
        <w:ind w:left="0" w:right="-907"/>
      </w:pPr>
      <w:r>
        <w:t>Классификация чрезвычайных ситуаций, которые могут иметь место в Западном округе: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чрезвычайные ситуации, сопровождающиеся выбросом опасных веществ в окружающую среду;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ЧС, связанные с возникновением пожаров и взрывов;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ЧС на транспорте;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Стихийные бедствия;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Эпидемии.</w:t>
      </w:r>
    </w:p>
    <w:p w:rsidR="00EB5430" w:rsidRDefault="00EB5430">
      <w:pPr>
        <w:pStyle w:val="20"/>
        <w:spacing w:line="360" w:lineRule="auto"/>
        <w:ind w:right="-907"/>
      </w:pPr>
    </w:p>
    <w:p w:rsidR="00EB5430" w:rsidRDefault="00FD6947">
      <w:pPr>
        <w:pStyle w:val="20"/>
        <w:spacing w:line="360" w:lineRule="auto"/>
        <w:ind w:right="-907"/>
        <w:rPr>
          <w:sz w:val="28"/>
          <w:u w:val="single"/>
        </w:rPr>
      </w:pPr>
      <w:r>
        <w:rPr>
          <w:sz w:val="28"/>
          <w:u w:val="single"/>
        </w:rPr>
        <w:t>Пример: действия дежурного ГОЧС Западного административного округа в случае аварии на химически опасном объекте (например на заводе ВИЛС).</w:t>
      </w:r>
    </w:p>
    <w:p w:rsidR="00EB5430" w:rsidRDefault="00FD6947">
      <w:pPr>
        <w:pStyle w:val="20"/>
        <w:spacing w:line="360" w:lineRule="auto"/>
        <w:ind w:right="-907"/>
      </w:pPr>
      <w:r>
        <w:t xml:space="preserve">Завод легких сплавов (ВИЛС) находится в Западном административном округе на улице Горбунова. На заводе хранится аммиак и др. химические вещества. Допустим, на заводе произошла утечка аммиака. </w:t>
      </w:r>
    </w:p>
    <w:p w:rsidR="00EB5430" w:rsidRDefault="00FD6947">
      <w:pPr>
        <w:pStyle w:val="20"/>
        <w:spacing w:line="360" w:lineRule="auto"/>
      </w:pPr>
      <w:r>
        <w:t>При поступлении информации дежурный должен зафиксировать время поступления и сообщить об аварии начальнику управления ГО округа и ГУ города. Далее необходимо приступить к подготовке проекта решения на действия сил РСЧС, предложений и распоряжений по химическому обеспечению их действий. Предлагается использовать возможности АРМ с программным обеспечением, специально подготовленным для данной ситуации.</w:t>
      </w:r>
    </w:p>
    <w:p w:rsidR="00EB5430" w:rsidRDefault="00FD6947">
      <w:pPr>
        <w:pStyle w:val="20"/>
        <w:spacing w:line="360" w:lineRule="auto"/>
        <w:ind w:right="-907"/>
      </w:pPr>
      <w:r>
        <w:t>Нужно произвести уточнение данных, необходимых для оперативного прогноза возможных последствий аварии. С этой целью из главного меню программы вызываются база данных и раздел плана ГО на мирное время.  При необходимости, пользователь может вызвать на экран ранее утвержденный личный план работы в данной ситуации. Этот план в экстренном случае может послужить подсказкой другому пользователю и позволит сэкономить время и принять решение.</w:t>
      </w:r>
    </w:p>
    <w:p w:rsidR="00EB5430" w:rsidRDefault="00FD6947">
      <w:pPr>
        <w:pStyle w:val="20"/>
        <w:spacing w:line="360" w:lineRule="auto"/>
        <w:ind w:right="-907"/>
      </w:pPr>
      <w:r>
        <w:t>После уточнения исходных данных для оперативного прогнозирования запускается из главного меню основная программа расчета зон заражения, вводятся исходные данные.</w:t>
      </w:r>
    </w:p>
    <w:p w:rsidR="00EB5430" w:rsidRDefault="00FD6947">
      <w:pPr>
        <w:pStyle w:val="20"/>
        <w:spacing w:line="360" w:lineRule="auto"/>
        <w:ind w:right="-907"/>
      </w:pPr>
      <w:r>
        <w:t>В результате расчета определяются: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глубины зон заражения;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площади зон заражения по концентрациям;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время поражающего действия;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возможные общие, безвозвратные и санитарные потери.</w:t>
      </w:r>
    </w:p>
    <w:p w:rsidR="00EB5430" w:rsidRDefault="00FD6947">
      <w:pPr>
        <w:pStyle w:val="20"/>
        <w:spacing w:line="360" w:lineRule="auto"/>
        <w:ind w:right="-907"/>
      </w:pPr>
      <w:r>
        <w:t>Результаты расчета выводятся на экран и распечатываются на принтере (рис. 5).</w:t>
      </w: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FD6947">
      <w:pPr>
        <w:pStyle w:val="20"/>
        <w:spacing w:line="360" w:lineRule="auto"/>
        <w:ind w:right="-907"/>
        <w:jc w:val="center"/>
      </w:pPr>
      <w:r>
        <w:t xml:space="preserve">                                                           Рис. 5. Зона химического заражения</w:t>
      </w:r>
    </w:p>
    <w:p w:rsidR="00EB5430" w:rsidRDefault="00FD6947">
      <w:pPr>
        <w:pStyle w:val="20"/>
        <w:spacing w:line="360" w:lineRule="auto"/>
        <w:ind w:left="0" w:right="-907" w:firstLine="0"/>
      </w:pPr>
      <w:r>
        <w:object w:dxaOrig="11061" w:dyaOrig="11937">
          <v:shape id="_x0000_i1029" type="#_x0000_t75" style="width:476.25pt;height:552pt" o:ole="" fillcolor="window">
            <v:imagedata r:id="rId13" o:title=""/>
          </v:shape>
          <o:OLEObject Type="Embed" ProgID="Visio.Drawing.4" ShapeID="_x0000_i1029" DrawAspect="Content" ObjectID="_1471446664" r:id="rId14"/>
        </w:object>
      </w:r>
    </w:p>
    <w:p w:rsidR="00EB5430" w:rsidRDefault="00EB5430">
      <w:pPr>
        <w:pStyle w:val="20"/>
        <w:spacing w:line="360" w:lineRule="auto"/>
        <w:ind w:left="0" w:right="-907" w:firstLine="0"/>
      </w:pPr>
    </w:p>
    <w:p w:rsidR="00EB5430" w:rsidRDefault="00FD6947">
      <w:pPr>
        <w:pStyle w:val="20"/>
        <w:spacing w:line="360" w:lineRule="auto"/>
        <w:ind w:right="-907"/>
      </w:pPr>
      <w:r>
        <w:t>Далее по карте определяется степень опасности аварии и возможности заражения источников воды, жилых районов и соседних предприятий.</w:t>
      </w:r>
    </w:p>
    <w:p w:rsidR="00EB5430" w:rsidRDefault="00FD6947">
      <w:pPr>
        <w:pStyle w:val="20"/>
        <w:spacing w:line="360" w:lineRule="auto"/>
        <w:ind w:right="-907"/>
      </w:pPr>
      <w:r>
        <w:t>Далее из базы данных  вызывается и распечатывается справочный материал. Некоторые справочные сведения могут быть переданы населению по радиосети (Примерный текст сообщения: Внимание! Внимание! Граждане, химическая тревога. Просьба закрыть окна и по мере возможного не выходить из дома. Просьба ждать дальнейших сообщений), а складывающаяся обстановка может транслироваться по кабельному телевидению.</w:t>
      </w:r>
    </w:p>
    <w:p w:rsidR="00EB5430" w:rsidRDefault="00FD6947">
      <w:pPr>
        <w:pStyle w:val="20"/>
        <w:spacing w:line="360" w:lineRule="auto"/>
        <w:ind w:right="-907"/>
      </w:pPr>
      <w:r>
        <w:t>Далее определяется степень защиты (укомплектованность средствами индивидуальной защиты) рабочих и служащих аварийного и близлежащих объектов промышленности, а также населения (рис. 6). Готовятся предложения и необходимый справочный материал по обоснованию эвакуации населения. Готовятся документы для доклада по реальной обстановке и по прогнозу ее развития. Оператор АРМ вызывает план-график мероприятий ГО аварийного объекта, производится контроль его выполнения и корректировка планов действий территориальных формирований. Готовятся документы по планированию и организации действий территориальных сил экстренного реагирования.</w:t>
      </w:r>
    </w:p>
    <w:p w:rsidR="00EB5430" w:rsidRDefault="00EB5430">
      <w:pPr>
        <w:pStyle w:val="20"/>
        <w:spacing w:line="360" w:lineRule="auto"/>
        <w:ind w:right="-907"/>
      </w:pPr>
    </w:p>
    <w:p w:rsidR="00EB5430" w:rsidRDefault="00E822BE">
      <w:pPr>
        <w:pStyle w:val="20"/>
        <w:spacing w:line="360" w:lineRule="auto"/>
        <w:ind w:right="-90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58.5pt;margin-top:18.9pt;width:367.2pt;height:151.2pt;z-index:251658240;mso-position-horizontal:absolute;mso-position-horizontal-relative:text;mso-position-vertical:absolute;mso-position-vertical-relative:text" o:allowincell="f">
            <v:textbox>
              <w:txbxContent>
                <w:p w:rsidR="00EB5430" w:rsidRDefault="00FD6947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Средства индивидуальной защиты:</w:t>
                  </w:r>
                </w:p>
                <w:p w:rsidR="00EB5430" w:rsidRDefault="00FD6947">
                  <w:r>
                    <w:t xml:space="preserve">Промышленные фильтрующие противогазы, фильтрующие противогазы </w:t>
                  </w:r>
                </w:p>
                <w:p w:rsidR="00EB5430" w:rsidRDefault="00FD6947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Маршруты эвакуации:</w:t>
                  </w:r>
                </w:p>
                <w:p w:rsidR="00EB5430" w:rsidRDefault="00FD6947">
                  <w:r>
                    <w:t>Завод ВИЛС,  (цех №1) -  укрытие № 2 ;</w:t>
                  </w:r>
                </w:p>
                <w:p w:rsidR="00EB5430" w:rsidRDefault="00FD6947">
                  <w:r>
                    <w:t>Завод ВИЛС (цеха 2, 3)  – укрытие № 1;</w:t>
                  </w:r>
                </w:p>
                <w:p w:rsidR="00EB5430" w:rsidRDefault="00FD6947">
                  <w:r>
                    <w:t>Заправочная станция, Деревообрабатывающий комбинат, Завод Железобетонных изделий – по ул. Молодогвардейская к укрытию № 3;</w:t>
                  </w:r>
                </w:p>
                <w:p w:rsidR="00EB5430" w:rsidRDefault="00FD6947">
                  <w:r>
                    <w:t>Жители улицы Неделина – укрытие № 4.</w:t>
                  </w:r>
                </w:p>
                <w:p w:rsidR="00EB5430" w:rsidRDefault="00FD6947">
                  <w:r>
                    <w:t>Эвакуация с завода ВИЛС, цеха 2, 3 осуществляется через ул. Горбунова, далее по ул. Кубинка к Можайскому шоссе; цех 1 – ул.Горбунова-ул. И. Франко.</w:t>
                  </w:r>
                </w:p>
                <w:p w:rsidR="00EB5430" w:rsidRDefault="00FD6947">
                  <w:r>
                    <w:t>Жители ул. Неделина – вдоль по улице в сторону ст. Кунцево</w:t>
                  </w:r>
                </w:p>
                <w:p w:rsidR="00EB5430" w:rsidRDefault="00FD6947">
                  <w:r>
                    <w:t>Жители ул. Молодогвардейская – в сторону метро Кунцевская.</w:t>
                  </w:r>
                </w:p>
              </w:txbxContent>
            </v:textbox>
          </v:shape>
        </w:pict>
      </w:r>
      <w:r w:rsidR="00FD6947">
        <w:t>Рис. 6</w:t>
      </w:r>
    </w:p>
    <w:p w:rsidR="00EB5430" w:rsidRDefault="00E822BE">
      <w:pPr>
        <w:pStyle w:val="20"/>
        <w:spacing w:line="360" w:lineRule="auto"/>
        <w:ind w:right="-907"/>
      </w:pPr>
      <w:r>
        <w:rPr>
          <w:noProof/>
        </w:rPr>
        <w:pict>
          <v:rect id="_x0000_s1100" style="position:absolute;left:0;text-align:left;margin-left:58.5pt;margin-top:.9pt;width:367.2pt;height:36pt;z-index:251657216;mso-position-horizontal:absolute;mso-position-horizontal-relative:text;mso-position-vertical:absolute;mso-position-vertical-relative:text" o:allowincell="f"/>
        </w:pict>
      </w: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FD6947">
      <w:pPr>
        <w:pStyle w:val="20"/>
        <w:spacing w:line="360" w:lineRule="auto"/>
        <w:ind w:right="-907"/>
      </w:pPr>
      <w:r>
        <w:t>Далее рассматриваются справочные материалы, необходимые для организации спасательных работ в зоне поражения, локализация очага поражения и химического обеспечения действий сил ГО: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способы локализации очага поражения;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особенности локализации очага;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несовместимые вещества, которые могут встретиться на объекте;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необходимые типы средств защиты;</w:t>
      </w:r>
    </w:p>
    <w:p w:rsidR="00EB5430" w:rsidRDefault="00FD6947">
      <w:pPr>
        <w:pStyle w:val="20"/>
        <w:numPr>
          <w:ilvl w:val="0"/>
          <w:numId w:val="1"/>
        </w:numPr>
        <w:spacing w:line="360" w:lineRule="auto"/>
        <w:ind w:right="-907" w:firstLine="720"/>
      </w:pPr>
      <w:r>
        <w:t>время работы в индивидуальных средствах защиты.</w:t>
      </w:r>
    </w:p>
    <w:p w:rsidR="00EB5430" w:rsidRDefault="00FD6947">
      <w:pPr>
        <w:pStyle w:val="20"/>
        <w:spacing w:line="360" w:lineRule="auto"/>
        <w:ind w:right="-907"/>
      </w:pPr>
      <w:r>
        <w:t>Определяется количество сил и средств, привлекаемых для химического обеспечения действий сил ГО на территории аварийного объекта и вне его.</w:t>
      </w:r>
    </w:p>
    <w:p w:rsidR="00EB5430" w:rsidRDefault="00FD6947">
      <w:pPr>
        <w:pStyle w:val="20"/>
        <w:spacing w:line="360" w:lineRule="auto"/>
        <w:ind w:right="-907"/>
      </w:pPr>
      <w:r>
        <w:t>Оформляется план-график проведения мероприятий по ликвидации последствий аварии.</w:t>
      </w: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EB5430">
      <w:pPr>
        <w:pStyle w:val="20"/>
        <w:spacing w:line="360" w:lineRule="auto"/>
        <w:ind w:right="-907"/>
      </w:pPr>
    </w:p>
    <w:p w:rsidR="00EB5430" w:rsidRDefault="00FD6947">
      <w:pPr>
        <w:pStyle w:val="20"/>
        <w:spacing w:line="360" w:lineRule="auto"/>
        <w:ind w:right="-907"/>
        <w:jc w:val="right"/>
        <w:rPr>
          <w:sz w:val="20"/>
        </w:rPr>
      </w:pPr>
      <w:r>
        <w:rPr>
          <w:sz w:val="20"/>
        </w:rPr>
        <w:t>Приложение 1. Карта промышленных районов города Москвы</w:t>
      </w:r>
    </w:p>
    <w:p w:rsidR="00EB5430" w:rsidRDefault="00E822BE">
      <w:pPr>
        <w:pStyle w:val="20"/>
        <w:spacing w:line="360" w:lineRule="auto"/>
        <w:ind w:right="-907"/>
        <w:rPr>
          <w:noProof/>
        </w:rPr>
      </w:pPr>
      <w:r>
        <w:rPr>
          <w:noProof/>
        </w:rPr>
        <w:pict>
          <v:shape id="_x0000_i1030" type="#_x0000_t75" style="width:418.5pt;height:547.5pt" fillcolor="window">
            <v:imagedata r:id="rId15" o:title="Промыш~1"/>
          </v:shape>
        </w:pict>
      </w:r>
    </w:p>
    <w:p w:rsidR="00EB5430" w:rsidRDefault="00EB5430">
      <w:pPr>
        <w:pStyle w:val="20"/>
        <w:spacing w:line="360" w:lineRule="auto"/>
        <w:ind w:right="-907"/>
        <w:rPr>
          <w:noProof/>
        </w:rPr>
      </w:pPr>
    </w:p>
    <w:p w:rsidR="00EB5430" w:rsidRDefault="00EB5430">
      <w:pPr>
        <w:pStyle w:val="20"/>
        <w:spacing w:line="360" w:lineRule="auto"/>
        <w:ind w:right="-907"/>
      </w:pPr>
      <w:bookmarkStart w:id="0" w:name="_GoBack"/>
      <w:bookmarkEnd w:id="0"/>
    </w:p>
    <w:sectPr w:rsidR="00EB5430">
      <w:pgSz w:w="11906" w:h="16838"/>
      <w:pgMar w:top="1440" w:right="1558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767B7"/>
    <w:multiLevelType w:val="singleLevel"/>
    <w:tmpl w:val="47DE5FF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947"/>
    <w:rsid w:val="00E822BE"/>
    <w:rsid w:val="00EB5430"/>
    <w:rsid w:val="00F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"/>
    <o:shapelayout v:ext="edit">
      <o:idmap v:ext="edit" data="1"/>
    </o:shapelayout>
  </w:shapeDefaults>
  <w:decimalSymbol w:val=","/>
  <w:listSeparator w:val=";"/>
  <w15:chartTrackingRefBased/>
  <w15:docId w15:val="{F9CA2852-2DF8-4338-9036-68BD773E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080"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 Indent"/>
    <w:basedOn w:val="a"/>
    <w:semiHidden/>
    <w:pPr>
      <w:ind w:firstLine="720"/>
    </w:pPr>
  </w:style>
  <w:style w:type="paragraph" w:styleId="20">
    <w:name w:val="Body Text Indent 2"/>
    <w:basedOn w:val="a"/>
    <w:semiHidden/>
    <w:pPr>
      <w:ind w:left="720" w:firstLine="720"/>
    </w:pPr>
    <w:rPr>
      <w:sz w:val="24"/>
    </w:rPr>
  </w:style>
  <w:style w:type="paragraph" w:styleId="3">
    <w:name w:val="Body Text Indent 3"/>
    <w:basedOn w:val="a"/>
    <w:semiHidden/>
    <w:pPr>
      <w:ind w:firstLine="720"/>
    </w:pPr>
    <w:rPr>
      <w:sz w:val="28"/>
      <w:u w:val="single"/>
    </w:rPr>
  </w:style>
  <w:style w:type="paragraph" w:styleId="a5">
    <w:name w:val="caption"/>
    <w:basedOn w:val="a"/>
    <w:next w:val="a"/>
    <w:qFormat/>
    <w:pPr>
      <w:spacing w:line="360" w:lineRule="auto"/>
    </w:pPr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 SWEET HOME</Company>
  <LinksUpToDate>false</LinksUpToDate>
  <CharactersWithSpaces>14128</CharactersWithSpaces>
  <SharedDoc>false</SharedDoc>
  <HLinks>
    <vt:vector size="6" baseType="variant">
      <vt:variant>
        <vt:i4>71435369</vt:i4>
      </vt:variant>
      <vt:variant>
        <vt:i4>29338</vt:i4>
      </vt:variant>
      <vt:variant>
        <vt:i4>1028</vt:i4>
      </vt:variant>
      <vt:variant>
        <vt:i4>1</vt:i4>
      </vt:variant>
      <vt:variant>
        <vt:lpwstr>C:\SEA\Промыш~1.jpg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Рыбина Марина Анатольевна</dc:creator>
  <cp:keywords/>
  <cp:lastModifiedBy>Irina</cp:lastModifiedBy>
  <cp:revision>2</cp:revision>
  <dcterms:created xsi:type="dcterms:W3CDTF">2014-09-05T15:24:00Z</dcterms:created>
  <dcterms:modified xsi:type="dcterms:W3CDTF">2014-09-05T15:24:00Z</dcterms:modified>
</cp:coreProperties>
</file>