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36" w:rsidRDefault="00A27B36">
      <w:pPr>
        <w:pStyle w:val="FR1"/>
        <w:spacing w:before="120" w:line="240" w:lineRule="auto"/>
        <w:ind w:left="0" w:right="0"/>
        <w:rPr>
          <w:rFonts w:ascii="Times New Roman" w:hAnsi="Times New Roman" w:cs="Times New Roman"/>
          <w:color w:val="000000"/>
          <w:sz w:val="32"/>
          <w:szCs w:val="32"/>
        </w:rPr>
      </w:pPr>
      <w:r>
        <w:rPr>
          <w:rFonts w:ascii="Times New Roman" w:hAnsi="Times New Roman" w:cs="Times New Roman"/>
          <w:color w:val="000000"/>
          <w:sz w:val="32"/>
          <w:szCs w:val="32"/>
        </w:rPr>
        <w:t>Международное научно-техническое сотрудничество</w:t>
      </w:r>
    </w:p>
    <w:p w:rsidR="00A27B36" w:rsidRDefault="00A27B36">
      <w:pPr>
        <w:widowControl w:val="0"/>
        <w:spacing w:before="120"/>
        <w:ind w:firstLine="567"/>
        <w:jc w:val="both"/>
        <w:rPr>
          <w:color w:val="000000"/>
          <w:sz w:val="24"/>
          <w:szCs w:val="24"/>
        </w:rPr>
      </w:pPr>
      <w:r>
        <w:rPr>
          <w:color w:val="000000"/>
          <w:sz w:val="24"/>
          <w:szCs w:val="24"/>
        </w:rPr>
        <w:t>Особо можно выделить научно-техническое сотрудничество, которое осуществляется в виде совместных программ научно-исследовательских и проектно-конструкторских работ путем объединения научных, финансовых и материальных ресурсов, создания совместных научно-исследовательских групп специалистов или организаций.</w:t>
      </w:r>
    </w:p>
    <w:p w:rsidR="00A27B36" w:rsidRDefault="00A27B36">
      <w:pPr>
        <w:widowControl w:val="0"/>
        <w:spacing w:before="120"/>
        <w:ind w:firstLine="567"/>
        <w:jc w:val="both"/>
        <w:rPr>
          <w:color w:val="000000"/>
          <w:sz w:val="24"/>
          <w:szCs w:val="24"/>
        </w:rPr>
      </w:pPr>
      <w:r>
        <w:rPr>
          <w:color w:val="000000"/>
          <w:sz w:val="24"/>
          <w:szCs w:val="24"/>
        </w:rPr>
        <w:t>Наиболее рациональными и эффективными формами этого сотрудничества являются:</w:t>
      </w:r>
    </w:p>
    <w:p w:rsidR="00A27B36" w:rsidRDefault="00A27B36">
      <w:pPr>
        <w:widowControl w:val="0"/>
        <w:spacing w:before="120"/>
        <w:ind w:firstLine="567"/>
        <w:jc w:val="both"/>
        <w:rPr>
          <w:color w:val="000000"/>
          <w:sz w:val="24"/>
          <w:szCs w:val="24"/>
        </w:rPr>
      </w:pPr>
      <w:r>
        <w:rPr>
          <w:color w:val="000000"/>
          <w:sz w:val="24"/>
          <w:szCs w:val="24"/>
        </w:rPr>
        <w:t>создание общих научно-исследовательских центров, бюро, лабораторий для использования новейших научно-технических идей, конструирования, маркетинговых исследований и технико-экономических расчетов;</w:t>
      </w:r>
    </w:p>
    <w:p w:rsidR="00A27B36" w:rsidRDefault="00A27B36">
      <w:pPr>
        <w:widowControl w:val="0"/>
        <w:spacing w:before="120"/>
        <w:ind w:firstLine="567"/>
        <w:jc w:val="both"/>
        <w:rPr>
          <w:color w:val="000000"/>
          <w:sz w:val="24"/>
          <w:szCs w:val="24"/>
        </w:rPr>
      </w:pPr>
      <w:r>
        <w:rPr>
          <w:color w:val="000000"/>
          <w:sz w:val="24"/>
          <w:szCs w:val="24"/>
        </w:rPr>
        <w:t>совместные эксперименты в области совершенствования действующей техники и технологии с целью улучшения технико-экономических показателей работы фирмы;</w:t>
      </w:r>
    </w:p>
    <w:p w:rsidR="00A27B36" w:rsidRDefault="00A27B36">
      <w:pPr>
        <w:widowControl w:val="0"/>
        <w:spacing w:before="120"/>
        <w:ind w:firstLine="567"/>
        <w:jc w:val="both"/>
        <w:rPr>
          <w:color w:val="000000"/>
          <w:sz w:val="24"/>
          <w:szCs w:val="24"/>
        </w:rPr>
      </w:pPr>
      <w:r>
        <w:rPr>
          <w:color w:val="000000"/>
          <w:sz w:val="24"/>
          <w:szCs w:val="24"/>
        </w:rPr>
        <w:t>совместные изыскания и изучение зарубежного опыта в области организации производства и труда;</w:t>
      </w:r>
    </w:p>
    <w:p w:rsidR="00A27B36" w:rsidRDefault="00A27B36">
      <w:pPr>
        <w:widowControl w:val="0"/>
        <w:spacing w:before="120"/>
        <w:ind w:firstLine="567"/>
        <w:jc w:val="both"/>
        <w:rPr>
          <w:color w:val="000000"/>
          <w:sz w:val="24"/>
          <w:szCs w:val="24"/>
        </w:rPr>
      </w:pPr>
      <w:r>
        <w:rPr>
          <w:color w:val="000000"/>
          <w:sz w:val="24"/>
          <w:szCs w:val="24"/>
        </w:rPr>
        <w:t>текущая координация и консультации по вопросам научно-технической политики;</w:t>
      </w:r>
    </w:p>
    <w:p w:rsidR="00A27B36" w:rsidRDefault="00A27B36">
      <w:pPr>
        <w:widowControl w:val="0"/>
        <w:spacing w:before="120"/>
        <w:ind w:firstLine="567"/>
        <w:jc w:val="both"/>
        <w:rPr>
          <w:color w:val="000000"/>
          <w:sz w:val="24"/>
          <w:szCs w:val="24"/>
        </w:rPr>
      </w:pPr>
      <w:r>
        <w:rPr>
          <w:color w:val="000000"/>
          <w:sz w:val="24"/>
          <w:szCs w:val="24"/>
        </w:rPr>
        <w:t>организация подготовки квалифицированного исследовательского персонала.</w:t>
      </w:r>
    </w:p>
    <w:p w:rsidR="00A27B36" w:rsidRDefault="00A27B36">
      <w:pPr>
        <w:widowControl w:val="0"/>
        <w:spacing w:before="120"/>
        <w:ind w:firstLine="567"/>
        <w:jc w:val="both"/>
        <w:rPr>
          <w:color w:val="000000"/>
          <w:sz w:val="24"/>
          <w:szCs w:val="24"/>
        </w:rPr>
      </w:pPr>
      <w:r>
        <w:rPr>
          <w:color w:val="000000"/>
          <w:sz w:val="24"/>
          <w:szCs w:val="24"/>
        </w:rPr>
        <w:t>Особо важным для научно-технического сотрудничества является анализ его эффективности. Эффективность полученных научных результатов рассматривается в нескольких аспектах.</w:t>
      </w:r>
    </w:p>
    <w:p w:rsidR="00A27B36" w:rsidRDefault="00A27B36">
      <w:pPr>
        <w:widowControl w:val="0"/>
        <w:spacing w:before="120"/>
        <w:ind w:firstLine="567"/>
        <w:jc w:val="both"/>
        <w:rPr>
          <w:color w:val="000000"/>
          <w:sz w:val="24"/>
          <w:szCs w:val="24"/>
        </w:rPr>
      </w:pPr>
      <w:r>
        <w:rPr>
          <w:color w:val="000000"/>
          <w:sz w:val="24"/>
          <w:szCs w:val="24"/>
        </w:rPr>
        <w:t>Теоретическая ценность состоит в методах решения проблемы, областях применимости результатов, влиянии на смежные отрасли науки.</w:t>
      </w:r>
    </w:p>
    <w:p w:rsidR="00A27B36" w:rsidRDefault="00A27B36">
      <w:pPr>
        <w:widowControl w:val="0"/>
        <w:spacing w:before="120"/>
        <w:ind w:firstLine="567"/>
        <w:jc w:val="both"/>
        <w:rPr>
          <w:color w:val="000000"/>
          <w:sz w:val="24"/>
          <w:szCs w:val="24"/>
        </w:rPr>
      </w:pPr>
      <w:r>
        <w:rPr>
          <w:color w:val="000000"/>
          <w:sz w:val="24"/>
          <w:szCs w:val="24"/>
        </w:rPr>
        <w:t>Техническая ценность характеризуется уровнем технических характеристик (надежности, долговечности, производительности и т.п.), конкурентоспособностью, значением для сотрудничества стран и фирм.</w:t>
      </w:r>
    </w:p>
    <w:p w:rsidR="00A27B36" w:rsidRDefault="00A27B36">
      <w:pPr>
        <w:widowControl w:val="0"/>
        <w:spacing w:before="120"/>
        <w:ind w:firstLine="567"/>
        <w:jc w:val="both"/>
        <w:rPr>
          <w:color w:val="000000"/>
          <w:sz w:val="24"/>
          <w:szCs w:val="24"/>
        </w:rPr>
      </w:pPr>
      <w:r>
        <w:rPr>
          <w:color w:val="000000"/>
          <w:sz w:val="24"/>
          <w:szCs w:val="24"/>
        </w:rPr>
        <w:t>Прикладная ценность выражается в возможности и сферах применения результата в народном хозяйстве или на фирме, масштабах внедрения, наличии побочных результатов. Перспективность мероприятия оценивается временем, в течение которого можно эффективно использовать результат.</w:t>
      </w:r>
    </w:p>
    <w:p w:rsidR="00A27B36" w:rsidRDefault="00A27B36">
      <w:pPr>
        <w:widowControl w:val="0"/>
        <w:spacing w:before="120"/>
        <w:ind w:firstLine="567"/>
        <w:jc w:val="both"/>
        <w:rPr>
          <w:color w:val="000000"/>
          <w:sz w:val="24"/>
          <w:szCs w:val="24"/>
        </w:rPr>
      </w:pPr>
      <w:r>
        <w:rPr>
          <w:color w:val="000000"/>
          <w:sz w:val="24"/>
          <w:szCs w:val="24"/>
        </w:rPr>
        <w:t>Предполагаемая стоимость разработок включает затраты на научные исследования, подготовку специалистов, создание и установку необходимого оборудования, на информационное обеспечение. Время разработки складывайся из времени на подготовку материально-технической базы исследований и их проведение, на получение и проверку результатов, на внедрение.</w:t>
      </w:r>
    </w:p>
    <w:p w:rsidR="00A27B36" w:rsidRDefault="00A27B36">
      <w:pPr>
        <w:widowControl w:val="0"/>
        <w:spacing w:before="120"/>
        <w:ind w:firstLine="567"/>
        <w:jc w:val="both"/>
        <w:rPr>
          <w:color w:val="000000"/>
          <w:sz w:val="24"/>
          <w:szCs w:val="24"/>
        </w:rPr>
      </w:pPr>
      <w:r>
        <w:rPr>
          <w:color w:val="000000"/>
          <w:sz w:val="24"/>
          <w:szCs w:val="24"/>
        </w:rPr>
        <w:t>Вероятность реализации планов и результатов разработки связана с соответствием научной и материальной базы разрабатываемой проблеме, с правильностью выбранной формы сотрудничества. Экономическая эффективность внедрения результатов, определяется чистым эффектом (прибылью), сроками окупаемости, конкурентоспособностью по экономическим показателям национального и мирового уровня.</w:t>
      </w:r>
    </w:p>
    <w:p w:rsidR="00A27B36" w:rsidRDefault="00A27B36">
      <w:pPr>
        <w:widowControl w:val="0"/>
        <w:spacing w:before="120"/>
        <w:jc w:val="center"/>
        <w:rPr>
          <w:b/>
          <w:bCs/>
          <w:color w:val="000000"/>
          <w:sz w:val="28"/>
          <w:szCs w:val="28"/>
        </w:rPr>
      </w:pPr>
      <w:r>
        <w:rPr>
          <w:b/>
          <w:bCs/>
          <w:color w:val="000000"/>
          <w:sz w:val="28"/>
          <w:szCs w:val="28"/>
        </w:rPr>
        <w:t>Виды коммерческого обмена  результатами НТ разработок</w:t>
      </w:r>
    </w:p>
    <w:p w:rsidR="00A27B36" w:rsidRDefault="00A27B36">
      <w:pPr>
        <w:widowControl w:val="0"/>
        <w:spacing w:before="120"/>
        <w:ind w:firstLine="567"/>
        <w:jc w:val="both"/>
        <w:rPr>
          <w:color w:val="000000"/>
          <w:sz w:val="24"/>
          <w:szCs w:val="24"/>
        </w:rPr>
      </w:pPr>
      <w:r>
        <w:rPr>
          <w:color w:val="000000"/>
          <w:sz w:val="24"/>
          <w:szCs w:val="24"/>
        </w:rPr>
        <w:t>Среди консультационных услуг в области информации и совершенствования управления широкое распространение получили аудиторские услуги, предусматривающие проверку коммерческой и финансово-хозяйственной деятельности, разработку предложений по ее совершенствованию, консультации по вопросам налогообложения и т.п.</w:t>
      </w:r>
    </w:p>
    <w:p w:rsidR="00A27B36" w:rsidRDefault="00A27B36">
      <w:pPr>
        <w:widowControl w:val="0"/>
        <w:spacing w:before="120"/>
        <w:ind w:firstLine="567"/>
        <w:jc w:val="both"/>
      </w:pPr>
      <w:r>
        <w:t>В этой внешнеторговой группе сделок различают торговлю результатами научно-технических исследований и торговлю объектами авторского права. Соглашения по обмену научно-техническими знаниями связаны с куплей-продажей итогов исследовательских работ, представляющих не только научную, но и коммерческую ценность. В отличие от международной торговли вещественными предметами в операциях по торговле научно-техническими знаниями присутствуют продукты интеллектуального труда, выступающие в форме патентов, лицензий, товарных знаков, промышленных образцов, а также технические знания и опыт, объединенные понятием ноу-хау.</w:t>
      </w:r>
    </w:p>
    <w:p w:rsidR="00A27B36" w:rsidRDefault="00A27B36">
      <w:pPr>
        <w:widowControl w:val="0"/>
        <w:spacing w:before="120"/>
        <w:ind w:firstLine="567"/>
        <w:jc w:val="both"/>
        <w:rPr>
          <w:color w:val="000000"/>
          <w:sz w:val="24"/>
          <w:szCs w:val="24"/>
        </w:rPr>
      </w:pPr>
      <w:r>
        <w:rPr>
          <w:color w:val="000000"/>
          <w:sz w:val="24"/>
          <w:szCs w:val="24"/>
        </w:rPr>
        <w:t>Патент</w:t>
      </w:r>
      <w:r>
        <w:rPr>
          <w:noProof/>
          <w:color w:val="000000"/>
          <w:sz w:val="24"/>
          <w:szCs w:val="24"/>
        </w:rPr>
        <w:t xml:space="preserve"> -</w:t>
      </w:r>
      <w:r>
        <w:rPr>
          <w:color w:val="000000"/>
          <w:sz w:val="24"/>
          <w:szCs w:val="24"/>
        </w:rPr>
        <w:t xml:space="preserve"> это документ, выданный государственным органом изобретателю, удостоверяющий его авторство и исключительное право на использование изобретения. Он дает владельцу титул собственника на изобретение и защищает его не только от местных, но и от иностранных конкурентов. Действует на территории той страны, где выдан. Но патент может быть куплен другой стороной и тогда действует и на ее территории. В группе внешнеторговых сделок по купле-продаже итогов творческой деятельности большое место принадлежит торговле лицензиями. Лицензионные операции</w:t>
      </w:r>
      <w:r>
        <w:rPr>
          <w:noProof/>
          <w:color w:val="000000"/>
          <w:sz w:val="24"/>
          <w:szCs w:val="24"/>
        </w:rPr>
        <w:t xml:space="preserve"> -</w:t>
      </w:r>
      <w:r>
        <w:rPr>
          <w:color w:val="000000"/>
          <w:sz w:val="24"/>
          <w:szCs w:val="24"/>
        </w:rPr>
        <w:t xml:space="preserve"> это предоставление права на использование иностранных научно-технических достижений на основе специальных лицензионных соглашений. Большое место занимают сделки по выполнению заказных научно-исследовательских и опытно-конструкторских работ, исполнению заказов на подготовку научно-технической документации, научного оборудования и опытных образцов изделий и материалов, проведение научно-технических экспертиз и т.д.</w:t>
      </w:r>
    </w:p>
    <w:p w:rsidR="00A27B36" w:rsidRDefault="00A27B36">
      <w:pPr>
        <w:widowControl w:val="0"/>
        <w:spacing w:before="120"/>
        <w:ind w:firstLine="567"/>
        <w:jc w:val="both"/>
        <w:rPr>
          <w:color w:val="000000"/>
          <w:sz w:val="24"/>
          <w:szCs w:val="24"/>
        </w:rPr>
      </w:pPr>
      <w:r>
        <w:rPr>
          <w:color w:val="000000"/>
          <w:sz w:val="24"/>
          <w:szCs w:val="24"/>
        </w:rPr>
        <w:t>Главными договорами, регулирующими патенты, следует признать Договор о патентном сотрудничестве</w:t>
      </w:r>
      <w:r>
        <w:rPr>
          <w:noProof/>
          <w:color w:val="000000"/>
          <w:sz w:val="24"/>
          <w:szCs w:val="24"/>
        </w:rPr>
        <w:t xml:space="preserve"> 1970</w:t>
      </w:r>
      <w:r>
        <w:rPr>
          <w:color w:val="000000"/>
          <w:sz w:val="24"/>
          <w:szCs w:val="24"/>
        </w:rPr>
        <w:t xml:space="preserve"> гг. и Конвенцию Парижского союза, которую часто пересматривают и дополняют. В определенной мере Парижская конвенция регулирует также использование товарных знаков, знаков услуг, фирменных наименований, промышленных образцов н недобросовестную конкуренцию. Другими новыми договорами, регулирующими патенты, могут служить Европейская патентная конвенция (предусматривающая выдачу одним бюро в Мюнхене/Гааге патентов всех стран-участниц договора) и Патент-142</w:t>
      </w:r>
    </w:p>
    <w:p w:rsidR="00A27B36" w:rsidRDefault="00A27B36">
      <w:pPr>
        <w:widowControl w:val="0"/>
        <w:spacing w:before="120"/>
        <w:ind w:firstLine="567"/>
        <w:jc w:val="both"/>
        <w:rPr>
          <w:color w:val="000000"/>
          <w:sz w:val="24"/>
          <w:szCs w:val="24"/>
        </w:rPr>
      </w:pPr>
      <w:r>
        <w:rPr>
          <w:color w:val="000000"/>
          <w:sz w:val="24"/>
          <w:szCs w:val="24"/>
        </w:rPr>
        <w:t>Парижская конвенция, участниками которой являются свыше</w:t>
      </w:r>
      <w:r>
        <w:rPr>
          <w:noProof/>
          <w:color w:val="000000"/>
          <w:sz w:val="24"/>
          <w:szCs w:val="24"/>
        </w:rPr>
        <w:t xml:space="preserve"> 85</w:t>
      </w:r>
      <w:r>
        <w:rPr>
          <w:color w:val="000000"/>
          <w:sz w:val="24"/>
          <w:szCs w:val="24"/>
        </w:rPr>
        <w:t xml:space="preserve"> стран, включая США, остается основным международным соглашением, регулирующим режим для иностранцев по национальному патентному законодательству. За ее выполнением следит Международное бюро Всемирной организации интеллектуальной собственности (ВОИС) в Женеве. Право на национальный режим запрещает дискриминацию по отношению к иностранным владельцам местных патентов и товарных знаков. Так, например, американец, получивший канадский патент, должен иметь те же законные права и средства правовой защиты, что и канадские граждане. Кроме того, важное право приоритета предоставляют патентодержателям при условии, что они подадут заявку в других странах в течение двенадцати месяцев после подачи заявки в своей стране. Подача патентной заявки за рубежом не зависит от ее успеха в своей стране. Критерии патентоспособности в разных странах имеют различия. Тем не менее Парижская конвенция избавляет от необходимости подавать заявку одновременно в каждой стране, где нужно обеспечить охрану интеллектуальной собственности. Если же изобретатель решит не добиваться охраны патента в других странах, любое лицо может изготовлять, использовать или продавать там это изобретение. Парижская конвенция не пытается уменьшить необходимость подачи отдельных патентных заявок во всех странах, где нужно обеспечить охрану патента. Она также не изменяет разные критерии патентоспособности, действующие в разных странах.</w:t>
      </w:r>
    </w:p>
    <w:p w:rsidR="00A27B36" w:rsidRDefault="00A27B36">
      <w:pPr>
        <w:widowControl w:val="0"/>
        <w:spacing w:before="120"/>
        <w:ind w:firstLine="567"/>
        <w:jc w:val="both"/>
        <w:rPr>
          <w:color w:val="000000"/>
        </w:rPr>
      </w:pPr>
      <w:r>
        <w:rPr>
          <w:color w:val="000000"/>
          <w:sz w:val="24"/>
          <w:szCs w:val="24"/>
        </w:rPr>
        <w:t>Договор о патентной кооперации, участниками которого, включая США, являются около</w:t>
      </w:r>
      <w:r>
        <w:rPr>
          <w:noProof/>
          <w:color w:val="000000"/>
          <w:sz w:val="24"/>
          <w:szCs w:val="24"/>
        </w:rPr>
        <w:t xml:space="preserve"> 40</w:t>
      </w:r>
      <w:r>
        <w:rPr>
          <w:color w:val="000000"/>
          <w:sz w:val="24"/>
          <w:szCs w:val="24"/>
        </w:rPr>
        <w:t xml:space="preserve"> стран, направлен на повышение единообразия и уменьшение стоимости подачи международных патентных заявок и проведения предварительной экспертизы.</w:t>
      </w:r>
    </w:p>
    <w:p w:rsidR="00A27B36" w:rsidRDefault="00A27B36">
      <w:pPr>
        <w:widowControl w:val="0"/>
        <w:spacing w:before="120"/>
        <w:ind w:firstLine="590"/>
        <w:jc w:val="both"/>
      </w:pPr>
      <w:bookmarkStart w:id="0" w:name="_GoBack"/>
      <w:bookmarkEnd w:id="0"/>
    </w:p>
    <w:sectPr w:rsidR="00A27B36">
      <w:pgSz w:w="11906" w:h="16838"/>
      <w:pgMar w:top="1134" w:right="1134" w:bottom="1134" w:left="1134" w:header="1440" w:footer="1440" w:gutter="0"/>
      <w:cols w:sep="1" w:space="284"/>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3D5"/>
    <w:rsid w:val="005363D5"/>
    <w:rsid w:val="00651022"/>
    <w:rsid w:val="00A27B36"/>
    <w:rsid w:val="00B5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749929-0790-4782-8198-34E87E26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line="320" w:lineRule="auto"/>
      <w:ind w:left="1120" w:right="1000"/>
      <w:jc w:val="center"/>
    </w:pPr>
    <w:rPr>
      <w:rFonts w:ascii="Arial" w:hAnsi="Arial" w:cs="Arial"/>
      <w:b/>
      <w:bCs/>
      <w:sz w:val="18"/>
      <w:szCs w:val="18"/>
      <w:lang w:val="ru-RU" w:eastAsia="ru-RU"/>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4275</Words>
  <Characters>2438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Международное научно-техническое сотрудничество</vt:lpstr>
    </vt:vector>
  </TitlesOfParts>
  <Company>PERSONAL COMPUTERS</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научно-техническое сотрудничество</dc:title>
  <dc:subject/>
  <dc:creator>USER</dc:creator>
  <cp:keywords/>
  <dc:description/>
  <cp:lastModifiedBy>admin</cp:lastModifiedBy>
  <cp:revision>2</cp:revision>
  <dcterms:created xsi:type="dcterms:W3CDTF">2014-01-26T20:58:00Z</dcterms:created>
  <dcterms:modified xsi:type="dcterms:W3CDTF">2014-01-26T20:58:00Z</dcterms:modified>
</cp:coreProperties>
</file>