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D68" w:rsidRDefault="007D2D68">
      <w:pPr>
        <w:pStyle w:val="a3"/>
      </w:pPr>
    </w:p>
    <w:p w:rsidR="00650590" w:rsidRDefault="00650590">
      <w:pPr>
        <w:pStyle w:val="a3"/>
      </w:pPr>
    </w:p>
    <w:p w:rsidR="007D2D68" w:rsidRDefault="007D2D68">
      <w:pPr>
        <w:pStyle w:val="a3"/>
      </w:pPr>
    </w:p>
    <w:p w:rsidR="007D2D68" w:rsidRDefault="007D2D68">
      <w:pPr>
        <w:pStyle w:val="a3"/>
      </w:pPr>
      <w:r>
        <w:t>П Л А Н</w:t>
      </w:r>
    </w:p>
    <w:p w:rsidR="007D2D68" w:rsidRDefault="007D2D68">
      <w:pPr>
        <w:jc w:val="center"/>
        <w:rPr>
          <w:b/>
          <w:sz w:val="32"/>
        </w:rPr>
      </w:pPr>
    </w:p>
    <w:p w:rsidR="007D2D68" w:rsidRDefault="007D2D68">
      <w:pPr>
        <w:jc w:val="both"/>
        <w:rPr>
          <w:b/>
          <w:sz w:val="32"/>
        </w:rPr>
      </w:pPr>
    </w:p>
    <w:p w:rsidR="007D2D68" w:rsidRDefault="007D2D68">
      <w:pPr>
        <w:pStyle w:val="5"/>
        <w:rPr>
          <w:b w:val="0"/>
          <w:sz w:val="28"/>
        </w:rPr>
      </w:pPr>
      <w:r>
        <w:rPr>
          <w:b w:val="0"/>
          <w:sz w:val="28"/>
        </w:rPr>
        <w:t>Введение</w:t>
      </w: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ab/>
        <w:t>2-3</w:t>
      </w:r>
    </w:p>
    <w:p w:rsidR="007D2D68" w:rsidRDefault="007D2D68">
      <w:pPr>
        <w:jc w:val="both"/>
        <w:rPr>
          <w:b/>
          <w:sz w:val="32"/>
        </w:rPr>
      </w:pPr>
    </w:p>
    <w:p w:rsidR="007D2D68" w:rsidRDefault="007D2D68">
      <w:pPr>
        <w:pStyle w:val="7"/>
      </w:pPr>
      <w:r>
        <w:t xml:space="preserve">   Воздействие отраслей экономики на окружающую природную среду </w:t>
      </w:r>
    </w:p>
    <w:p w:rsidR="007D2D68" w:rsidRDefault="007D2D68">
      <w:pPr>
        <w:spacing w:line="360" w:lineRule="auto"/>
        <w:jc w:val="both"/>
        <w:rPr>
          <w:sz w:val="28"/>
        </w:rPr>
      </w:pPr>
      <w:r>
        <w:rPr>
          <w:sz w:val="28"/>
        </w:rPr>
        <w:t xml:space="preserve">         Ханты-Мансийского автономного округа.</w:t>
      </w:r>
      <w:r>
        <w:rPr>
          <w:sz w:val="28"/>
        </w:rPr>
        <w:tab/>
      </w:r>
      <w:r>
        <w:rPr>
          <w:sz w:val="28"/>
        </w:rPr>
        <w:tab/>
      </w:r>
      <w:r>
        <w:rPr>
          <w:sz w:val="28"/>
        </w:rPr>
        <w:tab/>
      </w:r>
      <w:r>
        <w:rPr>
          <w:sz w:val="28"/>
        </w:rPr>
        <w:tab/>
      </w:r>
      <w:r>
        <w:rPr>
          <w:sz w:val="28"/>
        </w:rPr>
        <w:tab/>
        <w:t>3-5</w:t>
      </w:r>
    </w:p>
    <w:p w:rsidR="007D2D68" w:rsidRDefault="007D2D68">
      <w:pPr>
        <w:spacing w:line="360" w:lineRule="auto"/>
        <w:jc w:val="both"/>
        <w:rPr>
          <w:sz w:val="28"/>
        </w:rPr>
      </w:pPr>
      <w:r>
        <w:rPr>
          <w:sz w:val="28"/>
        </w:rPr>
        <w:t>1.      Нефтегазодобывающей промышленности.</w:t>
      </w:r>
      <w:r>
        <w:rPr>
          <w:sz w:val="28"/>
        </w:rPr>
        <w:tab/>
      </w:r>
      <w:r>
        <w:rPr>
          <w:sz w:val="28"/>
        </w:rPr>
        <w:tab/>
      </w:r>
      <w:r>
        <w:rPr>
          <w:sz w:val="28"/>
        </w:rPr>
        <w:tab/>
      </w:r>
      <w:r>
        <w:rPr>
          <w:sz w:val="28"/>
        </w:rPr>
        <w:tab/>
      </w:r>
      <w:r>
        <w:rPr>
          <w:sz w:val="28"/>
        </w:rPr>
        <w:tab/>
        <w:t>5-7</w:t>
      </w:r>
    </w:p>
    <w:p w:rsidR="007D2D68" w:rsidRDefault="007D2D68">
      <w:pPr>
        <w:numPr>
          <w:ilvl w:val="1"/>
          <w:numId w:val="10"/>
        </w:numPr>
        <w:spacing w:line="360" w:lineRule="auto"/>
        <w:jc w:val="both"/>
        <w:rPr>
          <w:sz w:val="28"/>
        </w:rPr>
      </w:pPr>
      <w:r>
        <w:rPr>
          <w:sz w:val="28"/>
        </w:rPr>
        <w:t xml:space="preserve">Нефте-солевое  загрязнения окружающей среды автономного </w:t>
      </w:r>
    </w:p>
    <w:p w:rsidR="007D2D68" w:rsidRDefault="007D2D68">
      <w:pPr>
        <w:spacing w:line="360" w:lineRule="auto"/>
        <w:ind w:firstLine="720"/>
        <w:jc w:val="both"/>
        <w:rPr>
          <w:sz w:val="28"/>
        </w:rPr>
      </w:pPr>
      <w:r>
        <w:rPr>
          <w:sz w:val="28"/>
        </w:rPr>
        <w:t>округа.</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7-8</w:t>
      </w:r>
    </w:p>
    <w:p w:rsidR="007D2D68" w:rsidRDefault="007D2D68">
      <w:pPr>
        <w:numPr>
          <w:ilvl w:val="1"/>
          <w:numId w:val="9"/>
        </w:numPr>
        <w:spacing w:line="360" w:lineRule="auto"/>
        <w:jc w:val="both"/>
        <w:rPr>
          <w:sz w:val="28"/>
        </w:rPr>
      </w:pPr>
      <w:r>
        <w:rPr>
          <w:sz w:val="28"/>
        </w:rPr>
        <w:t xml:space="preserve">Мероприятия по ликвидации аварийных нефтезагрязнений </w:t>
      </w:r>
      <w:r>
        <w:rPr>
          <w:sz w:val="28"/>
        </w:rPr>
        <w:tab/>
      </w:r>
      <w:r>
        <w:rPr>
          <w:sz w:val="28"/>
        </w:rPr>
        <w:tab/>
      </w:r>
    </w:p>
    <w:p w:rsidR="007D2D68" w:rsidRDefault="007D2D68">
      <w:pPr>
        <w:spacing w:line="360" w:lineRule="auto"/>
        <w:ind w:firstLine="720"/>
        <w:jc w:val="both"/>
        <w:rPr>
          <w:sz w:val="28"/>
        </w:rPr>
      </w:pPr>
      <w:r>
        <w:rPr>
          <w:sz w:val="28"/>
        </w:rPr>
        <w:t>окружающей среды.</w:t>
      </w:r>
      <w:r>
        <w:rPr>
          <w:sz w:val="28"/>
        </w:rPr>
        <w:tab/>
      </w:r>
      <w:r>
        <w:rPr>
          <w:sz w:val="28"/>
        </w:rPr>
        <w:tab/>
      </w:r>
      <w:r>
        <w:rPr>
          <w:sz w:val="28"/>
        </w:rPr>
        <w:tab/>
      </w:r>
      <w:r>
        <w:rPr>
          <w:sz w:val="28"/>
        </w:rPr>
        <w:tab/>
      </w:r>
      <w:r>
        <w:rPr>
          <w:sz w:val="28"/>
        </w:rPr>
        <w:tab/>
      </w:r>
      <w:r>
        <w:rPr>
          <w:sz w:val="28"/>
        </w:rPr>
        <w:tab/>
      </w:r>
      <w:r>
        <w:rPr>
          <w:sz w:val="28"/>
        </w:rPr>
        <w:tab/>
      </w:r>
      <w:r>
        <w:rPr>
          <w:sz w:val="28"/>
        </w:rPr>
        <w:tab/>
        <w:t>8-9</w:t>
      </w:r>
    </w:p>
    <w:p w:rsidR="007D2D68" w:rsidRDefault="007D2D68">
      <w:pPr>
        <w:numPr>
          <w:ilvl w:val="1"/>
          <w:numId w:val="9"/>
        </w:numPr>
        <w:spacing w:line="360" w:lineRule="auto"/>
        <w:jc w:val="both"/>
        <w:rPr>
          <w:sz w:val="28"/>
        </w:rPr>
      </w:pPr>
      <w:r>
        <w:rPr>
          <w:sz w:val="28"/>
        </w:rPr>
        <w:t xml:space="preserve">Природоохранная деятельность нефтегазодобывающих </w:t>
      </w:r>
    </w:p>
    <w:p w:rsidR="007D2D68" w:rsidRDefault="007D2D68">
      <w:pPr>
        <w:spacing w:line="360" w:lineRule="auto"/>
        <w:ind w:firstLine="720"/>
        <w:jc w:val="both"/>
        <w:rPr>
          <w:sz w:val="28"/>
        </w:rPr>
      </w:pPr>
      <w:r>
        <w:rPr>
          <w:sz w:val="28"/>
        </w:rPr>
        <w:t>предприятий.</w:t>
      </w:r>
      <w:r>
        <w:rPr>
          <w:sz w:val="28"/>
        </w:rPr>
        <w:tab/>
      </w:r>
      <w:r>
        <w:rPr>
          <w:sz w:val="28"/>
        </w:rPr>
        <w:tab/>
      </w:r>
      <w:r>
        <w:rPr>
          <w:sz w:val="28"/>
        </w:rPr>
        <w:tab/>
      </w:r>
      <w:r>
        <w:rPr>
          <w:sz w:val="28"/>
        </w:rPr>
        <w:tab/>
      </w:r>
      <w:r>
        <w:rPr>
          <w:sz w:val="28"/>
        </w:rPr>
        <w:tab/>
      </w:r>
      <w:r>
        <w:rPr>
          <w:sz w:val="28"/>
        </w:rPr>
        <w:tab/>
      </w:r>
      <w:r>
        <w:rPr>
          <w:sz w:val="28"/>
        </w:rPr>
        <w:tab/>
      </w:r>
      <w:r>
        <w:rPr>
          <w:sz w:val="28"/>
        </w:rPr>
        <w:tab/>
        <w:t xml:space="preserve">         9-10</w:t>
      </w:r>
    </w:p>
    <w:p w:rsidR="007D2D68" w:rsidRDefault="007D2D68">
      <w:pPr>
        <w:numPr>
          <w:ilvl w:val="0"/>
          <w:numId w:val="3"/>
        </w:numPr>
        <w:spacing w:line="360" w:lineRule="auto"/>
        <w:jc w:val="both"/>
        <w:rPr>
          <w:sz w:val="28"/>
        </w:rPr>
      </w:pPr>
      <w:r>
        <w:rPr>
          <w:sz w:val="28"/>
        </w:rPr>
        <w:t xml:space="preserve"> Электроэнергетика.</w:t>
      </w:r>
      <w:r>
        <w:rPr>
          <w:sz w:val="28"/>
        </w:rPr>
        <w:tab/>
      </w:r>
      <w:r>
        <w:rPr>
          <w:sz w:val="28"/>
        </w:rPr>
        <w:tab/>
      </w:r>
      <w:r>
        <w:rPr>
          <w:sz w:val="28"/>
        </w:rPr>
        <w:tab/>
      </w:r>
      <w:r>
        <w:rPr>
          <w:sz w:val="28"/>
        </w:rPr>
        <w:tab/>
      </w:r>
      <w:r>
        <w:rPr>
          <w:sz w:val="28"/>
        </w:rPr>
        <w:tab/>
      </w:r>
      <w:r>
        <w:rPr>
          <w:sz w:val="28"/>
        </w:rPr>
        <w:tab/>
      </w:r>
      <w:r>
        <w:rPr>
          <w:sz w:val="28"/>
        </w:rPr>
        <w:tab/>
        <w:t xml:space="preserve">       10-11</w:t>
      </w:r>
      <w:r>
        <w:rPr>
          <w:sz w:val="28"/>
        </w:rPr>
        <w:tab/>
      </w:r>
    </w:p>
    <w:p w:rsidR="007D2D68" w:rsidRDefault="007D2D68">
      <w:pPr>
        <w:pStyle w:val="a4"/>
        <w:spacing w:line="360" w:lineRule="auto"/>
        <w:rPr>
          <w:b w:val="0"/>
          <w:sz w:val="28"/>
        </w:rPr>
      </w:pPr>
      <w:r>
        <w:rPr>
          <w:b w:val="0"/>
          <w:sz w:val="28"/>
        </w:rPr>
        <w:t xml:space="preserve">3.    Лесозаготовительная и деревообрабатывающая промышленность.     11                    </w:t>
      </w:r>
    </w:p>
    <w:p w:rsidR="007D2D68" w:rsidRDefault="007D2D68">
      <w:pPr>
        <w:numPr>
          <w:ilvl w:val="0"/>
          <w:numId w:val="3"/>
        </w:numPr>
        <w:spacing w:line="360" w:lineRule="auto"/>
        <w:jc w:val="both"/>
        <w:rPr>
          <w:sz w:val="28"/>
        </w:rPr>
      </w:pPr>
      <w:r>
        <w:rPr>
          <w:sz w:val="28"/>
        </w:rPr>
        <w:t>Транспорт.</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12-14</w:t>
      </w:r>
    </w:p>
    <w:p w:rsidR="007D2D68" w:rsidRDefault="007D2D68">
      <w:pPr>
        <w:numPr>
          <w:ilvl w:val="1"/>
          <w:numId w:val="3"/>
        </w:numPr>
        <w:spacing w:line="360" w:lineRule="auto"/>
        <w:jc w:val="both"/>
        <w:rPr>
          <w:sz w:val="28"/>
        </w:rPr>
      </w:pPr>
      <w:r>
        <w:rPr>
          <w:sz w:val="28"/>
        </w:rPr>
        <w:t>Водный транспорт.</w:t>
      </w:r>
    </w:p>
    <w:p w:rsidR="007D2D68" w:rsidRDefault="007D2D68">
      <w:pPr>
        <w:numPr>
          <w:ilvl w:val="1"/>
          <w:numId w:val="3"/>
        </w:numPr>
        <w:spacing w:line="360" w:lineRule="auto"/>
        <w:jc w:val="both"/>
        <w:rPr>
          <w:sz w:val="28"/>
        </w:rPr>
      </w:pPr>
      <w:r>
        <w:rPr>
          <w:sz w:val="28"/>
        </w:rPr>
        <w:t>Воздушный транспорт.</w:t>
      </w:r>
    </w:p>
    <w:p w:rsidR="007D2D68" w:rsidRDefault="007D2D68">
      <w:pPr>
        <w:numPr>
          <w:ilvl w:val="1"/>
          <w:numId w:val="3"/>
        </w:numPr>
        <w:spacing w:line="360" w:lineRule="auto"/>
        <w:jc w:val="both"/>
        <w:rPr>
          <w:sz w:val="28"/>
        </w:rPr>
      </w:pPr>
      <w:r>
        <w:rPr>
          <w:sz w:val="28"/>
        </w:rPr>
        <w:t>Железнодорожный транспорт.</w:t>
      </w:r>
    </w:p>
    <w:p w:rsidR="007D2D68" w:rsidRDefault="007D2D68">
      <w:pPr>
        <w:numPr>
          <w:ilvl w:val="1"/>
          <w:numId w:val="3"/>
        </w:numPr>
        <w:spacing w:line="360" w:lineRule="auto"/>
        <w:jc w:val="both"/>
        <w:rPr>
          <w:sz w:val="28"/>
        </w:rPr>
      </w:pPr>
      <w:r>
        <w:rPr>
          <w:sz w:val="28"/>
        </w:rPr>
        <w:t>Автомобильный транспорт.</w:t>
      </w:r>
    </w:p>
    <w:p w:rsidR="007D2D68" w:rsidRDefault="007D2D68">
      <w:pPr>
        <w:numPr>
          <w:ilvl w:val="1"/>
          <w:numId w:val="3"/>
        </w:numPr>
        <w:spacing w:line="360" w:lineRule="auto"/>
        <w:jc w:val="both"/>
        <w:rPr>
          <w:sz w:val="28"/>
        </w:rPr>
      </w:pPr>
      <w:r>
        <w:rPr>
          <w:sz w:val="28"/>
        </w:rPr>
        <w:t>Трубопроводный транспорт.</w:t>
      </w:r>
    </w:p>
    <w:p w:rsidR="007D2D68" w:rsidRDefault="007D2D68">
      <w:pPr>
        <w:spacing w:line="360" w:lineRule="auto"/>
        <w:jc w:val="both"/>
        <w:rPr>
          <w:sz w:val="28"/>
        </w:rPr>
      </w:pPr>
      <w:r>
        <w:rPr>
          <w:sz w:val="28"/>
          <w:lang w:val="en-US"/>
        </w:rPr>
        <w:t>II</w:t>
      </w:r>
      <w:r>
        <w:rPr>
          <w:sz w:val="28"/>
        </w:rPr>
        <w:t>.   Промышленные аварии.</w:t>
      </w:r>
      <w:r>
        <w:rPr>
          <w:sz w:val="28"/>
        </w:rPr>
        <w:tab/>
      </w:r>
      <w:r>
        <w:rPr>
          <w:sz w:val="28"/>
        </w:rPr>
        <w:tab/>
      </w:r>
      <w:r>
        <w:rPr>
          <w:sz w:val="28"/>
        </w:rPr>
        <w:tab/>
        <w:t xml:space="preserve">                     </w:t>
      </w:r>
      <w:r>
        <w:rPr>
          <w:sz w:val="28"/>
        </w:rPr>
        <w:tab/>
      </w:r>
      <w:r>
        <w:rPr>
          <w:sz w:val="28"/>
        </w:rPr>
        <w:tab/>
        <w:t xml:space="preserve">      14-16</w:t>
      </w:r>
    </w:p>
    <w:p w:rsidR="007D2D68" w:rsidRDefault="007D2D68">
      <w:pPr>
        <w:spacing w:line="360" w:lineRule="auto"/>
        <w:jc w:val="both"/>
        <w:rPr>
          <w:sz w:val="28"/>
        </w:rPr>
      </w:pPr>
      <w:r>
        <w:rPr>
          <w:sz w:val="28"/>
          <w:lang w:val="en-US"/>
        </w:rPr>
        <w:t>III</w:t>
      </w:r>
      <w:r>
        <w:rPr>
          <w:sz w:val="28"/>
        </w:rPr>
        <w:t>.  Отходы производства.</w:t>
      </w:r>
      <w:r>
        <w:rPr>
          <w:sz w:val="28"/>
        </w:rPr>
        <w:tab/>
      </w:r>
      <w:r>
        <w:rPr>
          <w:sz w:val="28"/>
        </w:rPr>
        <w:tab/>
      </w:r>
      <w:r>
        <w:rPr>
          <w:sz w:val="28"/>
        </w:rPr>
        <w:tab/>
      </w:r>
      <w:r>
        <w:rPr>
          <w:sz w:val="28"/>
        </w:rPr>
        <w:tab/>
      </w:r>
      <w:r>
        <w:rPr>
          <w:sz w:val="28"/>
        </w:rPr>
        <w:tab/>
      </w:r>
      <w:r>
        <w:rPr>
          <w:sz w:val="28"/>
        </w:rPr>
        <w:tab/>
      </w:r>
      <w:r>
        <w:rPr>
          <w:sz w:val="28"/>
        </w:rPr>
        <w:tab/>
        <w:t xml:space="preserve">      16-18</w:t>
      </w:r>
      <w:r>
        <w:rPr>
          <w:sz w:val="28"/>
        </w:rPr>
        <w:tab/>
      </w:r>
    </w:p>
    <w:p w:rsidR="007D2D68" w:rsidRDefault="007D2D68">
      <w:pPr>
        <w:pStyle w:val="a4"/>
        <w:spacing w:line="360" w:lineRule="auto"/>
        <w:rPr>
          <w:b w:val="0"/>
          <w:sz w:val="28"/>
        </w:rPr>
      </w:pPr>
      <w:r>
        <w:rPr>
          <w:b w:val="0"/>
          <w:sz w:val="28"/>
        </w:rPr>
        <w:t>Заключение.</w:t>
      </w: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ab/>
        <w:t xml:space="preserve">      18-20</w:t>
      </w:r>
      <w:r>
        <w:rPr>
          <w:b w:val="0"/>
          <w:sz w:val="28"/>
        </w:rPr>
        <w:tab/>
      </w:r>
    </w:p>
    <w:p w:rsidR="007D2D68" w:rsidRDefault="007D2D68">
      <w:pPr>
        <w:spacing w:line="360" w:lineRule="auto"/>
        <w:jc w:val="both"/>
        <w:rPr>
          <w:sz w:val="28"/>
        </w:rPr>
      </w:pPr>
    </w:p>
    <w:p w:rsidR="007D2D68" w:rsidRDefault="007D2D68">
      <w:pPr>
        <w:spacing w:line="360" w:lineRule="auto"/>
        <w:jc w:val="both"/>
        <w:rPr>
          <w:sz w:val="28"/>
        </w:rPr>
      </w:pPr>
    </w:p>
    <w:p w:rsidR="007D2D68" w:rsidRDefault="007D2D68">
      <w:pPr>
        <w:jc w:val="center"/>
        <w:rPr>
          <w:b/>
          <w:sz w:val="28"/>
        </w:rPr>
      </w:pPr>
      <w:r>
        <w:rPr>
          <w:b/>
          <w:sz w:val="28"/>
        </w:rPr>
        <w:t>Введение.</w:t>
      </w:r>
    </w:p>
    <w:p w:rsidR="007D2D68" w:rsidRDefault="007D2D68">
      <w:pPr>
        <w:jc w:val="both"/>
        <w:rPr>
          <w:sz w:val="28"/>
        </w:rPr>
      </w:pPr>
    </w:p>
    <w:p w:rsidR="007D2D68" w:rsidRDefault="007D2D68">
      <w:pPr>
        <w:spacing w:line="360" w:lineRule="auto"/>
        <w:jc w:val="both"/>
        <w:rPr>
          <w:sz w:val="28"/>
        </w:rPr>
      </w:pPr>
    </w:p>
    <w:p w:rsidR="007D2D68" w:rsidRDefault="007D2D68">
      <w:pPr>
        <w:spacing w:line="360" w:lineRule="auto"/>
        <w:ind w:firstLine="720"/>
        <w:jc w:val="both"/>
        <w:rPr>
          <w:sz w:val="28"/>
        </w:rPr>
      </w:pPr>
      <w:r>
        <w:rPr>
          <w:sz w:val="28"/>
        </w:rPr>
        <w:t>Территория Ханты-Мансийского автономного округа занимает площадь 534,8 тысяч квадратных километров, численность населения составляет более 1357,4 тысяч человек.</w:t>
      </w:r>
    </w:p>
    <w:p w:rsidR="007D2D68" w:rsidRDefault="007D2D68">
      <w:pPr>
        <w:spacing w:line="360" w:lineRule="auto"/>
        <w:jc w:val="both"/>
        <w:rPr>
          <w:sz w:val="28"/>
        </w:rPr>
      </w:pPr>
      <w:r>
        <w:rPr>
          <w:sz w:val="28"/>
        </w:rPr>
        <w:tab/>
        <w:t>Ханты-Мансийский автономный округ является полноправным субъектом Российской Федерации. Это положение закреплено в 5-й статье Конституции России.</w:t>
      </w:r>
    </w:p>
    <w:p w:rsidR="007D2D68" w:rsidRDefault="007D2D68">
      <w:pPr>
        <w:pStyle w:val="20"/>
      </w:pPr>
      <w:r>
        <w:tab/>
        <w:t>Ханты-Мансийский автономный округ располагает огромными природно-ресурсным потенциалом. Прежде всего, это запасы нефти и лесные ресурсы. Разведаны месторождения россыпного и коренного золота. Имеются крупные ресурсы торфа. Имеются проявления бокситов, меди, цинка, свинца, ниобия и других редкоземленных металлов.</w:t>
      </w:r>
    </w:p>
    <w:p w:rsidR="007D2D68" w:rsidRDefault="007D2D68">
      <w:pPr>
        <w:spacing w:line="360" w:lineRule="auto"/>
        <w:jc w:val="both"/>
        <w:rPr>
          <w:sz w:val="28"/>
        </w:rPr>
      </w:pPr>
      <w:r>
        <w:rPr>
          <w:sz w:val="28"/>
        </w:rPr>
        <w:tab/>
        <w:t>По своему промышленному потенциалу округ входит в первую десятку субъектов Российской Федерации и является основой энергетической базой страны.</w:t>
      </w:r>
    </w:p>
    <w:p w:rsidR="007D2D68" w:rsidRDefault="007D2D68">
      <w:pPr>
        <w:spacing w:line="360" w:lineRule="auto"/>
        <w:jc w:val="both"/>
        <w:rPr>
          <w:sz w:val="28"/>
        </w:rPr>
      </w:pPr>
      <w:r>
        <w:rPr>
          <w:sz w:val="28"/>
        </w:rPr>
        <w:tab/>
        <w:t>В 1997 году Ханты-Мансийский автономный округ по объему промышленного производства находился на первом месте в Российской Федерации. В округе было добыто 168,3 млн. тонн нефти и газового конденсата, выработано 50,6 млрд. киловатт-часов электроэнергии, заготовлено 1266,4 тыс. кубических метров деловой древесины, произведено 412,3 тыс. кубических метров пиломатериалов.</w:t>
      </w:r>
    </w:p>
    <w:p w:rsidR="007D2D68" w:rsidRDefault="007D2D68">
      <w:pPr>
        <w:pStyle w:val="20"/>
      </w:pPr>
      <w:r>
        <w:tab/>
        <w:t>Следствием высокого динамичного в предыдущем десятилетии промышленного развития округа явился жесткий техногенный прессинг на окружающую природную среду и резкое ухудшение экологической ситуации. Среди множества экологических проблем округа главное место занимает проблема углеводородного загрязнения окружающей среды.</w:t>
      </w:r>
    </w:p>
    <w:p w:rsidR="007D2D68" w:rsidRDefault="007D2D68">
      <w:pPr>
        <w:spacing w:line="360" w:lineRule="auto"/>
        <w:jc w:val="both"/>
        <w:rPr>
          <w:sz w:val="28"/>
        </w:rPr>
      </w:pPr>
      <w:r>
        <w:rPr>
          <w:sz w:val="28"/>
        </w:rPr>
        <w:tab/>
        <w:t>Существенный спад производства за последние годы, многочисленные организационные и технические природоохранные мероприятия проведенные в нефтегазовом комплексе не привели к существенному улучшению экологической обстановки, что обусловлено высокой аварийностью на нефтепромыслах округа. В связи с физическим старением нефтепромыслового оборудования, частотой аварийных залповых сбросов в окружающую среду нефти, подтоварных, пластовых и буровых сточных вод ежегодно исчисляется тысячами случаев и имеет тенденцию роста. По оценкам экспертов на территории округа в результате аварий на объектах нефтегазодобычи и поверхностных водоемах и на почве находится до четырех  миллионов тонн нефти.</w:t>
      </w:r>
    </w:p>
    <w:p w:rsidR="007D2D68" w:rsidRDefault="007D2D68">
      <w:pPr>
        <w:spacing w:line="360" w:lineRule="auto"/>
        <w:jc w:val="both"/>
        <w:rPr>
          <w:sz w:val="28"/>
        </w:rPr>
      </w:pPr>
      <w:r>
        <w:rPr>
          <w:sz w:val="28"/>
        </w:rPr>
        <w:tab/>
        <w:t>Экологические последствия чрезвычайных техногенных ситуаций ведут к необратимым изменениям в окружающей природной среде и существенно влияют на эффективность экономики округа.</w:t>
      </w:r>
    </w:p>
    <w:p w:rsidR="007D2D68" w:rsidRDefault="007D2D68">
      <w:pPr>
        <w:spacing w:line="360" w:lineRule="auto"/>
        <w:jc w:val="both"/>
        <w:rPr>
          <w:sz w:val="28"/>
        </w:rPr>
      </w:pPr>
      <w:r>
        <w:rPr>
          <w:sz w:val="28"/>
        </w:rPr>
        <w:tab/>
        <w:t>Для кардинального улучшения экологического состояния и обеспечения зашиты населения и территории от последствий аварийных ситуаций техногенного характера необходимы разработка и применение новой природоохранной стратегии, позволяющей прогнозировать возникновение чрезвычайных ситуаций и принимать превентивные меры по предотвращению их последствий.</w:t>
      </w:r>
    </w:p>
    <w:p w:rsidR="007D2D68" w:rsidRDefault="007D2D68">
      <w:pPr>
        <w:spacing w:line="360" w:lineRule="auto"/>
        <w:jc w:val="both"/>
        <w:rPr>
          <w:sz w:val="28"/>
        </w:rPr>
      </w:pPr>
    </w:p>
    <w:p w:rsidR="007D2D68" w:rsidRDefault="007D2D68">
      <w:pPr>
        <w:spacing w:line="360" w:lineRule="auto"/>
        <w:jc w:val="both"/>
        <w:rPr>
          <w:sz w:val="28"/>
        </w:rPr>
      </w:pPr>
    </w:p>
    <w:p w:rsidR="007D2D68" w:rsidRDefault="007D2D68">
      <w:pPr>
        <w:pStyle w:val="30"/>
        <w:spacing w:line="360" w:lineRule="auto"/>
      </w:pPr>
      <w:r>
        <w:t>Воздействие отраслей экономики на окружающую природную среду Ханты-мансийского автономного округа.</w:t>
      </w:r>
    </w:p>
    <w:p w:rsidR="007D2D68" w:rsidRDefault="007D2D68">
      <w:pPr>
        <w:spacing w:line="360" w:lineRule="auto"/>
        <w:jc w:val="both"/>
        <w:rPr>
          <w:sz w:val="28"/>
        </w:rPr>
      </w:pPr>
    </w:p>
    <w:p w:rsidR="007D2D68" w:rsidRDefault="007D2D68">
      <w:pPr>
        <w:spacing w:line="360" w:lineRule="auto"/>
        <w:jc w:val="both"/>
        <w:rPr>
          <w:sz w:val="28"/>
        </w:rPr>
      </w:pPr>
      <w:r>
        <w:rPr>
          <w:sz w:val="28"/>
        </w:rPr>
        <w:tab/>
        <w:t xml:space="preserve">Воздействие хозяйственной деятельности на окружающую среду в Ханты-мансийском автономном округе определяется огромными объемами потребления природных ресурсов, значительным  количеством сбросов  и выбросов загрязняющих веществ. Следствием экстремально-высоких в прошедшие десятилетие  темпов освоения месторождений углеводородов и лесных ресурсов территории при недостаточной реализации природоохранных мероприятий явилось резкое ухудшение экологической ситуации в округе. </w:t>
      </w:r>
    </w:p>
    <w:p w:rsidR="007D2D68" w:rsidRDefault="007D2D68">
      <w:pPr>
        <w:spacing w:line="360" w:lineRule="auto"/>
        <w:jc w:val="both"/>
        <w:rPr>
          <w:sz w:val="28"/>
        </w:rPr>
      </w:pPr>
      <w:r>
        <w:rPr>
          <w:sz w:val="28"/>
        </w:rPr>
        <w:tab/>
        <w:t>В соответствии с неравномерным размещением производственных мощностей, различными сроками и интенсивностью эксплуатации природных ресурсов, дифференцируется по территории округа и уровень антропогенной нагрузки на окружающую среду, который в основном определяется воздействием нефтегазодобывающего комплекса, особенно в условиях массового применения в настоящее время экологически грязных технологий, морально и физически устаревшего оборудования. Загрязнение территории нефтедобывающих районов округа нефтью, минерализованными водами и химическими реагентами  в такой степени оказало отрицательное воздействие на все компоненты природной среды, что вполне правомерны предложения об отнесении Нижневартовского, Сургутского, Нефтеюганского районов к числу территорий экологического бедствия.</w:t>
      </w:r>
    </w:p>
    <w:p w:rsidR="007D2D68" w:rsidRDefault="007D2D68">
      <w:pPr>
        <w:spacing w:line="360" w:lineRule="auto"/>
        <w:jc w:val="both"/>
        <w:rPr>
          <w:sz w:val="28"/>
        </w:rPr>
      </w:pPr>
      <w:r>
        <w:rPr>
          <w:sz w:val="28"/>
        </w:rPr>
        <w:tab/>
        <w:t>В результате проводимых в стране реформ, объемы добычи нефти и газа по сравнению с максимальными значениями добычи в 1987 году снизились более чем в 2 раза; заготовки древесины снизились в 4 раза, до 3,2 миллионов метров кубических в 1997 году. Прекращен сплав древесины по рекам округа. Значительно сократился транспортный и технический парк лесодобывающих предприятий. Резко снизилась интенсивность судоходства, используемого для обеспечения грузоперевозок в хозяйстве округа. Сельскохозяйственное производство свернуто почни полностью. Некоторое развитие получили садово-огороднические хозяйства, воздействие которых на окружающую среду незначительно. Уменьшились площади земель, изымаемых под промышленное освоение. Выбросы загрязняющих веществ в атмосферный воздух при сжигании попутного газа с 1991 года по 1997 год сократились в 1,6 раза. Возросли требования природоохранительного законодательства. Введен механизм платного природопользования, в условиях которого предприятиями принимаются меры по снижению выбросов вредных веществ.</w:t>
      </w:r>
    </w:p>
    <w:p w:rsidR="007D2D68" w:rsidRDefault="007D2D68">
      <w:pPr>
        <w:spacing w:line="360" w:lineRule="auto"/>
        <w:jc w:val="both"/>
        <w:rPr>
          <w:sz w:val="28"/>
        </w:rPr>
      </w:pPr>
      <w:r>
        <w:rPr>
          <w:sz w:val="28"/>
        </w:rPr>
        <w:tab/>
        <w:t>Однако кардинального улучшения экологической ситуации на территории округа не произошло. В результате старения нефтесборных сетей, их массовых порывов, сжигания нефти в факелах и других причин, ежегодно теряются огромные объемы нефти, объем углеводородов, попадающих в окружающую среду, не уменьшается. Из-за износа технического и технологического оборудования, уменьшения капитального вложения на природоохранные мероприятия, снижения уровня экологической безопасности производства, общий объем сбросов и выбросов вредных веществ на многих промышленных предприятиях не убывает. Повсеместно допускаются многочисленные несанкционированные случаи сбросов и выбросов загрязняющих веществ в окружающую среду, размещение токсичных промышленных отходов на необорудованных свалках, карьерах.  Интенсивность негативного воздействия на природную среду резко увеличивается при техногенных авариях, сопровождающихся выбросами и сборами загрязняющих веществ в окружающую среду. Наиболее экологически опасными являются порывы трубопроводов.</w:t>
      </w:r>
    </w:p>
    <w:p w:rsidR="007D2D68" w:rsidRDefault="007D2D68">
      <w:pPr>
        <w:spacing w:line="360" w:lineRule="auto"/>
        <w:jc w:val="both"/>
        <w:rPr>
          <w:sz w:val="28"/>
        </w:rPr>
      </w:pPr>
    </w:p>
    <w:p w:rsidR="007D2D68" w:rsidRDefault="007D2D68">
      <w:pPr>
        <w:pStyle w:val="30"/>
        <w:spacing w:line="360" w:lineRule="auto"/>
        <w:rPr>
          <w:u w:val="single"/>
        </w:rPr>
      </w:pPr>
      <w:r>
        <w:rPr>
          <w:u w:val="single"/>
        </w:rPr>
        <w:t>Нефтегазодобывающая промышленность.</w:t>
      </w:r>
    </w:p>
    <w:p w:rsidR="007D2D68" w:rsidRDefault="007D2D68">
      <w:pPr>
        <w:spacing w:line="360" w:lineRule="auto"/>
        <w:jc w:val="both"/>
        <w:rPr>
          <w:sz w:val="28"/>
        </w:rPr>
      </w:pPr>
    </w:p>
    <w:p w:rsidR="007D2D68" w:rsidRDefault="007D2D68">
      <w:pPr>
        <w:pStyle w:val="20"/>
      </w:pPr>
      <w:r>
        <w:tab/>
        <w:t>Добыча нефти и газа в совокупности со всей технологической и бытовой инфраструктурой является основной отраслью хозяйственной деятельности округа. За период деятельности нефтегазового комплекса на месторождениях округа добыча нефти превысила 7.0 млрд. тонн. Под разработку месторождений резервируется, и отводятся значительные площади, в среднем около 50 тысяч га на одно месторождение.</w:t>
      </w:r>
    </w:p>
    <w:p w:rsidR="007D2D68" w:rsidRDefault="007D2D68">
      <w:pPr>
        <w:spacing w:line="360" w:lineRule="auto"/>
        <w:jc w:val="both"/>
        <w:rPr>
          <w:sz w:val="28"/>
        </w:rPr>
      </w:pPr>
      <w:r>
        <w:rPr>
          <w:sz w:val="28"/>
        </w:rPr>
        <w:tab/>
        <w:t xml:space="preserve">В результате деятельности нефтегазодобывающих предприятий продолжали оказывать негативное влияние ухудшение горно-геологических условий извлечения нефти и высокий процент износа основных фондов. На подавляющем большинстве месторождений запасы нефти классифицируются как трудно извлекаемые, добыча которых требует применение новых технологических методов и технических средств. За годы экономического кризиса износ оборудования, скважин, нефтепроводов на месторождениях достиг высокой степени; для улучшения экономического положения нефтегазодобывающих предприятий необходимо существенно увеличить объем инвестиций. </w:t>
      </w:r>
    </w:p>
    <w:p w:rsidR="007D2D68" w:rsidRDefault="007D2D68">
      <w:pPr>
        <w:spacing w:line="360" w:lineRule="auto"/>
        <w:jc w:val="both"/>
        <w:rPr>
          <w:sz w:val="28"/>
        </w:rPr>
      </w:pPr>
      <w:r>
        <w:rPr>
          <w:sz w:val="28"/>
        </w:rPr>
        <w:tab/>
        <w:t xml:space="preserve">За время своего существования нефтегазодобывающий комплекс нанес колоссальный ущерб окружающей среде природным ресурсам округа: в окружающую среду сброшены десятки миллионов тонн нефти, отчуждены и нарушены сотни гектаров земель, сожжено на факелах сотни миллиардов кубометров попутного нефтяного газа, потеряли свое хозяйственное значение многие охотничьи угодья, оленьи пастбища, реки, озера, в несколько раз сократился уровень рыбы. </w:t>
      </w:r>
    </w:p>
    <w:p w:rsidR="007D2D68" w:rsidRDefault="007D2D68">
      <w:pPr>
        <w:spacing w:line="360" w:lineRule="auto"/>
        <w:jc w:val="both"/>
        <w:rPr>
          <w:sz w:val="28"/>
        </w:rPr>
      </w:pPr>
      <w:r>
        <w:rPr>
          <w:sz w:val="28"/>
        </w:rPr>
        <w:tab/>
        <w:t xml:space="preserve">Ситуация с загрязнением окружающей  природной среды, связана с дальнейшей разработкой запасов нефти и газа на территории Ханты-Мансийского автономного округа, остается напряженной. </w:t>
      </w:r>
    </w:p>
    <w:p w:rsidR="007D2D68" w:rsidRDefault="007D2D68">
      <w:pPr>
        <w:spacing w:line="360" w:lineRule="auto"/>
        <w:jc w:val="both"/>
        <w:rPr>
          <w:sz w:val="28"/>
        </w:rPr>
      </w:pPr>
      <w:r>
        <w:rPr>
          <w:sz w:val="28"/>
        </w:rPr>
        <w:tab/>
        <w:t>Основными источниками нефтяного загрязнения на месторождениях являются:</w:t>
      </w:r>
    </w:p>
    <w:p w:rsidR="007D2D68" w:rsidRDefault="007D2D68">
      <w:pPr>
        <w:numPr>
          <w:ilvl w:val="0"/>
          <w:numId w:val="8"/>
        </w:numPr>
        <w:spacing w:line="360" w:lineRule="auto"/>
        <w:jc w:val="both"/>
        <w:rPr>
          <w:sz w:val="28"/>
        </w:rPr>
      </w:pPr>
      <w:r>
        <w:rPr>
          <w:sz w:val="28"/>
        </w:rPr>
        <w:t>межпромысловые трубопроводы; при их порывах образуются наиболее обширные нефтезагрязнения;</w:t>
      </w:r>
    </w:p>
    <w:p w:rsidR="007D2D68" w:rsidRDefault="007D2D68">
      <w:pPr>
        <w:numPr>
          <w:ilvl w:val="0"/>
          <w:numId w:val="8"/>
        </w:numPr>
        <w:spacing w:line="360" w:lineRule="auto"/>
        <w:jc w:val="both"/>
        <w:rPr>
          <w:sz w:val="28"/>
        </w:rPr>
      </w:pPr>
      <w:r>
        <w:rPr>
          <w:sz w:val="28"/>
        </w:rPr>
        <w:t>внутри промысловые коллекторы, характеризующиеся наибольшей частотой порывов;</w:t>
      </w:r>
    </w:p>
    <w:p w:rsidR="007D2D68" w:rsidRDefault="007D2D68">
      <w:pPr>
        <w:numPr>
          <w:ilvl w:val="0"/>
          <w:numId w:val="8"/>
        </w:numPr>
        <w:spacing w:line="360" w:lineRule="auto"/>
        <w:jc w:val="both"/>
        <w:rPr>
          <w:sz w:val="28"/>
        </w:rPr>
      </w:pPr>
      <w:r>
        <w:rPr>
          <w:sz w:val="28"/>
        </w:rPr>
        <w:t>кусты нефтепромысловых скважин.</w:t>
      </w:r>
    </w:p>
    <w:p w:rsidR="007D2D68" w:rsidRDefault="007D2D68">
      <w:pPr>
        <w:pStyle w:val="a7"/>
        <w:spacing w:line="360" w:lineRule="auto"/>
      </w:pPr>
      <w:r>
        <w:t>Существенным источником загрязнения окружающей среды нефтепромысловыми отходами являются шламовые амбары. За период освоения нефтегазовых месторождений на территории округа были построены тысячи шламовых амбаров. Не ликвидированные амбары, как правило, используются в качестве несанкционированных полигонов  промышленных отходов, в которые при авариях и ремонтах скважин бесконтрольно сбрасывают нефть и различные реагенты.</w:t>
      </w:r>
    </w:p>
    <w:p w:rsidR="007D2D68" w:rsidRDefault="007D2D68">
      <w:pPr>
        <w:spacing w:line="360" w:lineRule="auto"/>
        <w:ind w:firstLine="360"/>
        <w:jc w:val="both"/>
        <w:rPr>
          <w:sz w:val="28"/>
        </w:rPr>
      </w:pPr>
      <w:r>
        <w:rPr>
          <w:sz w:val="28"/>
        </w:rPr>
        <w:t>Аварии на трубопроводах и промплощадках, размыв обваловок шламовых амбаров, распыление капельной нефти при сгорании попутного газа на факелах – все это приводит к загрязнению нефтяными углеродами водоемов, почв, к деградации древесной и травянистой растительности, обеднению фауны.</w:t>
      </w:r>
    </w:p>
    <w:p w:rsidR="007D2D68" w:rsidRDefault="007D2D68">
      <w:pPr>
        <w:spacing w:line="360" w:lineRule="auto"/>
        <w:jc w:val="both"/>
        <w:rPr>
          <w:sz w:val="28"/>
        </w:rPr>
      </w:pPr>
    </w:p>
    <w:p w:rsidR="007D2D68" w:rsidRDefault="007D2D68">
      <w:pPr>
        <w:spacing w:line="360" w:lineRule="auto"/>
        <w:jc w:val="center"/>
        <w:rPr>
          <w:b/>
          <w:i/>
          <w:sz w:val="28"/>
        </w:rPr>
      </w:pPr>
      <w:r>
        <w:rPr>
          <w:b/>
          <w:i/>
          <w:sz w:val="28"/>
        </w:rPr>
        <w:t>Нефте-солевое загрязнение окружающей среды автономного округа.</w:t>
      </w:r>
    </w:p>
    <w:p w:rsidR="007D2D68" w:rsidRDefault="007D2D68">
      <w:pPr>
        <w:spacing w:line="360" w:lineRule="auto"/>
        <w:jc w:val="center"/>
        <w:rPr>
          <w:b/>
          <w:i/>
          <w:sz w:val="28"/>
        </w:rPr>
      </w:pPr>
    </w:p>
    <w:p w:rsidR="007D2D68" w:rsidRDefault="007D2D68">
      <w:pPr>
        <w:pStyle w:val="6"/>
        <w:spacing w:line="360" w:lineRule="auto"/>
      </w:pPr>
      <w:r>
        <w:tab/>
        <w:t>Земли округа, загрязненные минерализованными водами, в условиях избыточного увлажнения, способны к достаточно эффективному самоочищению. Данные по засоленным территориям, особенно давних аварий, могут быть несколько преувеличены, т.к. они основаны на материалах актов об авариях и не учитывают естественную динамику рас соления территорий.</w:t>
      </w:r>
    </w:p>
    <w:p w:rsidR="007D2D68" w:rsidRDefault="007D2D68">
      <w:pPr>
        <w:pStyle w:val="6"/>
        <w:spacing w:line="360" w:lineRule="auto"/>
      </w:pPr>
      <w:r>
        <w:tab/>
        <w:t>Практически все водные объекты, находятся в пределах территорий «старых» нефтепромыслов, относятся к категории от «умеренно» до «экстремально» и «критически» загрязненных, все они характеризуются сильным нефтезагрязнением, содержат высокое абсолютное и относительное количество углеводородов, донные грунты токсичны, процессы биодеградации углеводородов ослаблены.</w:t>
      </w:r>
    </w:p>
    <w:p w:rsidR="007D2D68" w:rsidRDefault="007D2D68">
      <w:pPr>
        <w:pStyle w:val="6"/>
        <w:spacing w:line="360" w:lineRule="auto"/>
      </w:pPr>
      <w:r>
        <w:tab/>
        <w:t>Содержание нефтепродуктов в речной воде зависит от степени замазученности водосборов.  Водоемы на нефтепромыслах, особенно непроточные, загрязнены нефтью сильнее, чем водотоки, поскольку они аккумулируют загрязнения и процессы накопления в них преобладают над рассеиванием и деструкцией.</w:t>
      </w:r>
    </w:p>
    <w:p w:rsidR="007D2D68" w:rsidRDefault="007D2D68">
      <w:pPr>
        <w:pStyle w:val="20"/>
      </w:pPr>
      <w:r>
        <w:tab/>
        <w:t>Рекультивацией нефтезагрязненных ландшафтов, до конца восьмидесятых годов, не занимался, практически никто.  И лишь с начало девяностых годов, под давлением комитетов по охране окружающей среды, начались массовые работы по ликвидации нефтяного загрязнения земель.</w:t>
      </w:r>
    </w:p>
    <w:p w:rsidR="007D2D68" w:rsidRDefault="007D2D68">
      <w:pPr>
        <w:pStyle w:val="6"/>
        <w:spacing w:line="360" w:lineRule="auto"/>
      </w:pPr>
      <w:r>
        <w:tab/>
        <w:t>Решение проблемы рекультивации нефтезагрязненных земель, затруднено неблагоприятными температурными режимами почв и неудовлетворительной их аэрацией, отрицательно влияющих на процессы деградации загрязнителя.</w:t>
      </w:r>
    </w:p>
    <w:p w:rsidR="007D2D68" w:rsidRDefault="007D2D68">
      <w:pPr>
        <w:spacing w:line="360" w:lineRule="auto"/>
      </w:pPr>
    </w:p>
    <w:p w:rsidR="007D2D68" w:rsidRDefault="007D2D68">
      <w:pPr>
        <w:spacing w:line="360" w:lineRule="auto"/>
      </w:pPr>
    </w:p>
    <w:p w:rsidR="007D2D68" w:rsidRDefault="007D2D68">
      <w:pPr>
        <w:spacing w:line="360" w:lineRule="auto"/>
      </w:pPr>
    </w:p>
    <w:p w:rsidR="007D2D68" w:rsidRDefault="007D2D68">
      <w:pPr>
        <w:spacing w:line="360" w:lineRule="auto"/>
        <w:jc w:val="center"/>
        <w:rPr>
          <w:b/>
          <w:i/>
          <w:sz w:val="28"/>
        </w:rPr>
      </w:pPr>
      <w:r>
        <w:rPr>
          <w:b/>
          <w:i/>
          <w:sz w:val="28"/>
        </w:rPr>
        <w:t>Мероприятия по ликвидации аварийных нефтезагрязнения окружающей среды.</w:t>
      </w:r>
    </w:p>
    <w:p w:rsidR="007D2D68" w:rsidRDefault="007D2D68">
      <w:pPr>
        <w:spacing w:line="360" w:lineRule="auto"/>
        <w:jc w:val="both"/>
        <w:rPr>
          <w:sz w:val="28"/>
        </w:rPr>
      </w:pPr>
    </w:p>
    <w:p w:rsidR="007D2D68" w:rsidRDefault="007D2D68">
      <w:pPr>
        <w:pStyle w:val="20"/>
      </w:pPr>
      <w:r>
        <w:tab/>
        <w:t xml:space="preserve">Нефтяными компаниями обычно предпринимаются следующие мероприятия  по ликвидации последствий аварий и борьбе с нефтяным загрязнением среды: рытье котлованов, обвалка, сбор пленочной нефти с помощью различных устройств и материалов, выжигание разлившейся нефти, засыпка замазученных участков песком или торфом. </w:t>
      </w:r>
    </w:p>
    <w:p w:rsidR="007D2D68" w:rsidRDefault="007D2D68">
      <w:pPr>
        <w:spacing w:line="360" w:lineRule="auto"/>
        <w:jc w:val="both"/>
        <w:rPr>
          <w:sz w:val="28"/>
        </w:rPr>
      </w:pPr>
      <w:r>
        <w:rPr>
          <w:sz w:val="28"/>
        </w:rPr>
        <w:tab/>
        <w:t xml:space="preserve">Работы по локализации аварийно разлившейся нефти и ее сбору с поверхности почв проводится для предотвращения распространения нефтяного пятна и поступления  загрязнителя в сопредельные среды, снижения масс и концентрации нефти до определенных пороговых значений, лишь после достижения, которых начинается процесс ее биодеградации. </w:t>
      </w:r>
    </w:p>
    <w:p w:rsidR="007D2D68" w:rsidRDefault="007D2D68">
      <w:pPr>
        <w:pStyle w:val="20"/>
      </w:pPr>
      <w:r>
        <w:tab/>
        <w:t xml:space="preserve">Наиболее распространенным методом ликвидации последствий нефтяных разливов  является засыпка замазученных земель песком. Используемый для засыпки разливов нефти карьерный  и намывной песок не способен восстановить плодородие почвы в полной мере. Засыпка нефтяных разливов на почве торфом является более удачной технологией, но без перемешивания мульчирующего торфяного слоя с загрязненным грунтом не может считаться  экологически приемлемой. </w:t>
      </w:r>
    </w:p>
    <w:p w:rsidR="007D2D68" w:rsidRDefault="007D2D68">
      <w:pPr>
        <w:spacing w:line="360" w:lineRule="auto"/>
        <w:jc w:val="both"/>
        <w:rPr>
          <w:sz w:val="28"/>
        </w:rPr>
      </w:pPr>
      <w:r>
        <w:rPr>
          <w:sz w:val="28"/>
        </w:rPr>
        <w:tab/>
        <w:t>Способ рекультивации нефтезагрязненных земель взрывным методом перспективен: при этом необходимо густо размещенные микро заряды, обеспечивающие сплошное перемешивание торфяной залежи.</w:t>
      </w:r>
    </w:p>
    <w:p w:rsidR="007D2D68" w:rsidRDefault="007D2D68">
      <w:pPr>
        <w:spacing w:line="360" w:lineRule="auto"/>
        <w:jc w:val="both"/>
        <w:rPr>
          <w:sz w:val="28"/>
        </w:rPr>
      </w:pPr>
      <w:r>
        <w:rPr>
          <w:sz w:val="28"/>
        </w:rPr>
        <w:tab/>
        <w:t>Наилучшие результаты отмечаются при комплексном методе рекультивации загрязненных почв с использованием агротехнологий с внесением минеральных удобрений и высевом трав-мелиорантов. Это технология направлена на активизацию аборигенной нефтеокисляющей почвенной микрофлоры и не требует значительных материальных затрат.</w:t>
      </w:r>
    </w:p>
    <w:p w:rsidR="007D2D68" w:rsidRDefault="007D2D68">
      <w:pPr>
        <w:spacing w:line="360" w:lineRule="auto"/>
        <w:jc w:val="both"/>
        <w:rPr>
          <w:sz w:val="28"/>
        </w:rPr>
      </w:pPr>
      <w:r>
        <w:rPr>
          <w:sz w:val="28"/>
        </w:rPr>
        <w:tab/>
        <w:t>Для фиторекультивации нефтезагрязненных земель, используются наиболее доступные семена однолетних и многолетних трав, обладающих развитой корневой системой, повышенной устойчивостью к нефтяному загрязнению почвы, адаптированные к местным условиям.</w:t>
      </w:r>
    </w:p>
    <w:p w:rsidR="007D2D68" w:rsidRDefault="007D2D68">
      <w:pPr>
        <w:spacing w:line="360" w:lineRule="auto"/>
        <w:jc w:val="both"/>
        <w:rPr>
          <w:sz w:val="28"/>
        </w:rPr>
      </w:pPr>
    </w:p>
    <w:p w:rsidR="007D2D68" w:rsidRDefault="007D2D68">
      <w:pPr>
        <w:spacing w:line="360" w:lineRule="auto"/>
        <w:jc w:val="both"/>
        <w:rPr>
          <w:sz w:val="28"/>
        </w:rPr>
      </w:pPr>
    </w:p>
    <w:p w:rsidR="007D2D68" w:rsidRDefault="007D2D68">
      <w:pPr>
        <w:spacing w:line="360" w:lineRule="auto"/>
        <w:jc w:val="center"/>
        <w:rPr>
          <w:b/>
          <w:i/>
          <w:sz w:val="28"/>
        </w:rPr>
      </w:pPr>
      <w:r>
        <w:rPr>
          <w:b/>
          <w:i/>
          <w:sz w:val="28"/>
        </w:rPr>
        <w:t>Природоохранная деятельность нефтегазодобывающих предприятий.</w:t>
      </w:r>
    </w:p>
    <w:p w:rsidR="007D2D68" w:rsidRDefault="007D2D68">
      <w:pPr>
        <w:spacing w:line="360" w:lineRule="auto"/>
        <w:jc w:val="both"/>
        <w:rPr>
          <w:sz w:val="28"/>
        </w:rPr>
      </w:pPr>
    </w:p>
    <w:p w:rsidR="007D2D68" w:rsidRDefault="007D2D68">
      <w:pPr>
        <w:spacing w:line="360" w:lineRule="auto"/>
        <w:jc w:val="both"/>
        <w:rPr>
          <w:sz w:val="28"/>
        </w:rPr>
      </w:pPr>
      <w:r>
        <w:rPr>
          <w:sz w:val="28"/>
        </w:rPr>
        <w:tab/>
        <w:t xml:space="preserve">Основными направлениями природоохранной деятельности предприятий являются: строительство природоохранных объектов, контроль за состоянием природной среды и производственных объектов, профилактика аварий на трубопроводах, мероприятия по охране, рациональному использованием и восстановлению земель, водных ресурсов, атмосферного воздуха, экологического обучение. </w:t>
      </w:r>
    </w:p>
    <w:p w:rsidR="007D2D68" w:rsidRDefault="007D2D68">
      <w:pPr>
        <w:spacing w:line="360" w:lineRule="auto"/>
        <w:jc w:val="both"/>
        <w:rPr>
          <w:sz w:val="28"/>
        </w:rPr>
      </w:pPr>
      <w:r>
        <w:rPr>
          <w:sz w:val="28"/>
        </w:rPr>
        <w:tab/>
        <w:t xml:space="preserve">Организация и проведение всех природоохранных работ входят в обязанности отделов по охране окружающей среды предприятий-недропользователей. Сейчас положение меняется в лучшую сторону: становится правилом разработка годовых  и перспективных планов и мероприятий, их согласование с комитетами. </w:t>
      </w:r>
    </w:p>
    <w:p w:rsidR="007D2D68" w:rsidRDefault="007D2D68">
      <w:pPr>
        <w:spacing w:line="360" w:lineRule="auto"/>
        <w:jc w:val="both"/>
        <w:rPr>
          <w:sz w:val="28"/>
        </w:rPr>
      </w:pPr>
      <w:r>
        <w:rPr>
          <w:sz w:val="28"/>
        </w:rPr>
        <w:tab/>
        <w:t xml:space="preserve">В нефтегазодобывающих предприятиях продолжают создаваться лаборатории для ведомственного контроля за состоянием окружающей среды на месторождениях, лаборатории оснащаются современным экоаналитическим оборудованием и приборами. Ведутся работы по оценке современного состояния окружающей  природной среды территорий месторождений. </w:t>
      </w:r>
    </w:p>
    <w:p w:rsidR="007D2D68" w:rsidRDefault="007D2D68">
      <w:pPr>
        <w:spacing w:line="360" w:lineRule="auto"/>
        <w:jc w:val="both"/>
        <w:rPr>
          <w:sz w:val="28"/>
        </w:rPr>
      </w:pPr>
      <w:r>
        <w:rPr>
          <w:sz w:val="28"/>
        </w:rPr>
        <w:tab/>
        <w:t>В последние годы осознана необходимость создания подразделений по предупреждению, локализации и ликвидации аварий с экологическими последствиями. Цеха и бригады нефтегазодобывающих предприятий, а также специализированные организации, занимаются санацией почв, рекультивацией земель, ликвидацией последствий загрязнении водоемов. Так, например, акционерное общество «Катарсис»  ежегодно собирает сотни тонн нефти на месторождениях, обрабатывает бак препаратами сотни гектаров нефтезагрязненных земель.</w:t>
      </w:r>
    </w:p>
    <w:p w:rsidR="007D2D68" w:rsidRDefault="007D2D68">
      <w:pPr>
        <w:spacing w:line="360" w:lineRule="auto"/>
        <w:jc w:val="both"/>
        <w:rPr>
          <w:sz w:val="28"/>
        </w:rPr>
      </w:pPr>
      <w:r>
        <w:rPr>
          <w:sz w:val="28"/>
        </w:rPr>
        <w:tab/>
        <w:t>Крайне медленно в практику деятельности нефтедобывающих предприятий внедряется передовой опыт предупреждения, локализации и ликвидации залповых сбросов нефти. Применяемые на большинстве месторождений методы рекультивации земель пока малоэффективны, предлагаемые отечественными производителями технологии, сорбенты и препараты для очистки земель, загрязненными жидкими нефтяными углеводородами, не находят широкого применения.</w:t>
      </w:r>
    </w:p>
    <w:p w:rsidR="007D2D68" w:rsidRDefault="007D2D68">
      <w:pPr>
        <w:spacing w:line="360" w:lineRule="auto"/>
        <w:jc w:val="both"/>
        <w:rPr>
          <w:sz w:val="28"/>
        </w:rPr>
      </w:pPr>
    </w:p>
    <w:p w:rsidR="007D2D68" w:rsidRDefault="007D2D68">
      <w:pPr>
        <w:spacing w:line="360" w:lineRule="auto"/>
        <w:jc w:val="center"/>
        <w:rPr>
          <w:b/>
          <w:sz w:val="28"/>
          <w:u w:val="single"/>
        </w:rPr>
      </w:pPr>
      <w:r>
        <w:rPr>
          <w:b/>
          <w:sz w:val="28"/>
          <w:u w:val="single"/>
        </w:rPr>
        <w:t>Электроэнергетика.</w:t>
      </w:r>
    </w:p>
    <w:p w:rsidR="007D2D68" w:rsidRDefault="007D2D68">
      <w:pPr>
        <w:spacing w:line="360" w:lineRule="auto"/>
        <w:jc w:val="both"/>
        <w:rPr>
          <w:sz w:val="28"/>
        </w:rPr>
      </w:pPr>
    </w:p>
    <w:p w:rsidR="007D2D68" w:rsidRDefault="007D2D68">
      <w:pPr>
        <w:spacing w:line="360" w:lineRule="auto"/>
        <w:jc w:val="both"/>
        <w:rPr>
          <w:sz w:val="28"/>
        </w:rPr>
      </w:pPr>
      <w:r>
        <w:rPr>
          <w:sz w:val="28"/>
        </w:rPr>
        <w:tab/>
        <w:t xml:space="preserve">Нижневартовская ГРЭС, Сургутская ГРЭС-1 и ГРЭС-2 образуют единый энергетический комплекс, являющийся основным источником электроснабжения объектов нефтяной и газовой промышленности севера Тюменской области, теплоснабжения жилой зоны и промышленных предприятий. </w:t>
      </w:r>
    </w:p>
    <w:p w:rsidR="007D2D68" w:rsidRDefault="007D2D68">
      <w:pPr>
        <w:spacing w:line="360" w:lineRule="auto"/>
        <w:jc w:val="both"/>
        <w:rPr>
          <w:sz w:val="28"/>
        </w:rPr>
      </w:pPr>
      <w:r>
        <w:rPr>
          <w:sz w:val="28"/>
        </w:rPr>
        <w:tab/>
        <w:t>Основные виды отрицательного воздействия ГРЭС на окружающую среду – загрязнение атмосферного воздуха, тепловое загрязнение водных объектов, шумовое загрязнение от работающих агрегатов, гибель попадающей в водозаборные сооружения рыбы. Линии электропередачи являются источниками электромагнитного загрязнения окружающей среды.</w:t>
      </w:r>
    </w:p>
    <w:p w:rsidR="007D2D68" w:rsidRDefault="007D2D68">
      <w:pPr>
        <w:spacing w:line="360" w:lineRule="auto"/>
        <w:jc w:val="both"/>
        <w:rPr>
          <w:sz w:val="28"/>
        </w:rPr>
      </w:pPr>
      <w:r>
        <w:rPr>
          <w:sz w:val="28"/>
        </w:rPr>
        <w:tab/>
        <w:t>Объемы выбросов загрязняющих веществ в атмосферу Сургутских ГРЭС:</w:t>
      </w:r>
    </w:p>
    <w:p w:rsidR="007D2D68" w:rsidRDefault="007D2D68">
      <w:pPr>
        <w:spacing w:line="360" w:lineRule="auto"/>
        <w:jc w:val="both"/>
        <w:rPr>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914"/>
      </w:tblGrid>
      <w:tr w:rsidR="007D2D68">
        <w:trPr>
          <w:cantSplit/>
        </w:trPr>
        <w:tc>
          <w:tcPr>
            <w:tcW w:w="1914" w:type="dxa"/>
            <w:vMerge w:val="restart"/>
          </w:tcPr>
          <w:p w:rsidR="007D2D68" w:rsidRDefault="007D2D68">
            <w:pPr>
              <w:jc w:val="center"/>
              <w:rPr>
                <w:sz w:val="24"/>
              </w:rPr>
            </w:pPr>
            <w:r>
              <w:rPr>
                <w:sz w:val="24"/>
              </w:rPr>
              <w:t>Загрязняющие вещества</w:t>
            </w:r>
          </w:p>
        </w:tc>
        <w:tc>
          <w:tcPr>
            <w:tcW w:w="7656" w:type="dxa"/>
            <w:gridSpan w:val="4"/>
          </w:tcPr>
          <w:p w:rsidR="007D2D68" w:rsidRDefault="007D2D68">
            <w:pPr>
              <w:jc w:val="center"/>
              <w:rPr>
                <w:sz w:val="24"/>
              </w:rPr>
            </w:pPr>
            <w:r>
              <w:rPr>
                <w:sz w:val="24"/>
              </w:rPr>
              <w:t>Выбросы, тонн/год</w:t>
            </w:r>
          </w:p>
        </w:tc>
      </w:tr>
      <w:tr w:rsidR="007D2D68">
        <w:trPr>
          <w:cantSplit/>
        </w:trPr>
        <w:tc>
          <w:tcPr>
            <w:tcW w:w="1914" w:type="dxa"/>
            <w:vMerge/>
          </w:tcPr>
          <w:p w:rsidR="007D2D68" w:rsidRDefault="007D2D68">
            <w:pPr>
              <w:jc w:val="center"/>
              <w:rPr>
                <w:sz w:val="24"/>
              </w:rPr>
            </w:pPr>
          </w:p>
        </w:tc>
        <w:tc>
          <w:tcPr>
            <w:tcW w:w="3828" w:type="dxa"/>
            <w:gridSpan w:val="2"/>
          </w:tcPr>
          <w:p w:rsidR="007D2D68" w:rsidRDefault="007D2D68">
            <w:pPr>
              <w:jc w:val="center"/>
              <w:rPr>
                <w:sz w:val="24"/>
              </w:rPr>
            </w:pPr>
            <w:r>
              <w:rPr>
                <w:sz w:val="24"/>
              </w:rPr>
              <w:t>Сургутская ГРЭС-1</w:t>
            </w:r>
          </w:p>
        </w:tc>
        <w:tc>
          <w:tcPr>
            <w:tcW w:w="3828" w:type="dxa"/>
            <w:gridSpan w:val="2"/>
          </w:tcPr>
          <w:p w:rsidR="007D2D68" w:rsidRDefault="007D2D68">
            <w:pPr>
              <w:jc w:val="center"/>
              <w:rPr>
                <w:sz w:val="24"/>
              </w:rPr>
            </w:pPr>
            <w:r>
              <w:rPr>
                <w:sz w:val="24"/>
              </w:rPr>
              <w:t>Сургутская ГРЭС-2</w:t>
            </w:r>
          </w:p>
        </w:tc>
      </w:tr>
      <w:tr w:rsidR="007D2D68">
        <w:trPr>
          <w:cantSplit/>
        </w:trPr>
        <w:tc>
          <w:tcPr>
            <w:tcW w:w="1914" w:type="dxa"/>
            <w:vMerge/>
          </w:tcPr>
          <w:p w:rsidR="007D2D68" w:rsidRDefault="007D2D68">
            <w:pPr>
              <w:jc w:val="center"/>
              <w:rPr>
                <w:sz w:val="24"/>
              </w:rPr>
            </w:pPr>
          </w:p>
        </w:tc>
        <w:tc>
          <w:tcPr>
            <w:tcW w:w="1914" w:type="dxa"/>
          </w:tcPr>
          <w:p w:rsidR="007D2D68" w:rsidRDefault="007D2D68">
            <w:pPr>
              <w:jc w:val="center"/>
              <w:rPr>
                <w:sz w:val="24"/>
              </w:rPr>
            </w:pPr>
            <w:r>
              <w:rPr>
                <w:sz w:val="24"/>
              </w:rPr>
              <w:t>1996 год</w:t>
            </w:r>
          </w:p>
        </w:tc>
        <w:tc>
          <w:tcPr>
            <w:tcW w:w="1914" w:type="dxa"/>
          </w:tcPr>
          <w:p w:rsidR="007D2D68" w:rsidRDefault="007D2D68">
            <w:pPr>
              <w:jc w:val="center"/>
              <w:rPr>
                <w:sz w:val="24"/>
              </w:rPr>
            </w:pPr>
            <w:r>
              <w:rPr>
                <w:sz w:val="24"/>
              </w:rPr>
              <w:t>1997 год</w:t>
            </w:r>
          </w:p>
        </w:tc>
        <w:tc>
          <w:tcPr>
            <w:tcW w:w="1914" w:type="dxa"/>
          </w:tcPr>
          <w:p w:rsidR="007D2D68" w:rsidRDefault="007D2D68">
            <w:pPr>
              <w:jc w:val="center"/>
              <w:rPr>
                <w:sz w:val="24"/>
              </w:rPr>
            </w:pPr>
            <w:r>
              <w:rPr>
                <w:sz w:val="24"/>
              </w:rPr>
              <w:t>1996 год</w:t>
            </w:r>
          </w:p>
        </w:tc>
        <w:tc>
          <w:tcPr>
            <w:tcW w:w="1914" w:type="dxa"/>
          </w:tcPr>
          <w:p w:rsidR="007D2D68" w:rsidRDefault="007D2D68">
            <w:pPr>
              <w:jc w:val="center"/>
              <w:rPr>
                <w:sz w:val="24"/>
              </w:rPr>
            </w:pPr>
            <w:r>
              <w:rPr>
                <w:sz w:val="24"/>
              </w:rPr>
              <w:t>1997 год</w:t>
            </w:r>
          </w:p>
        </w:tc>
      </w:tr>
      <w:tr w:rsidR="007D2D68">
        <w:tc>
          <w:tcPr>
            <w:tcW w:w="1914" w:type="dxa"/>
          </w:tcPr>
          <w:p w:rsidR="007D2D68" w:rsidRDefault="007D2D68">
            <w:pPr>
              <w:jc w:val="center"/>
              <w:rPr>
                <w:sz w:val="24"/>
              </w:rPr>
            </w:pPr>
            <w:r>
              <w:rPr>
                <w:sz w:val="24"/>
              </w:rPr>
              <w:t>Окислы серы</w:t>
            </w:r>
          </w:p>
        </w:tc>
        <w:tc>
          <w:tcPr>
            <w:tcW w:w="1914" w:type="dxa"/>
          </w:tcPr>
          <w:p w:rsidR="007D2D68" w:rsidRDefault="007D2D68">
            <w:pPr>
              <w:jc w:val="center"/>
              <w:rPr>
                <w:sz w:val="24"/>
              </w:rPr>
            </w:pPr>
          </w:p>
        </w:tc>
        <w:tc>
          <w:tcPr>
            <w:tcW w:w="1914" w:type="dxa"/>
          </w:tcPr>
          <w:p w:rsidR="007D2D68" w:rsidRDefault="007D2D68">
            <w:pPr>
              <w:jc w:val="center"/>
              <w:rPr>
                <w:sz w:val="24"/>
              </w:rPr>
            </w:pPr>
            <w:r>
              <w:rPr>
                <w:sz w:val="24"/>
              </w:rPr>
              <w:t>0,034</w:t>
            </w:r>
          </w:p>
        </w:tc>
        <w:tc>
          <w:tcPr>
            <w:tcW w:w="1914" w:type="dxa"/>
          </w:tcPr>
          <w:p w:rsidR="007D2D68" w:rsidRDefault="007D2D68">
            <w:pPr>
              <w:jc w:val="center"/>
              <w:rPr>
                <w:sz w:val="24"/>
              </w:rPr>
            </w:pPr>
          </w:p>
        </w:tc>
        <w:tc>
          <w:tcPr>
            <w:tcW w:w="1914" w:type="dxa"/>
          </w:tcPr>
          <w:p w:rsidR="007D2D68" w:rsidRDefault="007D2D68">
            <w:pPr>
              <w:jc w:val="center"/>
              <w:rPr>
                <w:sz w:val="24"/>
              </w:rPr>
            </w:pPr>
          </w:p>
        </w:tc>
      </w:tr>
      <w:tr w:rsidR="007D2D68">
        <w:tc>
          <w:tcPr>
            <w:tcW w:w="1914" w:type="dxa"/>
          </w:tcPr>
          <w:p w:rsidR="007D2D68" w:rsidRDefault="007D2D68">
            <w:pPr>
              <w:jc w:val="center"/>
              <w:rPr>
                <w:sz w:val="24"/>
              </w:rPr>
            </w:pPr>
            <w:r>
              <w:rPr>
                <w:sz w:val="24"/>
              </w:rPr>
              <w:t>Окись углерода</w:t>
            </w:r>
          </w:p>
        </w:tc>
        <w:tc>
          <w:tcPr>
            <w:tcW w:w="1914" w:type="dxa"/>
          </w:tcPr>
          <w:p w:rsidR="007D2D68" w:rsidRDefault="007D2D68">
            <w:pPr>
              <w:jc w:val="center"/>
              <w:rPr>
                <w:sz w:val="24"/>
              </w:rPr>
            </w:pPr>
            <w:r>
              <w:rPr>
                <w:sz w:val="24"/>
              </w:rPr>
              <w:t>4,937166</w:t>
            </w:r>
          </w:p>
        </w:tc>
        <w:tc>
          <w:tcPr>
            <w:tcW w:w="1914" w:type="dxa"/>
          </w:tcPr>
          <w:p w:rsidR="007D2D68" w:rsidRDefault="007D2D68">
            <w:pPr>
              <w:jc w:val="center"/>
              <w:rPr>
                <w:sz w:val="24"/>
              </w:rPr>
            </w:pPr>
            <w:r>
              <w:rPr>
                <w:sz w:val="24"/>
              </w:rPr>
              <w:t>0,89005</w:t>
            </w:r>
          </w:p>
        </w:tc>
        <w:tc>
          <w:tcPr>
            <w:tcW w:w="1914" w:type="dxa"/>
          </w:tcPr>
          <w:p w:rsidR="007D2D68" w:rsidRDefault="007D2D68">
            <w:pPr>
              <w:jc w:val="center"/>
              <w:rPr>
                <w:sz w:val="24"/>
              </w:rPr>
            </w:pPr>
            <w:r>
              <w:rPr>
                <w:sz w:val="24"/>
              </w:rPr>
              <w:t>0,000302</w:t>
            </w:r>
          </w:p>
        </w:tc>
        <w:tc>
          <w:tcPr>
            <w:tcW w:w="1914" w:type="dxa"/>
          </w:tcPr>
          <w:p w:rsidR="007D2D68" w:rsidRDefault="007D2D68">
            <w:pPr>
              <w:jc w:val="center"/>
              <w:rPr>
                <w:sz w:val="24"/>
              </w:rPr>
            </w:pPr>
            <w:r>
              <w:rPr>
                <w:sz w:val="24"/>
              </w:rPr>
              <w:t>0,620</w:t>
            </w:r>
          </w:p>
        </w:tc>
      </w:tr>
      <w:tr w:rsidR="007D2D68">
        <w:tc>
          <w:tcPr>
            <w:tcW w:w="1914" w:type="dxa"/>
          </w:tcPr>
          <w:p w:rsidR="007D2D68" w:rsidRDefault="007D2D68">
            <w:pPr>
              <w:jc w:val="center"/>
              <w:rPr>
                <w:sz w:val="24"/>
              </w:rPr>
            </w:pPr>
            <w:r>
              <w:rPr>
                <w:sz w:val="24"/>
              </w:rPr>
              <w:t>Окислы азота</w:t>
            </w:r>
          </w:p>
        </w:tc>
        <w:tc>
          <w:tcPr>
            <w:tcW w:w="1914" w:type="dxa"/>
          </w:tcPr>
          <w:p w:rsidR="007D2D68" w:rsidRDefault="007D2D68">
            <w:pPr>
              <w:jc w:val="center"/>
              <w:rPr>
                <w:sz w:val="24"/>
              </w:rPr>
            </w:pPr>
            <w:r>
              <w:rPr>
                <w:sz w:val="24"/>
              </w:rPr>
              <w:t>17,169580</w:t>
            </w:r>
          </w:p>
        </w:tc>
        <w:tc>
          <w:tcPr>
            <w:tcW w:w="1914" w:type="dxa"/>
          </w:tcPr>
          <w:p w:rsidR="007D2D68" w:rsidRDefault="007D2D68">
            <w:pPr>
              <w:jc w:val="center"/>
              <w:rPr>
                <w:sz w:val="24"/>
              </w:rPr>
            </w:pPr>
            <w:r>
              <w:rPr>
                <w:sz w:val="24"/>
              </w:rPr>
              <w:t>12,46464</w:t>
            </w:r>
          </w:p>
        </w:tc>
        <w:tc>
          <w:tcPr>
            <w:tcW w:w="1914" w:type="dxa"/>
          </w:tcPr>
          <w:p w:rsidR="007D2D68" w:rsidRDefault="007D2D68">
            <w:pPr>
              <w:jc w:val="center"/>
              <w:rPr>
                <w:sz w:val="24"/>
              </w:rPr>
            </w:pPr>
            <w:r>
              <w:rPr>
                <w:sz w:val="24"/>
              </w:rPr>
              <w:t>14,526</w:t>
            </w:r>
          </w:p>
        </w:tc>
        <w:tc>
          <w:tcPr>
            <w:tcW w:w="1914" w:type="dxa"/>
          </w:tcPr>
          <w:p w:rsidR="007D2D68" w:rsidRDefault="007D2D68">
            <w:pPr>
              <w:jc w:val="center"/>
              <w:rPr>
                <w:sz w:val="24"/>
              </w:rPr>
            </w:pPr>
            <w:r>
              <w:rPr>
                <w:sz w:val="24"/>
              </w:rPr>
              <w:t>15,171</w:t>
            </w:r>
          </w:p>
        </w:tc>
      </w:tr>
      <w:tr w:rsidR="007D2D68">
        <w:tc>
          <w:tcPr>
            <w:tcW w:w="1914" w:type="dxa"/>
          </w:tcPr>
          <w:p w:rsidR="007D2D68" w:rsidRDefault="007D2D68">
            <w:pPr>
              <w:jc w:val="center"/>
              <w:rPr>
                <w:sz w:val="24"/>
              </w:rPr>
            </w:pPr>
            <w:r>
              <w:rPr>
                <w:sz w:val="24"/>
              </w:rPr>
              <w:t>ВСЕГО:</w:t>
            </w:r>
          </w:p>
        </w:tc>
        <w:tc>
          <w:tcPr>
            <w:tcW w:w="1914" w:type="dxa"/>
          </w:tcPr>
          <w:p w:rsidR="007D2D68" w:rsidRDefault="007D2D68">
            <w:pPr>
              <w:jc w:val="center"/>
              <w:rPr>
                <w:sz w:val="24"/>
              </w:rPr>
            </w:pPr>
            <w:r>
              <w:rPr>
                <w:sz w:val="24"/>
              </w:rPr>
              <w:t>22,106746</w:t>
            </w:r>
          </w:p>
        </w:tc>
        <w:tc>
          <w:tcPr>
            <w:tcW w:w="1914" w:type="dxa"/>
          </w:tcPr>
          <w:p w:rsidR="007D2D68" w:rsidRDefault="007D2D68">
            <w:pPr>
              <w:jc w:val="center"/>
              <w:rPr>
                <w:sz w:val="24"/>
              </w:rPr>
            </w:pPr>
            <w:r>
              <w:rPr>
                <w:sz w:val="24"/>
              </w:rPr>
              <w:t>13,38872</w:t>
            </w:r>
          </w:p>
        </w:tc>
        <w:tc>
          <w:tcPr>
            <w:tcW w:w="1914" w:type="dxa"/>
          </w:tcPr>
          <w:p w:rsidR="007D2D68" w:rsidRDefault="007D2D68">
            <w:pPr>
              <w:jc w:val="center"/>
              <w:rPr>
                <w:sz w:val="24"/>
              </w:rPr>
            </w:pPr>
            <w:r>
              <w:rPr>
                <w:sz w:val="24"/>
              </w:rPr>
              <w:t>14,526302</w:t>
            </w:r>
          </w:p>
        </w:tc>
        <w:tc>
          <w:tcPr>
            <w:tcW w:w="1914" w:type="dxa"/>
          </w:tcPr>
          <w:p w:rsidR="007D2D68" w:rsidRDefault="007D2D68">
            <w:pPr>
              <w:jc w:val="center"/>
              <w:rPr>
                <w:sz w:val="24"/>
              </w:rPr>
            </w:pPr>
            <w:r>
              <w:rPr>
                <w:sz w:val="24"/>
              </w:rPr>
              <w:t>15,791</w:t>
            </w:r>
          </w:p>
        </w:tc>
      </w:tr>
    </w:tbl>
    <w:p w:rsidR="007D2D68" w:rsidRDefault="007D2D68">
      <w:pPr>
        <w:jc w:val="both"/>
        <w:rPr>
          <w:sz w:val="28"/>
        </w:rPr>
      </w:pPr>
    </w:p>
    <w:p w:rsidR="007D2D68" w:rsidRDefault="007D2D68">
      <w:pPr>
        <w:spacing w:line="360" w:lineRule="auto"/>
        <w:ind w:firstLine="720"/>
        <w:jc w:val="both"/>
        <w:rPr>
          <w:sz w:val="28"/>
        </w:rPr>
      </w:pPr>
      <w:r>
        <w:rPr>
          <w:sz w:val="28"/>
        </w:rPr>
        <w:t>Максимальный уровень выбросов в атмосферный воздух Нижневартовской ГРЭС за последние годы имел место в 1995 году; когда было выброшено 2873,315 тонн загрязнении.</w:t>
      </w:r>
    </w:p>
    <w:p w:rsidR="007D2D68" w:rsidRDefault="007D2D68">
      <w:pPr>
        <w:spacing w:line="360" w:lineRule="auto"/>
        <w:ind w:firstLine="720"/>
        <w:jc w:val="both"/>
        <w:rPr>
          <w:sz w:val="28"/>
        </w:rPr>
      </w:pPr>
    </w:p>
    <w:p w:rsidR="007D2D68" w:rsidRDefault="007D2D68">
      <w:pPr>
        <w:spacing w:line="360" w:lineRule="auto"/>
        <w:ind w:firstLine="720"/>
        <w:jc w:val="center"/>
        <w:rPr>
          <w:b/>
          <w:sz w:val="28"/>
          <w:u w:val="single"/>
        </w:rPr>
      </w:pPr>
      <w:r>
        <w:rPr>
          <w:b/>
          <w:sz w:val="28"/>
          <w:u w:val="single"/>
        </w:rPr>
        <w:t>Лесозаготовительная и деревообрабатывающая промышленность.</w:t>
      </w:r>
    </w:p>
    <w:p w:rsidR="007D2D68" w:rsidRDefault="007D2D68">
      <w:pPr>
        <w:spacing w:line="360" w:lineRule="auto"/>
        <w:ind w:firstLine="720"/>
        <w:jc w:val="center"/>
        <w:rPr>
          <w:b/>
          <w:sz w:val="28"/>
          <w:u w:val="single"/>
        </w:rPr>
      </w:pPr>
    </w:p>
    <w:p w:rsidR="007D2D68" w:rsidRDefault="007D2D68">
      <w:pPr>
        <w:pStyle w:val="21"/>
        <w:spacing w:line="360" w:lineRule="auto"/>
      </w:pPr>
      <w:r>
        <w:t>Лесопромышленный комплекс оказывает негативное воздействие на лесные экосистемы: нарушается почвенный покров, изменяется гидрологический режим, территория захламляется порубочными остатками, брошенной древесиной, изменяется численность и видовой состав животного мира.</w:t>
      </w:r>
    </w:p>
    <w:p w:rsidR="007D2D68" w:rsidRDefault="007D2D68">
      <w:pPr>
        <w:spacing w:line="360" w:lineRule="auto"/>
        <w:ind w:firstLine="720"/>
        <w:jc w:val="both"/>
        <w:rPr>
          <w:sz w:val="28"/>
        </w:rPr>
      </w:pPr>
    </w:p>
    <w:p w:rsidR="007D2D68" w:rsidRDefault="007D2D68">
      <w:pPr>
        <w:spacing w:line="360" w:lineRule="auto"/>
        <w:ind w:firstLine="720"/>
        <w:jc w:val="both"/>
        <w:rPr>
          <w:sz w:val="28"/>
        </w:rPr>
      </w:pPr>
    </w:p>
    <w:p w:rsidR="007D2D68" w:rsidRDefault="007D2D68">
      <w:pPr>
        <w:spacing w:line="360" w:lineRule="auto"/>
        <w:ind w:firstLine="720"/>
        <w:jc w:val="center"/>
        <w:rPr>
          <w:b/>
          <w:sz w:val="28"/>
          <w:u w:val="single"/>
        </w:rPr>
      </w:pPr>
      <w:r>
        <w:rPr>
          <w:b/>
          <w:sz w:val="28"/>
          <w:u w:val="single"/>
        </w:rPr>
        <w:t>Транспорт.</w:t>
      </w:r>
    </w:p>
    <w:p w:rsidR="007D2D68" w:rsidRDefault="007D2D68">
      <w:pPr>
        <w:spacing w:line="360" w:lineRule="auto"/>
        <w:ind w:firstLine="720"/>
        <w:jc w:val="center"/>
        <w:rPr>
          <w:sz w:val="28"/>
          <w:u w:val="single"/>
        </w:rPr>
      </w:pPr>
      <w:r>
        <w:rPr>
          <w:sz w:val="28"/>
          <w:u w:val="single"/>
        </w:rPr>
        <w:t>Водный транспорт.</w:t>
      </w:r>
    </w:p>
    <w:p w:rsidR="007D2D68" w:rsidRDefault="007D2D68">
      <w:pPr>
        <w:pStyle w:val="21"/>
        <w:spacing w:line="360" w:lineRule="auto"/>
      </w:pPr>
      <w:r>
        <w:t>Водный транспорт сыграл важную роль в освоении природных ресурсов округа, особенно в начальный период развития нефтегазового комплекса.</w:t>
      </w:r>
    </w:p>
    <w:p w:rsidR="007D2D68" w:rsidRDefault="007D2D68">
      <w:pPr>
        <w:spacing w:line="360" w:lineRule="auto"/>
        <w:ind w:firstLine="720"/>
        <w:jc w:val="both"/>
        <w:rPr>
          <w:sz w:val="28"/>
        </w:rPr>
      </w:pPr>
      <w:r>
        <w:rPr>
          <w:sz w:val="28"/>
        </w:rPr>
        <w:t>Эксплуатируемый флот во многом не отвечает современным экологическим требованиям. Загрязнение водных объектов происходит в период эксплуатации и ремонта флота, во время постановки судов на зимовку. Перед постановкой судов на отстой производится очистка от жидких и твердых отходов – ведется слив воды из отопительной системы, из-под сланей жилых, грузовых помещений и машинного отделения; выбрасывается – старая спецодежда, отслуживший инвентарь, оборудование, изношенные детали двигателя, обрывки тросов и кабелей, аккумуляторы, всевозможная тара.</w:t>
      </w:r>
    </w:p>
    <w:p w:rsidR="007D2D68" w:rsidRDefault="007D2D68">
      <w:pPr>
        <w:spacing w:line="360" w:lineRule="auto"/>
        <w:ind w:firstLine="720"/>
        <w:jc w:val="both"/>
        <w:rPr>
          <w:sz w:val="28"/>
        </w:rPr>
      </w:pPr>
      <w:r>
        <w:rPr>
          <w:sz w:val="28"/>
        </w:rPr>
        <w:t>Значительно загрязняет водоемы нефтепродуктами и бытовым мусором маломерный флот – шлюпки, частные катера.</w:t>
      </w:r>
    </w:p>
    <w:p w:rsidR="007D2D68" w:rsidRDefault="007D2D68">
      <w:pPr>
        <w:spacing w:line="360" w:lineRule="auto"/>
        <w:ind w:firstLine="720"/>
        <w:jc w:val="center"/>
        <w:rPr>
          <w:sz w:val="28"/>
          <w:u w:val="single"/>
        </w:rPr>
      </w:pPr>
      <w:r>
        <w:rPr>
          <w:sz w:val="28"/>
          <w:u w:val="single"/>
        </w:rPr>
        <w:t>Воздушный транспорт.</w:t>
      </w:r>
    </w:p>
    <w:p w:rsidR="007D2D68" w:rsidRDefault="007D2D68">
      <w:pPr>
        <w:pStyle w:val="20"/>
      </w:pPr>
      <w:r>
        <w:tab/>
        <w:t xml:space="preserve">Для Ханты-Мансийского автономного округа имеет огромное значение воздушный транспорт. Округ связан авиационным сообщением со 132 аэропортами России, ближнего и дальнего зарубежья. В округе развито вертолетное сообщение. </w:t>
      </w:r>
    </w:p>
    <w:p w:rsidR="007D2D68" w:rsidRDefault="007D2D68">
      <w:pPr>
        <w:spacing w:line="360" w:lineRule="auto"/>
        <w:jc w:val="both"/>
        <w:rPr>
          <w:sz w:val="28"/>
        </w:rPr>
      </w:pPr>
      <w:r>
        <w:rPr>
          <w:sz w:val="28"/>
        </w:rPr>
        <w:tab/>
        <w:t>В районе аэропортов значительно повышен уровень шумового загрязнения. При расширении и реконструкции взлетно-посадочных полос происходит уничтожение естественных экосистем, изменяется рельеф и гидрологический режим территории.</w:t>
      </w:r>
    </w:p>
    <w:p w:rsidR="007D2D68" w:rsidRDefault="007D2D68">
      <w:pPr>
        <w:spacing w:line="360" w:lineRule="auto"/>
        <w:jc w:val="center"/>
        <w:rPr>
          <w:sz w:val="28"/>
          <w:u w:val="single"/>
        </w:rPr>
      </w:pPr>
      <w:r>
        <w:rPr>
          <w:sz w:val="28"/>
          <w:u w:val="single"/>
        </w:rPr>
        <w:t>Железнодорожный транспорт.</w:t>
      </w:r>
    </w:p>
    <w:p w:rsidR="007D2D68" w:rsidRDefault="007D2D68">
      <w:pPr>
        <w:spacing w:line="360" w:lineRule="auto"/>
        <w:jc w:val="both"/>
        <w:rPr>
          <w:sz w:val="28"/>
        </w:rPr>
      </w:pPr>
      <w:r>
        <w:rPr>
          <w:sz w:val="28"/>
        </w:rPr>
        <w:tab/>
        <w:t xml:space="preserve">Общая протяженность железных дорог на территории Ханты-Мансийского автономного округа – 1286 километров, из них эксплутационная длина железнодорожных путей общего пользования 1073 километра. </w:t>
      </w:r>
    </w:p>
    <w:p w:rsidR="007D2D68" w:rsidRDefault="007D2D68">
      <w:pPr>
        <w:spacing w:line="360" w:lineRule="auto"/>
        <w:jc w:val="both"/>
        <w:rPr>
          <w:sz w:val="28"/>
        </w:rPr>
      </w:pPr>
      <w:r>
        <w:rPr>
          <w:sz w:val="28"/>
        </w:rPr>
        <w:tab/>
        <w:t>Строительство, эксплуатация железных дорог и подвижного состава оказывает отрицательное воздействие на окружающую среду. Экономические проблемы сказались на темпах реализации природоохранных мероприятий. Во многих случаях остаются не решенными проблемы обезвреживания и захоронения отходов, особенно отходов 2-го класса опасности, содержащего нефтепродукты, кубовые остатки, отработанные масла. Актуальной остается проблема сбора мусора, хранения, переработки и транспортировки бытовых отходов из пассажирских поездов.  Негативное влияние на состояние  окружающей среды оказывают железнодорожные магистрали: вследствие изменений естественного гидрологического режима значительные территории подверглись заболачиванию или же наоборот осушению, нарушается почвенный и растительный покров.</w:t>
      </w:r>
    </w:p>
    <w:p w:rsidR="007D2D68" w:rsidRDefault="007D2D68">
      <w:pPr>
        <w:spacing w:line="360" w:lineRule="auto"/>
        <w:jc w:val="center"/>
        <w:rPr>
          <w:sz w:val="28"/>
          <w:u w:val="single"/>
        </w:rPr>
      </w:pPr>
      <w:r>
        <w:rPr>
          <w:sz w:val="28"/>
          <w:u w:val="single"/>
        </w:rPr>
        <w:t>Автомобильный транспорт.</w:t>
      </w:r>
    </w:p>
    <w:p w:rsidR="007D2D68" w:rsidRDefault="007D2D68">
      <w:pPr>
        <w:spacing w:line="360" w:lineRule="auto"/>
        <w:jc w:val="both"/>
        <w:rPr>
          <w:sz w:val="28"/>
        </w:rPr>
      </w:pPr>
      <w:r>
        <w:rPr>
          <w:sz w:val="28"/>
        </w:rPr>
        <w:tab/>
        <w:t>Автомобильный транспорт – важнейший элемент хозяйственной инфраструктуры округа.  29 % грузов перевозится автомобильным транспортом.  Протяженность автомобильных дорог с твердым покрытием в Ханты-Мансийском автономном округе составляет – 7924 километров.</w:t>
      </w:r>
    </w:p>
    <w:p w:rsidR="007D2D68" w:rsidRDefault="007D2D68">
      <w:pPr>
        <w:spacing w:line="360" w:lineRule="auto"/>
        <w:jc w:val="both"/>
        <w:rPr>
          <w:sz w:val="28"/>
        </w:rPr>
      </w:pPr>
      <w:r>
        <w:rPr>
          <w:sz w:val="28"/>
        </w:rPr>
        <w:tab/>
        <w:t>Эксплуатация автомобильного транспорта сопровождается загрязнением окружающей среды. Выбросы загрязняющих веществ в атмосферный воздух  от автотранспорта в 1997 году составили 693,883 тысяч тонн.  Нефтепродукты, продукты износа шин и тормозных накладок, сыпучие и пылящие грузы загрязняют придорожные полосы.  Негативное влияние на состояние окружающей природной среды оказывают автомобильные дороги: изменяется гидрологический режим территорий, нарушается почвенный и растительный покров, целостность экосистемы.</w:t>
      </w:r>
    </w:p>
    <w:p w:rsidR="007D2D68" w:rsidRDefault="007D2D68">
      <w:pPr>
        <w:spacing w:line="360" w:lineRule="auto"/>
        <w:jc w:val="center"/>
        <w:rPr>
          <w:sz w:val="28"/>
          <w:u w:val="single"/>
        </w:rPr>
      </w:pPr>
      <w:r>
        <w:rPr>
          <w:sz w:val="28"/>
          <w:u w:val="single"/>
        </w:rPr>
        <w:t>Трубопроводный транспорт.</w:t>
      </w:r>
    </w:p>
    <w:p w:rsidR="007D2D68" w:rsidRDefault="007D2D68">
      <w:pPr>
        <w:pStyle w:val="20"/>
      </w:pPr>
      <w:r>
        <w:tab/>
        <w:t xml:space="preserve">Практически все добываемое в Ханты-Мансийском округе углеводородное сырье транспортируется по трубопроводам. По территории округа проходит целая сеть нефте и газопроводов. Общая протяженность магистральных трубопроводов составляет 9 тысяч километров.  Помимо магистральных трубопроводов на территории округа действуют внутри и межпромысловые трубопроводы. Общая протяженность магистральных и внутри промысловых  трубопроводов составляет более 60 тысяч километров. </w:t>
      </w:r>
    </w:p>
    <w:p w:rsidR="007D2D68" w:rsidRDefault="007D2D68">
      <w:pPr>
        <w:pStyle w:val="20"/>
      </w:pPr>
      <w:r>
        <w:tab/>
        <w:t xml:space="preserve">Негативное влияние трубопроводного транспорта на окружающую природную среду достаточно велико и многообразно. Наиболее существенный ущерб окружающей среде причиняется авариями на продуктопроводах. Особую опасность загрязнения окружающей природной среды представляют места пересечения трубопроводов с водными объектами. </w:t>
      </w:r>
    </w:p>
    <w:p w:rsidR="007D2D68" w:rsidRDefault="007D2D68">
      <w:pPr>
        <w:pStyle w:val="20"/>
      </w:pPr>
      <w:r>
        <w:tab/>
        <w:t>При прокладке и реконструкции трубопроводов изменяются инженерно-геологические условия, усиливаются термокарстовые процессы, образуются просадки и провалы, активизируются процессы заболачивания. В результате уничтожения естественных мест обитания и нарушения путей миграций уменьшается численность и видовой состав животного мира.</w:t>
      </w:r>
    </w:p>
    <w:p w:rsidR="007D2D68" w:rsidRDefault="007D2D68">
      <w:pPr>
        <w:pStyle w:val="20"/>
      </w:pPr>
    </w:p>
    <w:p w:rsidR="007D2D68" w:rsidRDefault="007D2D68">
      <w:pPr>
        <w:pStyle w:val="20"/>
        <w:jc w:val="center"/>
        <w:rPr>
          <w:b/>
        </w:rPr>
      </w:pPr>
      <w:r>
        <w:rPr>
          <w:b/>
        </w:rPr>
        <w:t>Промышленные аварии.</w:t>
      </w:r>
    </w:p>
    <w:p w:rsidR="007D2D68" w:rsidRDefault="007D2D68">
      <w:pPr>
        <w:pStyle w:val="20"/>
      </w:pPr>
    </w:p>
    <w:p w:rsidR="007D2D68" w:rsidRDefault="007D2D68">
      <w:pPr>
        <w:pStyle w:val="20"/>
      </w:pPr>
      <w:r>
        <w:tab/>
        <w:t>Одной из главных экологических проблем Ханты-Мансийского автономного округа является высокая аварийность на предприятиях нефтегазодобывающего комплекса, сопровождающаяся залповыми выбросами в окружающую среду нефти и нефтепродуктов. Наиболее крупные выбросы нефти происходят в результате порывов трубопроводов.</w:t>
      </w:r>
    </w:p>
    <w:p w:rsidR="007D2D68" w:rsidRDefault="007D2D68">
      <w:pPr>
        <w:pStyle w:val="20"/>
      </w:pPr>
      <w:r>
        <w:tab/>
        <w:t xml:space="preserve">В 80-е годы, в округе ежегодно фиксировалось 150-260 аварий; в середине 90-х годов 1703-3137 случаев; в 1997 году произошло 2014 аварий. </w:t>
      </w:r>
    </w:p>
    <w:p w:rsidR="007D2D68" w:rsidRDefault="007D2D68">
      <w:pPr>
        <w:pStyle w:val="20"/>
        <w:jc w:val="center"/>
      </w:pPr>
    </w:p>
    <w:p w:rsidR="007D2D68" w:rsidRDefault="007D2D68">
      <w:pPr>
        <w:pStyle w:val="20"/>
        <w:jc w:val="center"/>
      </w:pPr>
    </w:p>
    <w:p w:rsidR="007D2D68" w:rsidRDefault="007D2D68">
      <w:pPr>
        <w:pStyle w:val="20"/>
        <w:jc w:val="center"/>
      </w:pPr>
    </w:p>
    <w:p w:rsidR="007D2D68" w:rsidRDefault="007D2D68">
      <w:pPr>
        <w:pStyle w:val="20"/>
        <w:jc w:val="center"/>
      </w:pPr>
    </w:p>
    <w:p w:rsidR="007D2D68" w:rsidRDefault="007D2D68">
      <w:pPr>
        <w:pStyle w:val="20"/>
        <w:jc w:val="center"/>
      </w:pPr>
      <w:r>
        <w:t>Аварийность нефтегазодобывающих предприятий по районам 1997 году.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134"/>
        <w:gridCol w:w="1665"/>
        <w:gridCol w:w="1914"/>
        <w:gridCol w:w="1914"/>
      </w:tblGrid>
      <w:tr w:rsidR="007D2D68">
        <w:tc>
          <w:tcPr>
            <w:tcW w:w="2943" w:type="dxa"/>
          </w:tcPr>
          <w:p w:rsidR="007D2D68" w:rsidRDefault="007D2D68">
            <w:pPr>
              <w:pStyle w:val="20"/>
              <w:jc w:val="center"/>
              <w:rPr>
                <w:sz w:val="24"/>
              </w:rPr>
            </w:pPr>
            <w:r>
              <w:rPr>
                <w:sz w:val="24"/>
              </w:rPr>
              <w:t>Территории</w:t>
            </w:r>
          </w:p>
          <w:p w:rsidR="007D2D68" w:rsidRDefault="007D2D68">
            <w:pPr>
              <w:pStyle w:val="20"/>
              <w:jc w:val="center"/>
              <w:rPr>
                <w:sz w:val="24"/>
              </w:rPr>
            </w:pPr>
            <w:r>
              <w:rPr>
                <w:sz w:val="24"/>
              </w:rPr>
              <w:t>Района</w:t>
            </w:r>
          </w:p>
        </w:tc>
        <w:tc>
          <w:tcPr>
            <w:tcW w:w="1134" w:type="dxa"/>
          </w:tcPr>
          <w:p w:rsidR="007D2D68" w:rsidRDefault="007D2D68">
            <w:pPr>
              <w:pStyle w:val="20"/>
              <w:jc w:val="center"/>
              <w:rPr>
                <w:sz w:val="24"/>
              </w:rPr>
            </w:pPr>
            <w:r>
              <w:rPr>
                <w:sz w:val="24"/>
              </w:rPr>
              <w:t>Количество аварий</w:t>
            </w:r>
          </w:p>
        </w:tc>
        <w:tc>
          <w:tcPr>
            <w:tcW w:w="1665" w:type="dxa"/>
          </w:tcPr>
          <w:p w:rsidR="007D2D68" w:rsidRDefault="007D2D68">
            <w:pPr>
              <w:pStyle w:val="20"/>
              <w:jc w:val="center"/>
              <w:rPr>
                <w:sz w:val="24"/>
              </w:rPr>
            </w:pPr>
            <w:r>
              <w:rPr>
                <w:sz w:val="24"/>
              </w:rPr>
              <w:t>Масса ЗВ после ликвидации аварий, тонн</w:t>
            </w:r>
          </w:p>
        </w:tc>
        <w:tc>
          <w:tcPr>
            <w:tcW w:w="1914" w:type="dxa"/>
          </w:tcPr>
          <w:p w:rsidR="007D2D68" w:rsidRDefault="007D2D68">
            <w:pPr>
              <w:pStyle w:val="20"/>
              <w:jc w:val="center"/>
              <w:rPr>
                <w:sz w:val="24"/>
              </w:rPr>
            </w:pPr>
            <w:r>
              <w:rPr>
                <w:sz w:val="24"/>
              </w:rPr>
              <w:t>Площадь загрязнения, га</w:t>
            </w:r>
          </w:p>
        </w:tc>
        <w:tc>
          <w:tcPr>
            <w:tcW w:w="1914" w:type="dxa"/>
          </w:tcPr>
          <w:p w:rsidR="007D2D68" w:rsidRDefault="007D2D68">
            <w:pPr>
              <w:pStyle w:val="20"/>
              <w:jc w:val="center"/>
              <w:rPr>
                <w:sz w:val="24"/>
              </w:rPr>
            </w:pPr>
            <w:r>
              <w:rPr>
                <w:sz w:val="24"/>
              </w:rPr>
              <w:t>Наложено штрафов, млн. руб.</w:t>
            </w:r>
          </w:p>
        </w:tc>
      </w:tr>
      <w:tr w:rsidR="007D2D68">
        <w:tc>
          <w:tcPr>
            <w:tcW w:w="2943" w:type="dxa"/>
          </w:tcPr>
          <w:p w:rsidR="007D2D68" w:rsidRDefault="007D2D68">
            <w:pPr>
              <w:pStyle w:val="20"/>
              <w:rPr>
                <w:sz w:val="24"/>
              </w:rPr>
            </w:pPr>
            <w:r>
              <w:rPr>
                <w:sz w:val="24"/>
              </w:rPr>
              <w:t>Нефтеюганский</w:t>
            </w:r>
          </w:p>
        </w:tc>
        <w:tc>
          <w:tcPr>
            <w:tcW w:w="1134" w:type="dxa"/>
          </w:tcPr>
          <w:p w:rsidR="007D2D68" w:rsidRDefault="007D2D68">
            <w:pPr>
              <w:pStyle w:val="20"/>
              <w:jc w:val="center"/>
              <w:rPr>
                <w:sz w:val="24"/>
              </w:rPr>
            </w:pPr>
            <w:r>
              <w:rPr>
                <w:sz w:val="24"/>
              </w:rPr>
              <w:t>506</w:t>
            </w:r>
          </w:p>
        </w:tc>
        <w:tc>
          <w:tcPr>
            <w:tcW w:w="1665" w:type="dxa"/>
          </w:tcPr>
          <w:p w:rsidR="007D2D68" w:rsidRDefault="007D2D68">
            <w:pPr>
              <w:pStyle w:val="20"/>
              <w:jc w:val="center"/>
              <w:rPr>
                <w:sz w:val="24"/>
              </w:rPr>
            </w:pPr>
            <w:r>
              <w:rPr>
                <w:sz w:val="24"/>
              </w:rPr>
              <w:t>574,8</w:t>
            </w:r>
          </w:p>
        </w:tc>
        <w:tc>
          <w:tcPr>
            <w:tcW w:w="1914" w:type="dxa"/>
          </w:tcPr>
          <w:p w:rsidR="007D2D68" w:rsidRDefault="007D2D68">
            <w:pPr>
              <w:pStyle w:val="20"/>
              <w:jc w:val="center"/>
              <w:rPr>
                <w:sz w:val="24"/>
              </w:rPr>
            </w:pPr>
            <w:r>
              <w:rPr>
                <w:sz w:val="24"/>
              </w:rPr>
              <w:t>40,56</w:t>
            </w:r>
          </w:p>
        </w:tc>
        <w:tc>
          <w:tcPr>
            <w:tcW w:w="1914" w:type="dxa"/>
          </w:tcPr>
          <w:p w:rsidR="007D2D68" w:rsidRDefault="007D2D68">
            <w:pPr>
              <w:pStyle w:val="20"/>
              <w:jc w:val="center"/>
              <w:rPr>
                <w:sz w:val="24"/>
              </w:rPr>
            </w:pPr>
            <w:r>
              <w:rPr>
                <w:sz w:val="24"/>
              </w:rPr>
              <w:t>6829,607</w:t>
            </w:r>
          </w:p>
        </w:tc>
      </w:tr>
      <w:tr w:rsidR="007D2D68">
        <w:tc>
          <w:tcPr>
            <w:tcW w:w="2943" w:type="dxa"/>
          </w:tcPr>
          <w:p w:rsidR="007D2D68" w:rsidRDefault="007D2D68">
            <w:pPr>
              <w:pStyle w:val="20"/>
              <w:rPr>
                <w:sz w:val="24"/>
              </w:rPr>
            </w:pPr>
            <w:r>
              <w:rPr>
                <w:sz w:val="24"/>
              </w:rPr>
              <w:t>Нижневартовский</w:t>
            </w:r>
          </w:p>
        </w:tc>
        <w:tc>
          <w:tcPr>
            <w:tcW w:w="1134" w:type="dxa"/>
          </w:tcPr>
          <w:p w:rsidR="007D2D68" w:rsidRDefault="007D2D68">
            <w:pPr>
              <w:pStyle w:val="20"/>
              <w:jc w:val="center"/>
              <w:rPr>
                <w:sz w:val="24"/>
              </w:rPr>
            </w:pPr>
            <w:r>
              <w:rPr>
                <w:sz w:val="24"/>
              </w:rPr>
              <w:t>915</w:t>
            </w:r>
          </w:p>
        </w:tc>
        <w:tc>
          <w:tcPr>
            <w:tcW w:w="1665" w:type="dxa"/>
          </w:tcPr>
          <w:p w:rsidR="007D2D68" w:rsidRDefault="007D2D68">
            <w:pPr>
              <w:pStyle w:val="20"/>
              <w:jc w:val="center"/>
              <w:rPr>
                <w:sz w:val="24"/>
              </w:rPr>
            </w:pPr>
            <w:r>
              <w:rPr>
                <w:sz w:val="24"/>
              </w:rPr>
              <w:t>281,3</w:t>
            </w:r>
          </w:p>
        </w:tc>
        <w:tc>
          <w:tcPr>
            <w:tcW w:w="1914" w:type="dxa"/>
          </w:tcPr>
          <w:p w:rsidR="007D2D68" w:rsidRDefault="007D2D68">
            <w:pPr>
              <w:pStyle w:val="20"/>
              <w:jc w:val="center"/>
              <w:rPr>
                <w:sz w:val="24"/>
              </w:rPr>
            </w:pPr>
            <w:r>
              <w:rPr>
                <w:sz w:val="24"/>
              </w:rPr>
              <w:t>34,89</w:t>
            </w:r>
          </w:p>
        </w:tc>
        <w:tc>
          <w:tcPr>
            <w:tcW w:w="1914" w:type="dxa"/>
          </w:tcPr>
          <w:p w:rsidR="007D2D68" w:rsidRDefault="007D2D68">
            <w:pPr>
              <w:pStyle w:val="20"/>
              <w:jc w:val="center"/>
              <w:rPr>
                <w:sz w:val="24"/>
              </w:rPr>
            </w:pPr>
            <w:r>
              <w:rPr>
                <w:sz w:val="24"/>
              </w:rPr>
              <w:t>1668,59</w:t>
            </w:r>
          </w:p>
        </w:tc>
      </w:tr>
      <w:tr w:rsidR="007D2D68">
        <w:tc>
          <w:tcPr>
            <w:tcW w:w="2943" w:type="dxa"/>
          </w:tcPr>
          <w:p w:rsidR="007D2D68" w:rsidRDefault="007D2D68">
            <w:pPr>
              <w:pStyle w:val="20"/>
              <w:rPr>
                <w:sz w:val="24"/>
              </w:rPr>
            </w:pPr>
            <w:r>
              <w:rPr>
                <w:sz w:val="24"/>
              </w:rPr>
              <w:t>Октябрьский</w:t>
            </w:r>
          </w:p>
        </w:tc>
        <w:tc>
          <w:tcPr>
            <w:tcW w:w="1134" w:type="dxa"/>
          </w:tcPr>
          <w:p w:rsidR="007D2D68" w:rsidRDefault="007D2D68">
            <w:pPr>
              <w:pStyle w:val="20"/>
              <w:jc w:val="center"/>
              <w:rPr>
                <w:sz w:val="24"/>
              </w:rPr>
            </w:pPr>
            <w:r>
              <w:rPr>
                <w:sz w:val="24"/>
              </w:rPr>
              <w:t>347</w:t>
            </w:r>
          </w:p>
        </w:tc>
        <w:tc>
          <w:tcPr>
            <w:tcW w:w="1665" w:type="dxa"/>
          </w:tcPr>
          <w:p w:rsidR="007D2D68" w:rsidRDefault="007D2D68">
            <w:pPr>
              <w:pStyle w:val="20"/>
              <w:jc w:val="center"/>
              <w:rPr>
                <w:sz w:val="24"/>
              </w:rPr>
            </w:pPr>
            <w:r>
              <w:rPr>
                <w:sz w:val="24"/>
              </w:rPr>
              <w:t>21,5/361,9</w:t>
            </w:r>
          </w:p>
        </w:tc>
        <w:tc>
          <w:tcPr>
            <w:tcW w:w="1914" w:type="dxa"/>
          </w:tcPr>
          <w:p w:rsidR="007D2D68" w:rsidRDefault="007D2D68">
            <w:pPr>
              <w:pStyle w:val="20"/>
              <w:jc w:val="center"/>
              <w:rPr>
                <w:sz w:val="24"/>
              </w:rPr>
            </w:pPr>
            <w:r>
              <w:rPr>
                <w:sz w:val="24"/>
              </w:rPr>
              <w:t>4,09</w:t>
            </w:r>
          </w:p>
        </w:tc>
        <w:tc>
          <w:tcPr>
            <w:tcW w:w="1914" w:type="dxa"/>
          </w:tcPr>
          <w:p w:rsidR="007D2D68" w:rsidRDefault="007D2D68">
            <w:pPr>
              <w:pStyle w:val="20"/>
              <w:jc w:val="center"/>
              <w:rPr>
                <w:sz w:val="24"/>
              </w:rPr>
            </w:pPr>
            <w:r>
              <w:rPr>
                <w:sz w:val="24"/>
              </w:rPr>
              <w:t>324,198</w:t>
            </w:r>
          </w:p>
        </w:tc>
      </w:tr>
      <w:tr w:rsidR="007D2D68">
        <w:tc>
          <w:tcPr>
            <w:tcW w:w="2943" w:type="dxa"/>
          </w:tcPr>
          <w:p w:rsidR="007D2D68" w:rsidRDefault="007D2D68">
            <w:pPr>
              <w:pStyle w:val="20"/>
              <w:rPr>
                <w:sz w:val="24"/>
              </w:rPr>
            </w:pPr>
            <w:r>
              <w:rPr>
                <w:sz w:val="24"/>
              </w:rPr>
              <w:t>Сургутский</w:t>
            </w:r>
          </w:p>
        </w:tc>
        <w:tc>
          <w:tcPr>
            <w:tcW w:w="1134" w:type="dxa"/>
          </w:tcPr>
          <w:p w:rsidR="007D2D68" w:rsidRDefault="007D2D68">
            <w:pPr>
              <w:pStyle w:val="20"/>
              <w:jc w:val="center"/>
              <w:rPr>
                <w:sz w:val="24"/>
              </w:rPr>
            </w:pPr>
            <w:r>
              <w:rPr>
                <w:sz w:val="24"/>
              </w:rPr>
              <w:t>29</w:t>
            </w:r>
          </w:p>
        </w:tc>
        <w:tc>
          <w:tcPr>
            <w:tcW w:w="1665" w:type="dxa"/>
          </w:tcPr>
          <w:p w:rsidR="007D2D68" w:rsidRDefault="007D2D68">
            <w:pPr>
              <w:pStyle w:val="20"/>
              <w:jc w:val="center"/>
              <w:rPr>
                <w:sz w:val="24"/>
              </w:rPr>
            </w:pPr>
            <w:r>
              <w:rPr>
                <w:sz w:val="24"/>
              </w:rPr>
              <w:t>95,6</w:t>
            </w:r>
          </w:p>
        </w:tc>
        <w:tc>
          <w:tcPr>
            <w:tcW w:w="1914" w:type="dxa"/>
          </w:tcPr>
          <w:p w:rsidR="007D2D68" w:rsidRDefault="007D2D68">
            <w:pPr>
              <w:pStyle w:val="20"/>
              <w:jc w:val="center"/>
              <w:rPr>
                <w:sz w:val="24"/>
              </w:rPr>
            </w:pPr>
            <w:r>
              <w:rPr>
                <w:sz w:val="24"/>
              </w:rPr>
              <w:t>5,586</w:t>
            </w:r>
          </w:p>
        </w:tc>
        <w:tc>
          <w:tcPr>
            <w:tcW w:w="1914" w:type="dxa"/>
          </w:tcPr>
          <w:p w:rsidR="007D2D68" w:rsidRDefault="007D2D68">
            <w:pPr>
              <w:pStyle w:val="20"/>
              <w:jc w:val="center"/>
              <w:rPr>
                <w:sz w:val="24"/>
              </w:rPr>
            </w:pPr>
            <w:r>
              <w:rPr>
                <w:sz w:val="24"/>
              </w:rPr>
              <w:t>487,58</w:t>
            </w:r>
          </w:p>
        </w:tc>
      </w:tr>
      <w:tr w:rsidR="007D2D68">
        <w:tc>
          <w:tcPr>
            <w:tcW w:w="2943" w:type="dxa"/>
          </w:tcPr>
          <w:p w:rsidR="007D2D68" w:rsidRDefault="007D2D68">
            <w:pPr>
              <w:pStyle w:val="20"/>
              <w:rPr>
                <w:sz w:val="24"/>
              </w:rPr>
            </w:pPr>
            <w:r>
              <w:rPr>
                <w:sz w:val="24"/>
              </w:rPr>
              <w:t>Советский</w:t>
            </w:r>
          </w:p>
        </w:tc>
        <w:tc>
          <w:tcPr>
            <w:tcW w:w="1134" w:type="dxa"/>
          </w:tcPr>
          <w:p w:rsidR="007D2D68" w:rsidRDefault="007D2D68">
            <w:pPr>
              <w:pStyle w:val="20"/>
              <w:jc w:val="center"/>
              <w:rPr>
                <w:sz w:val="24"/>
              </w:rPr>
            </w:pPr>
            <w:r>
              <w:rPr>
                <w:sz w:val="24"/>
              </w:rPr>
              <w:t>7</w:t>
            </w:r>
          </w:p>
        </w:tc>
        <w:tc>
          <w:tcPr>
            <w:tcW w:w="1665" w:type="dxa"/>
          </w:tcPr>
          <w:p w:rsidR="007D2D68" w:rsidRDefault="007D2D68">
            <w:pPr>
              <w:pStyle w:val="20"/>
              <w:jc w:val="center"/>
              <w:rPr>
                <w:sz w:val="24"/>
              </w:rPr>
            </w:pPr>
            <w:r>
              <w:rPr>
                <w:sz w:val="24"/>
              </w:rPr>
              <w:t>91,1</w:t>
            </w:r>
          </w:p>
        </w:tc>
        <w:tc>
          <w:tcPr>
            <w:tcW w:w="1914" w:type="dxa"/>
          </w:tcPr>
          <w:p w:rsidR="007D2D68" w:rsidRDefault="007D2D68">
            <w:pPr>
              <w:pStyle w:val="20"/>
              <w:jc w:val="center"/>
              <w:rPr>
                <w:sz w:val="24"/>
              </w:rPr>
            </w:pPr>
            <w:r>
              <w:rPr>
                <w:sz w:val="24"/>
              </w:rPr>
              <w:t>2,792</w:t>
            </w:r>
          </w:p>
        </w:tc>
        <w:tc>
          <w:tcPr>
            <w:tcW w:w="1914" w:type="dxa"/>
          </w:tcPr>
          <w:p w:rsidR="007D2D68" w:rsidRDefault="007D2D68">
            <w:pPr>
              <w:pStyle w:val="20"/>
              <w:jc w:val="center"/>
              <w:rPr>
                <w:sz w:val="24"/>
              </w:rPr>
            </w:pPr>
            <w:r>
              <w:rPr>
                <w:sz w:val="24"/>
              </w:rPr>
              <w:t>172,72</w:t>
            </w:r>
          </w:p>
        </w:tc>
      </w:tr>
      <w:tr w:rsidR="007D2D68">
        <w:tc>
          <w:tcPr>
            <w:tcW w:w="2943" w:type="dxa"/>
          </w:tcPr>
          <w:p w:rsidR="007D2D68" w:rsidRDefault="007D2D68">
            <w:pPr>
              <w:pStyle w:val="20"/>
              <w:rPr>
                <w:sz w:val="24"/>
              </w:rPr>
            </w:pPr>
            <w:r>
              <w:rPr>
                <w:sz w:val="24"/>
              </w:rPr>
              <w:t>Когалымский</w:t>
            </w:r>
          </w:p>
        </w:tc>
        <w:tc>
          <w:tcPr>
            <w:tcW w:w="1134" w:type="dxa"/>
          </w:tcPr>
          <w:p w:rsidR="007D2D68" w:rsidRDefault="007D2D68">
            <w:pPr>
              <w:pStyle w:val="20"/>
              <w:jc w:val="center"/>
              <w:rPr>
                <w:sz w:val="24"/>
              </w:rPr>
            </w:pPr>
            <w:r>
              <w:rPr>
                <w:sz w:val="24"/>
              </w:rPr>
              <w:t>10</w:t>
            </w:r>
          </w:p>
        </w:tc>
        <w:tc>
          <w:tcPr>
            <w:tcW w:w="1665" w:type="dxa"/>
          </w:tcPr>
          <w:p w:rsidR="007D2D68" w:rsidRDefault="007D2D68">
            <w:pPr>
              <w:pStyle w:val="20"/>
              <w:jc w:val="center"/>
              <w:rPr>
                <w:sz w:val="24"/>
              </w:rPr>
            </w:pPr>
            <w:r>
              <w:rPr>
                <w:sz w:val="24"/>
              </w:rPr>
              <w:t>1</w:t>
            </w:r>
          </w:p>
        </w:tc>
        <w:tc>
          <w:tcPr>
            <w:tcW w:w="1914" w:type="dxa"/>
          </w:tcPr>
          <w:p w:rsidR="007D2D68" w:rsidRDefault="007D2D68">
            <w:pPr>
              <w:pStyle w:val="20"/>
              <w:jc w:val="center"/>
              <w:rPr>
                <w:sz w:val="24"/>
              </w:rPr>
            </w:pPr>
            <w:r>
              <w:rPr>
                <w:sz w:val="24"/>
              </w:rPr>
              <w:t>2,692</w:t>
            </w:r>
          </w:p>
        </w:tc>
        <w:tc>
          <w:tcPr>
            <w:tcW w:w="1914" w:type="dxa"/>
          </w:tcPr>
          <w:p w:rsidR="007D2D68" w:rsidRDefault="007D2D68">
            <w:pPr>
              <w:pStyle w:val="20"/>
              <w:jc w:val="center"/>
              <w:rPr>
                <w:sz w:val="24"/>
              </w:rPr>
            </w:pPr>
            <w:r>
              <w:rPr>
                <w:sz w:val="24"/>
              </w:rPr>
              <w:t>129,235</w:t>
            </w:r>
          </w:p>
        </w:tc>
      </w:tr>
      <w:tr w:rsidR="007D2D68">
        <w:tc>
          <w:tcPr>
            <w:tcW w:w="2943" w:type="dxa"/>
          </w:tcPr>
          <w:p w:rsidR="007D2D68" w:rsidRDefault="007D2D68">
            <w:pPr>
              <w:pStyle w:val="20"/>
              <w:rPr>
                <w:sz w:val="24"/>
              </w:rPr>
            </w:pPr>
            <w:r>
              <w:rPr>
                <w:sz w:val="24"/>
              </w:rPr>
              <w:t>Ханты-Мансийский</w:t>
            </w:r>
          </w:p>
        </w:tc>
        <w:tc>
          <w:tcPr>
            <w:tcW w:w="1134" w:type="dxa"/>
          </w:tcPr>
          <w:p w:rsidR="007D2D68" w:rsidRDefault="007D2D68">
            <w:pPr>
              <w:pStyle w:val="20"/>
              <w:jc w:val="center"/>
              <w:rPr>
                <w:sz w:val="24"/>
              </w:rPr>
            </w:pPr>
            <w:r>
              <w:rPr>
                <w:sz w:val="24"/>
              </w:rPr>
              <w:t>117</w:t>
            </w:r>
          </w:p>
        </w:tc>
        <w:tc>
          <w:tcPr>
            <w:tcW w:w="1665" w:type="dxa"/>
          </w:tcPr>
          <w:p w:rsidR="007D2D68" w:rsidRDefault="007D2D68">
            <w:pPr>
              <w:pStyle w:val="20"/>
              <w:jc w:val="center"/>
              <w:rPr>
                <w:sz w:val="24"/>
              </w:rPr>
            </w:pPr>
            <w:r>
              <w:rPr>
                <w:sz w:val="24"/>
              </w:rPr>
              <w:t>20,5</w:t>
            </w:r>
          </w:p>
        </w:tc>
        <w:tc>
          <w:tcPr>
            <w:tcW w:w="1914" w:type="dxa"/>
          </w:tcPr>
          <w:p w:rsidR="007D2D68" w:rsidRDefault="007D2D68">
            <w:pPr>
              <w:pStyle w:val="20"/>
              <w:jc w:val="center"/>
              <w:rPr>
                <w:sz w:val="24"/>
              </w:rPr>
            </w:pPr>
            <w:r>
              <w:rPr>
                <w:sz w:val="24"/>
              </w:rPr>
              <w:t>2,654</w:t>
            </w:r>
          </w:p>
        </w:tc>
        <w:tc>
          <w:tcPr>
            <w:tcW w:w="1914" w:type="dxa"/>
          </w:tcPr>
          <w:p w:rsidR="007D2D68" w:rsidRDefault="007D2D68">
            <w:pPr>
              <w:pStyle w:val="20"/>
              <w:jc w:val="center"/>
              <w:rPr>
                <w:sz w:val="24"/>
              </w:rPr>
            </w:pPr>
            <w:r>
              <w:rPr>
                <w:sz w:val="24"/>
              </w:rPr>
              <w:t>6</w:t>
            </w:r>
          </w:p>
        </w:tc>
      </w:tr>
      <w:tr w:rsidR="007D2D68">
        <w:tc>
          <w:tcPr>
            <w:tcW w:w="2943" w:type="dxa"/>
          </w:tcPr>
          <w:p w:rsidR="007D2D68" w:rsidRDefault="007D2D68">
            <w:pPr>
              <w:pStyle w:val="20"/>
              <w:rPr>
                <w:sz w:val="24"/>
              </w:rPr>
            </w:pPr>
            <w:r>
              <w:rPr>
                <w:sz w:val="24"/>
              </w:rPr>
              <w:t>Кондинский</w:t>
            </w:r>
          </w:p>
        </w:tc>
        <w:tc>
          <w:tcPr>
            <w:tcW w:w="1134" w:type="dxa"/>
          </w:tcPr>
          <w:p w:rsidR="007D2D68" w:rsidRDefault="007D2D68">
            <w:pPr>
              <w:pStyle w:val="20"/>
              <w:jc w:val="center"/>
              <w:rPr>
                <w:sz w:val="24"/>
              </w:rPr>
            </w:pPr>
            <w:r>
              <w:rPr>
                <w:sz w:val="24"/>
              </w:rPr>
              <w:t>81</w:t>
            </w:r>
          </w:p>
        </w:tc>
        <w:tc>
          <w:tcPr>
            <w:tcW w:w="1665" w:type="dxa"/>
          </w:tcPr>
          <w:p w:rsidR="007D2D68" w:rsidRDefault="007D2D68">
            <w:pPr>
              <w:pStyle w:val="20"/>
              <w:jc w:val="center"/>
              <w:rPr>
                <w:sz w:val="24"/>
              </w:rPr>
            </w:pPr>
            <w:r>
              <w:rPr>
                <w:sz w:val="24"/>
              </w:rPr>
              <w:t>183,1</w:t>
            </w:r>
          </w:p>
        </w:tc>
        <w:tc>
          <w:tcPr>
            <w:tcW w:w="1914" w:type="dxa"/>
          </w:tcPr>
          <w:p w:rsidR="007D2D68" w:rsidRDefault="007D2D68">
            <w:pPr>
              <w:pStyle w:val="20"/>
              <w:jc w:val="center"/>
              <w:rPr>
                <w:sz w:val="24"/>
              </w:rPr>
            </w:pPr>
            <w:r>
              <w:rPr>
                <w:sz w:val="24"/>
              </w:rPr>
              <w:t>2,56</w:t>
            </w:r>
          </w:p>
        </w:tc>
        <w:tc>
          <w:tcPr>
            <w:tcW w:w="1914" w:type="dxa"/>
          </w:tcPr>
          <w:p w:rsidR="007D2D68" w:rsidRDefault="007D2D68">
            <w:pPr>
              <w:pStyle w:val="20"/>
              <w:jc w:val="center"/>
              <w:rPr>
                <w:sz w:val="24"/>
              </w:rPr>
            </w:pPr>
            <w:r>
              <w:rPr>
                <w:sz w:val="24"/>
              </w:rPr>
              <w:t>50,813</w:t>
            </w:r>
          </w:p>
        </w:tc>
      </w:tr>
      <w:tr w:rsidR="007D2D68">
        <w:tc>
          <w:tcPr>
            <w:tcW w:w="2943" w:type="dxa"/>
          </w:tcPr>
          <w:p w:rsidR="007D2D68" w:rsidRDefault="007D2D68">
            <w:pPr>
              <w:pStyle w:val="20"/>
              <w:rPr>
                <w:sz w:val="24"/>
              </w:rPr>
            </w:pPr>
            <w:r>
              <w:rPr>
                <w:sz w:val="24"/>
              </w:rPr>
              <w:t>Березовский</w:t>
            </w:r>
          </w:p>
        </w:tc>
        <w:tc>
          <w:tcPr>
            <w:tcW w:w="1134" w:type="dxa"/>
          </w:tcPr>
          <w:p w:rsidR="007D2D68" w:rsidRDefault="007D2D68">
            <w:pPr>
              <w:pStyle w:val="20"/>
              <w:jc w:val="center"/>
              <w:rPr>
                <w:sz w:val="24"/>
              </w:rPr>
            </w:pPr>
            <w:r>
              <w:rPr>
                <w:sz w:val="24"/>
              </w:rPr>
              <w:t>2</w:t>
            </w:r>
          </w:p>
        </w:tc>
        <w:tc>
          <w:tcPr>
            <w:tcW w:w="1665" w:type="dxa"/>
          </w:tcPr>
          <w:p w:rsidR="007D2D68" w:rsidRDefault="007D2D68">
            <w:pPr>
              <w:pStyle w:val="20"/>
              <w:jc w:val="center"/>
              <w:rPr>
                <w:sz w:val="24"/>
              </w:rPr>
            </w:pPr>
            <w:r>
              <w:rPr>
                <w:sz w:val="24"/>
              </w:rPr>
              <w:t>209,3</w:t>
            </w:r>
          </w:p>
        </w:tc>
        <w:tc>
          <w:tcPr>
            <w:tcW w:w="1914" w:type="dxa"/>
          </w:tcPr>
          <w:p w:rsidR="007D2D68" w:rsidRDefault="007D2D68">
            <w:pPr>
              <w:pStyle w:val="20"/>
              <w:jc w:val="center"/>
              <w:rPr>
                <w:sz w:val="24"/>
              </w:rPr>
            </w:pPr>
          </w:p>
        </w:tc>
        <w:tc>
          <w:tcPr>
            <w:tcW w:w="1914" w:type="dxa"/>
          </w:tcPr>
          <w:p w:rsidR="007D2D68" w:rsidRDefault="007D2D68">
            <w:pPr>
              <w:pStyle w:val="20"/>
              <w:jc w:val="center"/>
              <w:rPr>
                <w:sz w:val="24"/>
              </w:rPr>
            </w:pPr>
          </w:p>
        </w:tc>
      </w:tr>
      <w:tr w:rsidR="007D2D68">
        <w:tc>
          <w:tcPr>
            <w:tcW w:w="2943" w:type="dxa"/>
          </w:tcPr>
          <w:p w:rsidR="007D2D68" w:rsidRDefault="007D2D68">
            <w:pPr>
              <w:pStyle w:val="20"/>
              <w:rPr>
                <w:sz w:val="24"/>
              </w:rPr>
            </w:pPr>
            <w:r>
              <w:rPr>
                <w:sz w:val="24"/>
              </w:rPr>
              <w:t>ИТОГО</w:t>
            </w:r>
          </w:p>
        </w:tc>
        <w:tc>
          <w:tcPr>
            <w:tcW w:w="1134" w:type="dxa"/>
          </w:tcPr>
          <w:p w:rsidR="007D2D68" w:rsidRDefault="007D2D68">
            <w:pPr>
              <w:pStyle w:val="20"/>
              <w:jc w:val="center"/>
              <w:rPr>
                <w:sz w:val="24"/>
              </w:rPr>
            </w:pPr>
            <w:r>
              <w:rPr>
                <w:sz w:val="24"/>
              </w:rPr>
              <w:t>2014</w:t>
            </w:r>
          </w:p>
        </w:tc>
        <w:tc>
          <w:tcPr>
            <w:tcW w:w="1665" w:type="dxa"/>
          </w:tcPr>
          <w:p w:rsidR="007D2D68" w:rsidRDefault="007D2D68">
            <w:pPr>
              <w:pStyle w:val="20"/>
              <w:jc w:val="center"/>
              <w:rPr>
                <w:sz w:val="24"/>
              </w:rPr>
            </w:pPr>
            <w:r>
              <w:rPr>
                <w:sz w:val="24"/>
              </w:rPr>
              <w:t>1478,2/361,9</w:t>
            </w:r>
          </w:p>
        </w:tc>
        <w:tc>
          <w:tcPr>
            <w:tcW w:w="1914" w:type="dxa"/>
          </w:tcPr>
          <w:p w:rsidR="007D2D68" w:rsidRDefault="007D2D68">
            <w:pPr>
              <w:pStyle w:val="20"/>
              <w:jc w:val="center"/>
              <w:rPr>
                <w:sz w:val="24"/>
              </w:rPr>
            </w:pPr>
            <w:r>
              <w:rPr>
                <w:sz w:val="24"/>
              </w:rPr>
              <w:t>95,824</w:t>
            </w:r>
          </w:p>
        </w:tc>
        <w:tc>
          <w:tcPr>
            <w:tcW w:w="1914" w:type="dxa"/>
          </w:tcPr>
          <w:p w:rsidR="007D2D68" w:rsidRDefault="007D2D68">
            <w:pPr>
              <w:pStyle w:val="20"/>
              <w:jc w:val="center"/>
              <w:rPr>
                <w:sz w:val="24"/>
              </w:rPr>
            </w:pPr>
            <w:r>
              <w:rPr>
                <w:sz w:val="24"/>
              </w:rPr>
              <w:t>9688,743</w:t>
            </w:r>
          </w:p>
        </w:tc>
      </w:tr>
    </w:tbl>
    <w:p w:rsidR="007D2D68" w:rsidRDefault="007D2D68">
      <w:pPr>
        <w:pStyle w:val="20"/>
      </w:pPr>
    </w:p>
    <w:p w:rsidR="007D2D68" w:rsidRDefault="007D2D68">
      <w:pPr>
        <w:pStyle w:val="20"/>
      </w:pPr>
      <w:r>
        <w:tab/>
        <w:t>Высокая аварийность обусловлена в основном состоянием технических средств и оборудования, которое физически изношено и морально устарело, имеет низкую степень надежности. Многие объекты требуют модернизации или коренной реконструкции, отдельные подлежат выводу из эксплуатации.  Значительная часть оборудования, отработавщего амортизационный срок, продолжается находиться в работе, в результате чего происходят аварии. Особенно велико количество старых систем нефтесбора на предприятиях «Юганскнефтегаз», «ЛУКойл-Урайнефтегаз», «Сургутнефтегаз», «Нижневартовснефтегаз».</w:t>
      </w:r>
    </w:p>
    <w:p w:rsidR="007D2D68" w:rsidRDefault="007D2D68">
      <w:pPr>
        <w:pStyle w:val="20"/>
      </w:pPr>
      <w:r>
        <w:tab/>
        <w:t xml:space="preserve">Аварии являются также вследствие ошибочно принятых в проектах технологических схем добычи, сбора, транспортировки продукции скважин, поддержания пластового давления, отступлений от проектов при их реализации, низкой производственной дисциплины и недостаточной квалификации обслуживающего персонала, отсутствие должного опыта работы в нештатных экстремальных ситуациях. </w:t>
      </w:r>
    </w:p>
    <w:p w:rsidR="007D2D68" w:rsidRDefault="007D2D68">
      <w:pPr>
        <w:pStyle w:val="20"/>
      </w:pPr>
      <w:r>
        <w:tab/>
        <w:t>Основной причиной аварий на трубопроводах является коррозия металла. Коррозия металла нефтесборных коллекторов и водоводов, как правило, ручейковый или питтинговый характер и обусловлена агрессивными физико-химическими свойствами водной фазы добываемой из недр продукции.</w:t>
      </w:r>
    </w:p>
    <w:p w:rsidR="007D2D68" w:rsidRDefault="007D2D68">
      <w:pPr>
        <w:pStyle w:val="20"/>
      </w:pPr>
      <w:r>
        <w:tab/>
        <w:t xml:space="preserve">Объективной оценке воздействия нефтедобывающего комплекса  на окружающую среду препятствует искажение информации о действительных размерах аварийных разливах загрязняющих веществ, а также сокрытие самих аварий. Предприятия, стремясь, уклонится от уплаты экологических платежей, всемерно пытаются занизить площади загрязненных земель и объемы разлитой нефти. </w:t>
      </w:r>
    </w:p>
    <w:p w:rsidR="007D2D68" w:rsidRDefault="007D2D68">
      <w:pPr>
        <w:pStyle w:val="20"/>
      </w:pPr>
      <w:r>
        <w:tab/>
        <w:t xml:space="preserve">Начисляемые предприятиями суммы ущерба далеко не полностью отражают величину реального урона, наносимого окружающей природной среде в виде накопления в почве и донных отложениях токсичных веществ, ухудшения качества воды, снижения био продуктивности  и деградации экосистем. </w:t>
      </w:r>
    </w:p>
    <w:p w:rsidR="007D2D68" w:rsidRDefault="007D2D68">
      <w:pPr>
        <w:pStyle w:val="20"/>
      </w:pPr>
    </w:p>
    <w:p w:rsidR="007D2D68" w:rsidRDefault="007D2D68">
      <w:pPr>
        <w:pStyle w:val="20"/>
        <w:jc w:val="center"/>
        <w:rPr>
          <w:b/>
        </w:rPr>
      </w:pPr>
      <w:r>
        <w:rPr>
          <w:b/>
        </w:rPr>
        <w:t xml:space="preserve">Отходы производства. </w:t>
      </w:r>
    </w:p>
    <w:p w:rsidR="007D2D68" w:rsidRDefault="007D2D68">
      <w:pPr>
        <w:pStyle w:val="20"/>
      </w:pPr>
    </w:p>
    <w:p w:rsidR="007D2D68" w:rsidRDefault="007D2D68">
      <w:pPr>
        <w:pStyle w:val="20"/>
      </w:pPr>
      <w:r>
        <w:tab/>
        <w:t xml:space="preserve">Отходы производства и потребления в загрязнении окружающей среды фактически занимают второе место, после аварий на нефтепроводах. Сбор, обезвреживание, размещение и утилизация отходов – актуальная проблема для округа.  Большая часть производственных отходов образуется на предприятиях нефтегазового комплекса при бурении скважин, транспортировке и хранении нефти.  В 1997 году масса таких отходов измерялась 687 тысяч тонн; из них доля отходов бурения 89%, доля нефтешламов 6,5%.  За предыдущие годы накоплено и не утилизировано около 4,5 миллионов тонн производственных отходов этого состава. </w:t>
      </w:r>
    </w:p>
    <w:p w:rsidR="007D2D68" w:rsidRDefault="007D2D68">
      <w:pPr>
        <w:pStyle w:val="20"/>
      </w:pPr>
      <w:r>
        <w:tab/>
        <w:t>Отходы бурения располагаются на каждой кустовой площадке во временных накопителях – шламовых амбарах. После завершения технологического процесса отходы обезвреживаются, амбар подлежит рекультивации.  По данным комитета по охране окружающей среды на конец 1997 года на территории округа насчитывалось около 2000 шламовых амбаров. Ссылаясь на отсутствие средств, многие нефтегазодобывающие предприятия не выполняют план рекультивации.</w:t>
      </w:r>
    </w:p>
    <w:p w:rsidR="007D2D68" w:rsidRDefault="007D2D68">
      <w:pPr>
        <w:pStyle w:val="20"/>
      </w:pPr>
      <w:r>
        <w:tab/>
        <w:t>Так, например, по Нижневартовскому району в результате инвентаризации было выявлено 1359 старых нерекультивированных амбаров. За предыдущие годы на предприятиях накоплено около 150 тысяч тонн нефтешламов, ежегодно образуются 50 тысяч тонн, из них перерабатывается  6,5% , остальные аккумулируются на промплощадках.  На территории округа организован 31 временный</w:t>
      </w:r>
      <w:r>
        <w:tab/>
        <w:t xml:space="preserve"> шламонакопитель,  построено 2 специально обустроенных полигона промотходов: на Западно-Сургутском месторождении и у поселка Междуреченский. </w:t>
      </w:r>
    </w:p>
    <w:p w:rsidR="007D2D68" w:rsidRDefault="007D2D68">
      <w:pPr>
        <w:pStyle w:val="20"/>
      </w:pPr>
      <w:r>
        <w:tab/>
        <w:t xml:space="preserve">На территории округа пока отсутствуют полигоны по утилизации высокотоксичных промышленных отходов, не организован их централизованный сбор и транспортировка на специализированные полигоны в другие регионы России.  Часть ртутьсодержащих отходов вывозится в Екатеринбург и утилизируется на специальных установках по демеркуризации Екатеринбургским  муниципальным предприятием по решению проблем утилизации  отходов; часть высокотоксичных отходов хранится на промплощадках; встречаются случаи размещения их на свалках твердых бытовых отходах и на несанкционированных свалках. </w:t>
      </w:r>
    </w:p>
    <w:p w:rsidR="007D2D68" w:rsidRDefault="007D2D68">
      <w:pPr>
        <w:pStyle w:val="20"/>
      </w:pPr>
      <w:r>
        <w:tab/>
        <w:t>Продолжается оставаться сложной ситуация с вывозом металлолома. На территории округа отсутствуют предприятия по переработке, централизованному приему и транспортировке металлолома; отходы металлического лома занимают большие площади, захламляют производственные площадки предприятий, берега рек, зеленые зоны городов.  Большое скопление металлолома  наблюдается на месторождениях, на несанкционированных свалках, на свалках ТБО.</w:t>
      </w:r>
    </w:p>
    <w:p w:rsidR="007D2D68" w:rsidRDefault="007D2D68">
      <w:pPr>
        <w:pStyle w:val="20"/>
      </w:pPr>
      <w:r>
        <w:tab/>
        <w:t xml:space="preserve">В округе отсутствует единая система управления по обращению с отходами, этой проблемой занимаются предприятия разной формой собственности и частные лица. </w:t>
      </w:r>
    </w:p>
    <w:p w:rsidR="007D2D68" w:rsidRDefault="007D2D68">
      <w:pPr>
        <w:pStyle w:val="20"/>
      </w:pPr>
      <w:r>
        <w:tab/>
        <w:t xml:space="preserve">Комитетами по охране окружающей среды выдаются разрешения, устанавливаются лимиты на размещение отходов, проводятся проверки, к нарушителям природоохранного законодательства применяются меры административного воздействия в виде штрафов на сумму 647,74 миллионов рублей (в ценах 1997 года); в окружной экологический фонд взыскано 448,07 миллионов рублей. </w:t>
      </w:r>
    </w:p>
    <w:p w:rsidR="007D2D68" w:rsidRDefault="007D2D68">
      <w:pPr>
        <w:pStyle w:val="20"/>
      </w:pPr>
    </w:p>
    <w:p w:rsidR="007D2D68" w:rsidRDefault="007D2D68">
      <w:pPr>
        <w:pStyle w:val="20"/>
        <w:jc w:val="center"/>
        <w:rPr>
          <w:b/>
        </w:rPr>
      </w:pPr>
      <w:r>
        <w:rPr>
          <w:b/>
        </w:rPr>
        <w:t>Заключение.</w:t>
      </w:r>
    </w:p>
    <w:p w:rsidR="007D2D68" w:rsidRDefault="007D2D68">
      <w:pPr>
        <w:pStyle w:val="20"/>
        <w:jc w:val="center"/>
        <w:rPr>
          <w:b/>
        </w:rPr>
      </w:pPr>
    </w:p>
    <w:p w:rsidR="007D2D68" w:rsidRDefault="007D2D68">
      <w:pPr>
        <w:pStyle w:val="20"/>
      </w:pPr>
      <w:r>
        <w:tab/>
        <w:t>В окружающую среду Ханты-Мансийского автономного округа ежегодно выбрасывается огромное количество загрязняющих веществ. Главным источником загрязнения природной среды являются аварийные порывы трубопроводов, обусловленные в основном физическим износом технического оборудования; за 1997 год официально зарегистрировано 2014 аварий.  Остаточное содержание загрязнителя в почвах, вследствие неудовлетворительного качества сбора нефти в местах аварийных разливов, по результатам обследований исчисляется десятками тонн на каждый гектар замазученных земель.</w:t>
      </w:r>
    </w:p>
    <w:p w:rsidR="007D2D68" w:rsidRDefault="007D2D68">
      <w:pPr>
        <w:pStyle w:val="20"/>
      </w:pPr>
      <w:r>
        <w:tab/>
        <w:t xml:space="preserve">С начало 90-х годов существенно выросли объемы выбросов загрязняющих веществ в атмосферный воздух от автомобильного  транспорта – 39% от общего объема выбросов в 1997 году. </w:t>
      </w:r>
    </w:p>
    <w:p w:rsidR="007D2D68" w:rsidRDefault="007D2D68">
      <w:pPr>
        <w:pStyle w:val="20"/>
      </w:pPr>
      <w:r>
        <w:tab/>
        <w:t>Наиболее негативными факторами воздействия на лес округа остаются пожары и нефтедобыча. При обустройстве месторождений, строительстве дорог, ЛЭП, трубопроводов, вырубаются леса, значительное количество древесины не вывозится, нарушая санитарное состояние лесов.  Изменение гидрологического режима территории вследствие промышленного строительства, разливы нефти и подтоварных вод приводят к гибели лесов. Общая площадь погибших за 1997 год лесов составила 2,9 тысяч гектар; сгорело и повреждено на корню 61361 кубических метров на площади 2163 гектар.</w:t>
      </w:r>
    </w:p>
    <w:p w:rsidR="007D2D68" w:rsidRDefault="007D2D68">
      <w:pPr>
        <w:pStyle w:val="20"/>
      </w:pPr>
      <w:r>
        <w:tab/>
        <w:t xml:space="preserve">Вследствие воздействия антропогенных факторов происходит трансформация естественных природных комплексов, видовое обеднение флоры и фауны, снижение био продуктивности. </w:t>
      </w:r>
    </w:p>
    <w:p w:rsidR="007D2D68" w:rsidRDefault="007D2D68">
      <w:pPr>
        <w:pStyle w:val="20"/>
      </w:pPr>
      <w:r>
        <w:tab/>
        <w:t>Неблагоприятную экологическую обстановку в округе обостряет проблемы сбора, размещения, обезвреживания и утилизации токсичных отходов, являющихся вторым по значимости источником загрязнения окружающей среды.</w:t>
      </w:r>
    </w:p>
    <w:p w:rsidR="007D2D68" w:rsidRDefault="007D2D68">
      <w:pPr>
        <w:pStyle w:val="20"/>
      </w:pPr>
      <w:r>
        <w:tab/>
        <w:t xml:space="preserve">Сложившаяся в округе экологическая ситуация требует регулирования техногенного воздействия на окружающую среду, учитывающего не только экономические потребности, но и состояние природных ресурсов. Решение проблем сохранения слабоустойчивой к антропогенному воздействию окружающей среды территории Ханты-Мансийского автономного округа возможно только на основе внедрения в практику эффективного хозяйственного механизма рационального природопользования. </w:t>
      </w:r>
    </w:p>
    <w:p w:rsidR="007D2D68" w:rsidRDefault="007D2D68">
      <w:pPr>
        <w:pStyle w:val="20"/>
      </w:pPr>
      <w:r>
        <w:tab/>
        <w:t>В основу сбалансированного эколого-экономического развития округа должны быть заложены следующие принципы:</w:t>
      </w:r>
    </w:p>
    <w:p w:rsidR="007D2D68" w:rsidRDefault="007D2D68">
      <w:pPr>
        <w:pStyle w:val="20"/>
        <w:numPr>
          <w:ilvl w:val="0"/>
          <w:numId w:val="11"/>
        </w:numPr>
      </w:pPr>
      <w:r>
        <w:t>разработка научно обоснованных нормативно-правовых актов, направленных на перспективное эколого-мотивированное развитие социально-экономической структуры округа;</w:t>
      </w:r>
    </w:p>
    <w:p w:rsidR="007D2D68" w:rsidRDefault="007D2D68">
      <w:pPr>
        <w:pStyle w:val="20"/>
        <w:numPr>
          <w:ilvl w:val="0"/>
          <w:numId w:val="11"/>
        </w:numPr>
      </w:pPr>
      <w:r>
        <w:t>создание эколого-экономического механизма инновационной деятельности;</w:t>
      </w:r>
    </w:p>
    <w:p w:rsidR="007D2D68" w:rsidRDefault="007D2D68">
      <w:pPr>
        <w:pStyle w:val="20"/>
        <w:numPr>
          <w:ilvl w:val="0"/>
          <w:numId w:val="11"/>
        </w:numPr>
      </w:pPr>
      <w:r>
        <w:t>формирование системы экономического стимулирования экологизации производства;</w:t>
      </w:r>
    </w:p>
    <w:p w:rsidR="007D2D68" w:rsidRDefault="007D2D68">
      <w:pPr>
        <w:pStyle w:val="20"/>
        <w:numPr>
          <w:ilvl w:val="0"/>
          <w:numId w:val="11"/>
        </w:numPr>
      </w:pPr>
      <w:r>
        <w:t>стимулирование создания рынков экологических услуг, продукции, технологий и оборудования;</w:t>
      </w:r>
    </w:p>
    <w:p w:rsidR="007D2D68" w:rsidRDefault="007D2D68">
      <w:pPr>
        <w:pStyle w:val="20"/>
        <w:numPr>
          <w:ilvl w:val="0"/>
          <w:numId w:val="11"/>
        </w:numPr>
      </w:pPr>
      <w:r>
        <w:t>привлечение российских и зарубежных инвесторов для финансирования ресурсосберегающих, малоотходных и экологически чистых технологий по добыче и переработке углеводородного сырья;</w:t>
      </w:r>
    </w:p>
    <w:p w:rsidR="007D2D68" w:rsidRDefault="007D2D68">
      <w:pPr>
        <w:pStyle w:val="20"/>
        <w:numPr>
          <w:ilvl w:val="0"/>
          <w:numId w:val="11"/>
        </w:numPr>
      </w:pPr>
      <w:r>
        <w:t>проведение тендеров и аукционов для выбора фирм, гарантирующих применение передовых технологий.</w:t>
      </w:r>
    </w:p>
    <w:p w:rsidR="007D2D68" w:rsidRDefault="007D2D68">
      <w:pPr>
        <w:pStyle w:val="20"/>
        <w:numPr>
          <w:ilvl w:val="0"/>
          <w:numId w:val="11"/>
        </w:numPr>
      </w:pPr>
      <w:r>
        <w:t>Создание единой территориальной автоматизированной системы экологического мониторинга.</w:t>
      </w:r>
    </w:p>
    <w:p w:rsidR="007D2D68" w:rsidRDefault="007D2D68">
      <w:pPr>
        <w:pStyle w:val="20"/>
        <w:ind w:left="-142" w:firstLine="502"/>
      </w:pPr>
      <w:r>
        <w:t>Для смены сложившегося  в предыдущие десятилетия экстенсивного типа развития экономики и перехода к экологически безопасному устойчивому хозяйствованию необходима экологизация нефтегазодобывающей и других отраслей промышленности путем последовательной реализации технологических, управленческих и других решений, позволяющих научно обосновано регулировать техногенное воздействие на природную среду.</w:t>
      </w:r>
    </w:p>
    <w:p w:rsidR="007D2D68" w:rsidRDefault="007D2D68">
      <w:pPr>
        <w:pStyle w:val="20"/>
        <w:ind w:left="-142" w:firstLine="502"/>
      </w:pPr>
      <w:r>
        <w:t xml:space="preserve">Одним из приоритетных направлений  оптимизации природоохранной деятельности является ускоренное внедрение экологического мониторинга в технологические схемы производственно-хозяйственных комплексов, деятельность природоохранных подразделений и ведомств. </w:t>
      </w:r>
    </w:p>
    <w:p w:rsidR="007D2D68" w:rsidRDefault="007D2D68">
      <w:pPr>
        <w:pStyle w:val="20"/>
        <w:ind w:left="-142" w:firstLine="502"/>
      </w:pPr>
      <w:r>
        <w:t>Осмысление происходящего и необходимость выработки новых ориентиров, основанных на концепции экологически устойчивого развития, диктует необходимость постепенного внедрения в жизнь полномасштабной экологизации промышленного производства базирующейся на рациональном использовании природных ресурсов изначально предотвращающей процесс загрязнения окружающей природной  среды.</w:t>
      </w:r>
    </w:p>
    <w:p w:rsidR="007D2D68" w:rsidRDefault="007D2D68">
      <w:pPr>
        <w:pStyle w:val="20"/>
        <w:ind w:left="-142" w:firstLine="502"/>
      </w:pPr>
    </w:p>
    <w:p w:rsidR="007D2D68" w:rsidRDefault="007D2D68">
      <w:pPr>
        <w:pStyle w:val="20"/>
        <w:ind w:left="-142" w:firstLine="502"/>
      </w:pPr>
    </w:p>
    <w:p w:rsidR="007D2D68" w:rsidRDefault="007D2D68">
      <w:pPr>
        <w:pStyle w:val="20"/>
        <w:ind w:left="-142" w:firstLine="502"/>
      </w:pPr>
    </w:p>
    <w:p w:rsidR="007D2D68" w:rsidRDefault="007D2D68">
      <w:pPr>
        <w:pStyle w:val="20"/>
        <w:ind w:left="-142" w:firstLine="502"/>
      </w:pPr>
    </w:p>
    <w:p w:rsidR="007D2D68" w:rsidRDefault="007D2D68">
      <w:pPr>
        <w:pStyle w:val="20"/>
        <w:ind w:left="-142" w:firstLine="502"/>
      </w:pPr>
      <w:r>
        <w:t>Л И Т Е Р А Т У Р А:</w:t>
      </w:r>
    </w:p>
    <w:p w:rsidR="007D2D68" w:rsidRDefault="007D2D68">
      <w:pPr>
        <w:pStyle w:val="20"/>
        <w:ind w:left="-142" w:firstLine="502"/>
      </w:pPr>
    </w:p>
    <w:p w:rsidR="007D2D68" w:rsidRDefault="007D2D68">
      <w:pPr>
        <w:pStyle w:val="20"/>
        <w:numPr>
          <w:ilvl w:val="0"/>
          <w:numId w:val="12"/>
        </w:numPr>
        <w:tabs>
          <w:tab w:val="clear" w:pos="360"/>
          <w:tab w:val="num" w:pos="720"/>
        </w:tabs>
        <w:ind w:left="720"/>
      </w:pPr>
      <w:r>
        <w:t xml:space="preserve">Закон ХМАО «Об охране окружающей природной среды и экологической защите населения автономного округа» от 23.01.98 г. </w:t>
      </w:r>
    </w:p>
    <w:p w:rsidR="007D2D68" w:rsidRDefault="007D2D68">
      <w:pPr>
        <w:pStyle w:val="20"/>
        <w:numPr>
          <w:ilvl w:val="0"/>
          <w:numId w:val="12"/>
        </w:numPr>
        <w:tabs>
          <w:tab w:val="clear" w:pos="360"/>
          <w:tab w:val="num" w:pos="720"/>
        </w:tabs>
        <w:ind w:left="720"/>
      </w:pPr>
      <w:r>
        <w:t>Обзор «О состоянии окружающей среды ХМАО в 1997 году», Х-М: 1998 г. «Государственный комитет по охране окружающей среды ХМАО»</w:t>
      </w:r>
    </w:p>
    <w:p w:rsidR="007D2D68" w:rsidRDefault="007D2D68">
      <w:pPr>
        <w:pStyle w:val="20"/>
        <w:numPr>
          <w:ilvl w:val="0"/>
          <w:numId w:val="12"/>
        </w:numPr>
        <w:tabs>
          <w:tab w:val="clear" w:pos="360"/>
          <w:tab w:val="num" w:pos="720"/>
        </w:tabs>
        <w:ind w:left="720"/>
      </w:pPr>
      <w:r>
        <w:t>«Экологическое право», Ерофеев Б.В., М:1999 г, «Юриспруденция»</w:t>
      </w:r>
    </w:p>
    <w:p w:rsidR="007D2D68" w:rsidRDefault="007D2D68">
      <w:pPr>
        <w:pStyle w:val="20"/>
        <w:numPr>
          <w:ilvl w:val="0"/>
          <w:numId w:val="12"/>
        </w:numPr>
        <w:tabs>
          <w:tab w:val="clear" w:pos="360"/>
          <w:tab w:val="num" w:pos="720"/>
        </w:tabs>
        <w:ind w:left="720"/>
      </w:pPr>
      <w:r>
        <w:t>«Экология ХМАО», Добринский Л.Н., Плотников В.В., Т:1997 г, «Экологический фонд»</w:t>
      </w:r>
    </w:p>
    <w:p w:rsidR="007D2D68" w:rsidRDefault="007D2D68">
      <w:pPr>
        <w:pStyle w:val="20"/>
      </w:pPr>
    </w:p>
    <w:p w:rsidR="007D2D68" w:rsidRDefault="007D2D68">
      <w:pPr>
        <w:pStyle w:val="20"/>
      </w:pPr>
    </w:p>
    <w:p w:rsidR="007D2D68" w:rsidRDefault="007D2D68">
      <w:pPr>
        <w:pStyle w:val="20"/>
        <w:jc w:val="center"/>
        <w:rPr>
          <w:b/>
        </w:rPr>
      </w:pPr>
    </w:p>
    <w:p w:rsidR="007D2D68" w:rsidRDefault="007D2D68">
      <w:pPr>
        <w:pStyle w:val="20"/>
        <w:jc w:val="center"/>
        <w:rPr>
          <w:b/>
        </w:rPr>
      </w:pPr>
    </w:p>
    <w:p w:rsidR="007D2D68" w:rsidRDefault="007D2D68">
      <w:pPr>
        <w:pStyle w:val="20"/>
      </w:pPr>
      <w:r>
        <w:tab/>
      </w:r>
    </w:p>
    <w:p w:rsidR="007D2D68" w:rsidRDefault="007D2D68">
      <w:pPr>
        <w:spacing w:line="360" w:lineRule="auto"/>
        <w:jc w:val="both"/>
      </w:pPr>
      <w:bookmarkStart w:id="0" w:name="_GoBack"/>
      <w:bookmarkEnd w:id="0"/>
    </w:p>
    <w:sectPr w:rsidR="007D2D68">
      <w:footerReference w:type="even" r:id="rId7"/>
      <w:footerReference w:type="default" r:id="rId8"/>
      <w:pgSz w:w="11906" w:h="16838"/>
      <w:pgMar w:top="1418"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D68" w:rsidRDefault="007D2D68">
      <w:r>
        <w:separator/>
      </w:r>
    </w:p>
  </w:endnote>
  <w:endnote w:type="continuationSeparator" w:id="0">
    <w:p w:rsidR="007D2D68" w:rsidRDefault="007D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D68" w:rsidRDefault="007D2D6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7D2D68" w:rsidRDefault="007D2D68">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D68" w:rsidRDefault="007D2D68">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650590">
      <w:rPr>
        <w:rStyle w:val="a6"/>
        <w:noProof/>
      </w:rPr>
      <w:t>1</w:t>
    </w:r>
    <w:r>
      <w:rPr>
        <w:rStyle w:val="a6"/>
      </w:rPr>
      <w:fldChar w:fldCharType="end"/>
    </w:r>
  </w:p>
  <w:p w:rsidR="007D2D68" w:rsidRDefault="007D2D68">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D68" w:rsidRDefault="007D2D68">
      <w:r>
        <w:separator/>
      </w:r>
    </w:p>
  </w:footnote>
  <w:footnote w:type="continuationSeparator" w:id="0">
    <w:p w:rsidR="007D2D68" w:rsidRDefault="007D2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325F9"/>
    <w:multiLevelType w:val="singleLevel"/>
    <w:tmpl w:val="F0CEA0C4"/>
    <w:lvl w:ilvl="0">
      <w:start w:val="1"/>
      <w:numFmt w:val="decimal"/>
      <w:lvlText w:val="%1."/>
      <w:lvlJc w:val="left"/>
      <w:pPr>
        <w:tabs>
          <w:tab w:val="num" w:pos="-491"/>
        </w:tabs>
        <w:ind w:left="-491" w:hanging="360"/>
      </w:pPr>
      <w:rPr>
        <w:rFonts w:hint="default"/>
      </w:rPr>
    </w:lvl>
  </w:abstractNum>
  <w:abstractNum w:abstractNumId="1">
    <w:nsid w:val="213E0329"/>
    <w:multiLevelType w:val="singleLevel"/>
    <w:tmpl w:val="0419000F"/>
    <w:lvl w:ilvl="0">
      <w:start w:val="1"/>
      <w:numFmt w:val="decimal"/>
      <w:lvlText w:val="%1."/>
      <w:lvlJc w:val="left"/>
      <w:pPr>
        <w:tabs>
          <w:tab w:val="num" w:pos="360"/>
        </w:tabs>
        <w:ind w:left="360" w:hanging="360"/>
      </w:pPr>
    </w:lvl>
  </w:abstractNum>
  <w:abstractNum w:abstractNumId="2">
    <w:nsid w:val="2C5904B5"/>
    <w:multiLevelType w:val="multilevel"/>
    <w:tmpl w:val="0FF81988"/>
    <w:lvl w:ilvl="0">
      <w:start w:val="1"/>
      <w:numFmt w:val="upperRoman"/>
      <w:pStyle w:val="7"/>
      <w:lvlText w:val="%1."/>
      <w:lvlJc w:val="left"/>
      <w:pPr>
        <w:tabs>
          <w:tab w:val="num" w:pos="720"/>
        </w:tabs>
        <w:ind w:left="720" w:hanging="72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40692E58"/>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4">
    <w:nsid w:val="414070B4"/>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
    <w:nsid w:val="48B76162"/>
    <w:multiLevelType w:val="singleLevel"/>
    <w:tmpl w:val="04190013"/>
    <w:lvl w:ilvl="0">
      <w:start w:val="5"/>
      <w:numFmt w:val="upperRoman"/>
      <w:lvlText w:val="%1."/>
      <w:lvlJc w:val="left"/>
      <w:pPr>
        <w:tabs>
          <w:tab w:val="num" w:pos="720"/>
        </w:tabs>
        <w:ind w:left="720" w:hanging="720"/>
      </w:pPr>
      <w:rPr>
        <w:rFonts w:hint="default"/>
      </w:rPr>
    </w:lvl>
  </w:abstractNum>
  <w:abstractNum w:abstractNumId="6">
    <w:nsid w:val="4D4643D8"/>
    <w:multiLevelType w:val="multilevel"/>
    <w:tmpl w:val="E43C6AB2"/>
    <w:lvl w:ilvl="0">
      <w:start w:val="2"/>
      <w:numFmt w:val="decimal"/>
      <w:lvlText w:val="%1."/>
      <w:lvlJc w:val="left"/>
      <w:pPr>
        <w:tabs>
          <w:tab w:val="num" w:pos="465"/>
        </w:tabs>
        <w:ind w:left="465" w:hanging="465"/>
      </w:pPr>
      <w:rPr>
        <w:rFonts w:hint="default"/>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nsid w:val="52000068"/>
    <w:multiLevelType w:val="singleLevel"/>
    <w:tmpl w:val="04190013"/>
    <w:lvl w:ilvl="0">
      <w:start w:val="1"/>
      <w:numFmt w:val="upperRoman"/>
      <w:lvlText w:val="%1."/>
      <w:lvlJc w:val="left"/>
      <w:pPr>
        <w:tabs>
          <w:tab w:val="num" w:pos="720"/>
        </w:tabs>
        <w:ind w:left="720" w:hanging="720"/>
      </w:pPr>
      <w:rPr>
        <w:rFonts w:hint="default"/>
      </w:rPr>
    </w:lvl>
  </w:abstractNum>
  <w:abstractNum w:abstractNumId="8">
    <w:nsid w:val="553E000B"/>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5E077D9F"/>
    <w:multiLevelType w:val="multilevel"/>
    <w:tmpl w:val="46DA99FA"/>
    <w:lvl w:ilvl="0">
      <w:start w:val="1"/>
      <w:numFmt w:val="decimal"/>
      <w:lvlText w:val="%1."/>
      <w:lvlJc w:val="left"/>
      <w:pPr>
        <w:tabs>
          <w:tab w:val="num" w:pos="645"/>
        </w:tabs>
        <w:ind w:left="645" w:hanging="64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643A4824"/>
    <w:multiLevelType w:val="singleLevel"/>
    <w:tmpl w:val="AD005854"/>
    <w:lvl w:ilvl="0">
      <w:start w:val="1"/>
      <w:numFmt w:val="decimal"/>
      <w:lvlText w:val="%1."/>
      <w:lvlJc w:val="left"/>
      <w:pPr>
        <w:tabs>
          <w:tab w:val="num" w:pos="480"/>
        </w:tabs>
        <w:ind w:left="480" w:hanging="480"/>
      </w:pPr>
      <w:rPr>
        <w:rFonts w:hint="default"/>
      </w:rPr>
    </w:lvl>
  </w:abstractNum>
  <w:abstractNum w:abstractNumId="11">
    <w:nsid w:val="77683513"/>
    <w:multiLevelType w:val="singleLevel"/>
    <w:tmpl w:val="0419000F"/>
    <w:lvl w:ilvl="0">
      <w:start w:val="1"/>
      <w:numFmt w:val="decimal"/>
      <w:lvlText w:val="%1."/>
      <w:lvlJc w:val="left"/>
      <w:pPr>
        <w:tabs>
          <w:tab w:val="num" w:pos="360"/>
        </w:tabs>
        <w:ind w:left="360" w:hanging="360"/>
      </w:pPr>
      <w:rPr>
        <w:rFonts w:hint="default"/>
      </w:rPr>
    </w:lvl>
  </w:abstractNum>
  <w:num w:numId="1">
    <w:abstractNumId w:val="0"/>
  </w:num>
  <w:num w:numId="2">
    <w:abstractNumId w:val="7"/>
  </w:num>
  <w:num w:numId="3">
    <w:abstractNumId w:val="6"/>
  </w:num>
  <w:num w:numId="4">
    <w:abstractNumId w:val="10"/>
  </w:num>
  <w:num w:numId="5">
    <w:abstractNumId w:val="11"/>
  </w:num>
  <w:num w:numId="6">
    <w:abstractNumId w:val="8"/>
  </w:num>
  <w:num w:numId="7">
    <w:abstractNumId w:val="5"/>
  </w:num>
  <w:num w:numId="8">
    <w:abstractNumId w:val="3"/>
  </w:num>
  <w:num w:numId="9">
    <w:abstractNumId w:val="2"/>
  </w:num>
  <w:num w:numId="10">
    <w:abstractNumId w:val="9"/>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0590"/>
    <w:rsid w:val="00094A0F"/>
    <w:rsid w:val="00650590"/>
    <w:rsid w:val="007D2D68"/>
    <w:rsid w:val="00FD05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A056E2-19AD-4CD3-A8AE-73A92B1D1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32"/>
    </w:rPr>
  </w:style>
  <w:style w:type="paragraph" w:styleId="2">
    <w:name w:val="heading 2"/>
    <w:basedOn w:val="a"/>
    <w:next w:val="a"/>
    <w:qFormat/>
    <w:pPr>
      <w:keepNext/>
      <w:jc w:val="center"/>
      <w:outlineLvl w:val="1"/>
    </w:pPr>
    <w:rPr>
      <w:b/>
      <w:sz w:val="40"/>
    </w:rPr>
  </w:style>
  <w:style w:type="paragraph" w:styleId="3">
    <w:name w:val="heading 3"/>
    <w:basedOn w:val="a"/>
    <w:next w:val="a"/>
    <w:qFormat/>
    <w:pPr>
      <w:keepNext/>
      <w:outlineLvl w:val="2"/>
    </w:pPr>
    <w:rPr>
      <w:sz w:val="24"/>
    </w:rPr>
  </w:style>
  <w:style w:type="paragraph" w:styleId="4">
    <w:name w:val="heading 4"/>
    <w:basedOn w:val="a"/>
    <w:next w:val="a"/>
    <w:qFormat/>
    <w:pPr>
      <w:keepNext/>
      <w:jc w:val="center"/>
      <w:outlineLvl w:val="3"/>
    </w:pPr>
    <w:rPr>
      <w:sz w:val="24"/>
    </w:rPr>
  </w:style>
  <w:style w:type="paragraph" w:styleId="5">
    <w:name w:val="heading 5"/>
    <w:basedOn w:val="a"/>
    <w:next w:val="a"/>
    <w:qFormat/>
    <w:pPr>
      <w:keepNext/>
      <w:jc w:val="both"/>
      <w:outlineLvl w:val="4"/>
    </w:pPr>
    <w:rPr>
      <w:b/>
      <w:sz w:val="32"/>
    </w:rPr>
  </w:style>
  <w:style w:type="paragraph" w:styleId="6">
    <w:name w:val="heading 6"/>
    <w:basedOn w:val="a"/>
    <w:next w:val="a"/>
    <w:qFormat/>
    <w:pPr>
      <w:keepNext/>
      <w:jc w:val="both"/>
      <w:outlineLvl w:val="5"/>
    </w:pPr>
    <w:rPr>
      <w:sz w:val="28"/>
    </w:rPr>
  </w:style>
  <w:style w:type="paragraph" w:styleId="7">
    <w:name w:val="heading 7"/>
    <w:basedOn w:val="a"/>
    <w:next w:val="a"/>
    <w:qFormat/>
    <w:pPr>
      <w:keepNext/>
      <w:numPr>
        <w:numId w:val="9"/>
      </w:numPr>
      <w:tabs>
        <w:tab w:val="clear" w:pos="720"/>
      </w:tabs>
      <w:spacing w:line="360" w:lineRule="auto"/>
      <w:ind w:left="426" w:hanging="426"/>
      <w:jc w:val="both"/>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48"/>
    </w:rPr>
  </w:style>
  <w:style w:type="paragraph" w:styleId="a4">
    <w:name w:val="Body Text"/>
    <w:basedOn w:val="a"/>
    <w:semiHidden/>
    <w:pPr>
      <w:jc w:val="both"/>
    </w:pPr>
    <w:rPr>
      <w:b/>
      <w:sz w:val="32"/>
    </w:rPr>
  </w:style>
  <w:style w:type="paragraph" w:styleId="20">
    <w:name w:val="Body Text 2"/>
    <w:basedOn w:val="a"/>
    <w:semiHidden/>
    <w:pPr>
      <w:spacing w:line="360" w:lineRule="auto"/>
      <w:jc w:val="both"/>
    </w:pPr>
    <w:rPr>
      <w:sz w:val="28"/>
    </w:rPr>
  </w:style>
  <w:style w:type="paragraph" w:styleId="30">
    <w:name w:val="Body Text 3"/>
    <w:basedOn w:val="a"/>
    <w:semiHidden/>
    <w:pPr>
      <w:jc w:val="center"/>
    </w:pPr>
    <w:rPr>
      <w:b/>
      <w:sz w:val="28"/>
    </w:rPr>
  </w:style>
  <w:style w:type="paragraph" w:styleId="a5">
    <w:name w:val="footer"/>
    <w:basedOn w:val="a"/>
    <w:semiHidden/>
    <w:pPr>
      <w:tabs>
        <w:tab w:val="center" w:pos="4153"/>
        <w:tab w:val="right" w:pos="8306"/>
      </w:tabs>
    </w:pPr>
  </w:style>
  <w:style w:type="character" w:styleId="a6">
    <w:name w:val="page number"/>
    <w:basedOn w:val="a0"/>
    <w:semiHidden/>
  </w:style>
  <w:style w:type="paragraph" w:styleId="a7">
    <w:name w:val="Body Text Indent"/>
    <w:basedOn w:val="a"/>
    <w:semiHidden/>
    <w:pPr>
      <w:ind w:firstLine="360"/>
      <w:jc w:val="both"/>
    </w:pPr>
    <w:rPr>
      <w:sz w:val="28"/>
    </w:rPr>
  </w:style>
  <w:style w:type="paragraph" w:styleId="21">
    <w:name w:val="Body Text Indent 2"/>
    <w:basedOn w:val="a"/>
    <w:semiHidden/>
    <w:pPr>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4654</Words>
  <Characters>26531</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 </Company>
  <LinksUpToDate>false</LinksUpToDate>
  <CharactersWithSpaces>31123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Irina</cp:lastModifiedBy>
  <cp:revision>2</cp:revision>
  <cp:lastPrinted>2000-05-05T07:13:00Z</cp:lastPrinted>
  <dcterms:created xsi:type="dcterms:W3CDTF">2014-08-15T16:37:00Z</dcterms:created>
  <dcterms:modified xsi:type="dcterms:W3CDTF">2014-08-15T16:37:00Z</dcterms:modified>
</cp:coreProperties>
</file>