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7D" w:rsidRDefault="00F20C7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78508724"/>
      <w:bookmarkStart w:id="1" w:name="_Toc378508970"/>
      <w:bookmarkStart w:id="2" w:name="_Toc378524501"/>
      <w:r>
        <w:rPr>
          <w:b/>
          <w:bCs/>
          <w:color w:val="000000"/>
          <w:sz w:val="32"/>
          <w:szCs w:val="32"/>
        </w:rPr>
        <w:t>Органы суда и процесс по Псковской Судной грамоте</w:t>
      </w:r>
    </w:p>
    <w:bookmarkEnd w:id="0"/>
    <w:bookmarkEnd w:id="1"/>
    <w:bookmarkEnd w:id="2"/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носил состязательный характер.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суда усиливалась: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вызов в суд по повестке (“позовнице”);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через судебного исполнителя (“позовника”)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Судебные доказательства: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видаки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послухи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ордалии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вещественные доказательства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присяга. За клятвопреступление - казнь.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Новый вид судебного доказательства - судебный поединок. Поле строго регламентировалось. Орудия: от жердей до мечей. Отказ от поля - проигрыш.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Новый вид судебного доказательства - письменные доказательства. Они подразделялись на “доски” (частные расписки) и “записи” (официально заверенные документы.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Собственное признание не упоминалось.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Возникает институт судебного представительства в судебном поединке (“пособничество”), которым могли пользоваться только женщины, подростки, монахи, старые люди.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Разрешенные судом дела пересмотру не подлежали. </w:t>
      </w:r>
    </w:p>
    <w:p w:rsidR="00F20C7D" w:rsidRDefault="00F20C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 Русской Правды.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Начинался по инициативе истца, стороны обладали в нем равными правами, судопроизводство было гласным и устным, значительная роль “ордалии” (суд божий), присяги, жребия.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стадии процесса: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“Заклич” объявление совершившемся преступлении, производился в людном месте, “на торгу”, объявлялось о пропаже вещи, обладавшей индивидуальными признаками, которую можно было опознать. Если вещь обнаруживалась по истечении трех дней с момента заклича, то тот, у кого она находилась, считался ответчиком (ст. 32, 34 ПП). Если лицо настаивало на том, что вещь принадлежит ему - суд 12 мужей. Если нет, купил - то на свод.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“Свод” напоминал очную ставку. Либо до заклича, либо в срок до истечения 3 дней после заклича. Лицо давало объяснение, откуда он достал краденую вещь. Если не мог - таковой признавался татем. Если свод выходил за пределы населенного пункта, то свод до 3 лица. Он уплачивал собственнику и сам продолжал свод. Свод мог продолжаться 3 раза (до 3 людей)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“Гонение следа” - поиск док-в и преступника. Потерпевшие, члены рода и добровольцы.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Виндикационый процесс. Судоговорение. Речь, док-ва.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Вынесение решения (приговора):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если уголовное дело - приговор немедленно приводился в исполнение.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если гражданское дело - необходимость заключения договора об исполнении суда (3-6 месяцев). Если нет - право истца терялось. </w:t>
      </w:r>
    </w:p>
    <w:p w:rsidR="00F20C7D" w:rsidRDefault="00F20C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78507286"/>
      <w:bookmarkStart w:id="4" w:name="_Toc378508725"/>
      <w:bookmarkStart w:id="5" w:name="_Toc378508971"/>
      <w:bookmarkStart w:id="6" w:name="_Toc378524502"/>
      <w:r>
        <w:rPr>
          <w:b/>
          <w:bCs/>
          <w:color w:val="000000"/>
          <w:sz w:val="28"/>
          <w:szCs w:val="28"/>
        </w:rPr>
        <w:t>Органы суда и процесс по ПСГ</w:t>
      </w:r>
      <w:bookmarkEnd w:id="3"/>
      <w:bookmarkEnd w:id="4"/>
      <w:bookmarkEnd w:id="5"/>
      <w:bookmarkEnd w:id="6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Псковское судоустройство основано на двойственной организации всякого суда, т.е. всякий трибунал состоит из княжеских и общинно-вечевых органов: центральное судилище- “господа”- состоит из князя, посадника и сотских- представителей общин. Хотя и указывается на отдельный суд княжий (ст.1) и посадничий (ст.3,6),но в действительности они судят всегда вместе. Такой же двойственный состав имеют и служебные органы суда: нераздельно действуют княжий человек и сотский (ст.18), дьяки княжий и городской (79), подверники по одному человеку от князя и от Пскова (59)- для наблюдения за порядком в суде. Провинциальное судоустройство имеет такой же двойственный характер: в пригородах управляют и судят посадники (ст.77) и княжеские наместники.</w:t>
      </w:r>
    </w:p>
    <w:p w:rsidR="00F20C7D" w:rsidRDefault="00F20C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Судопроизводство.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форма процесса уже с древнейших времен заключала в себе 3 стадии: 1) установление сторон, 2)производство суда, 3)исполнение решения. Но наряду с общей существовали и другие формы, в которых недоставало той или другой из указанных частей процесса.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1.Стороны.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 стороны именовались истцами (ст.62), или сутяжниками (ст.58). Понятие о государстве как истце, в делах уголовных, еще не существовало, следовательно не было различия между уголовным и гражданским, следственным и обвинительным процессом. Но уже с довольно ранних времен государство помогает частному истцу в преследовании обвиняемых (65,98).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Сторонами по общему порядку во всех делах являлись частные лица. Но под частными лицами в древние времена подразумевались не лица физические: тогда истцами и ответчиками выступали семья, род и община. По русскому праву первоначальная обязанность общины отвечать по искам об убийстве не подлежит сомнению; из нее возникла круговая порука, по которой община является уже не только ответчиком, но и судьей по преступлениям.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при иске к суду являлись целые толпы родственников и соседей. Это сохранилось до издания ПСГ. ПСГ запрещает ходить на суд “помочью”, приказывая “лезть в судебницу только двум сутяжникам”.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семьи, рода, общины, истцами и ответчиками являлись юридические лица в собственном смысле, обычно в полном составе своих членов- физических лиц (ст.70).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заключить, что правоспособность имела безграничные пределы: могли искать женщины, дети (21), в НСГ упоминается о рабах.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законодателем возник вопрос: всякое ли лицо должно непременно лично являться в суд или могло выставить за себя представителя. В эпоху ПСГ судебное представительство получило широкое распространение. По ПСГ право иметь представителя имели женщины, дети, монашествующие, старики и глухие. Кроме естественных представителей можно было выставить как ответчика всякое стороннее лицо с одним исключением: лица, обличенные общественной (административной) властью не могли быть частными поверенными (68-69). Это делалось для предотвращения давления на судью.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право того времени еще неохотно допускало развитие ремесла поверенных: ПСГ запрещала одному поверенному вести два дела в один день (71). Оставалось еще немало процессуальных действий, которые не могли были быть выполнены наемником (целование креста 36).</w:t>
      </w:r>
    </w:p>
    <w:p w:rsidR="00F20C7D" w:rsidRDefault="00F20C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Суд 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 есть борьба сторон перед судьей. То, что сегодня мы называем судебные доказательства, в то время были средствами сторон, Суд лишь регулировал и уравнивал эти средства. Средства были следующими: 1.Послухи, 2.Суды Божии, 3.акты.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Число послухов в эпоху русской правды было различным от2, до12. ПСГ упрощает эту процедуру, во всех делах, требующих послушества, выступает только 1 послух (27), свидетелей же может быть несколько (27,55). Послуха обязан был выставлять только один истец, свидетелей же могли выставлять обе стороны.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послуха на суде.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1). Послух должен быть на суде, его неявка вела за собой потерю иска для стороны его выставившей (22).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2). Послух должен был подтвердить словесно все, что говорила сторона, его выставившая. Если он недоговорит, или переговорит, все его послушество теряло всякое значение (22).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 Послух должен был выступать на судебный поединок с ответчиком.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Суды Божии.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Жребий.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Рота (крестное целование).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ПСГ признает присягу окончательным способом решения дел, возникающих из договоров личного найма между землевладельцем и крестьянином (41-42,51), между мастером и учеником (102) и в исках между родственниками совладельцами. Самостоятельное значение присяги должно быть признано и во всех тех случаях, где присяга являлась альтернативой поля (17,92,101,20,55). При судебных поединках рота предшествует полю, составляя как бы его необходимую первую часть (36).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эпоху судных грамот присягали не обе стороны вместе и не жребий решал выбор между ними, а одно общее правило: ответчику предоставлялось либо самому принести присягу, или предоставить присягу истцу. (92,101,20)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Ордалии.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Поле.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Существенное условие судебного поединка- равенство сторон, преимущественно в смысле физического равенства. Отсюда следующие положения: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Мужчина против мужчины, женщина против женщины (119). Старые, дети, монахи не могли выходить против здоровых и сильных. Слабейшая сторона получала право иметь наймитов. Послух не мог иметь наймита (21).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Равенство оружия.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и место. При поединке должны были присутствовать чиновники суда.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Сфера применения поединка совпадает с применением ордалии, иски, возникающие из преступлений (27). Поле имело место в исках о поземельной собственности, в которых право обоих сторон утверждалось равносильными письменными актами (10). Поле применялось в исках не требующих формального заключения сделки (92,101). Во всех других случаях поле запрещено (28).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3.Акты.</w:t>
      </w:r>
    </w:p>
    <w:p w:rsidR="00F20C7D" w:rsidRDefault="00F20C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7" w:name="_Toc378507287"/>
      <w:bookmarkStart w:id="8" w:name="_Toc378508726"/>
      <w:bookmarkStart w:id="9" w:name="_Toc378508972"/>
      <w:bookmarkStart w:id="10" w:name="_Toc378524503"/>
      <w:r>
        <w:rPr>
          <w:b/>
          <w:bCs/>
          <w:color w:val="000000"/>
          <w:sz w:val="28"/>
          <w:szCs w:val="28"/>
        </w:rPr>
        <w:t>Обязательственное и наследственное право по ПСГ</w:t>
      </w:r>
      <w:bookmarkEnd w:id="7"/>
      <w:bookmarkEnd w:id="8"/>
      <w:bookmarkEnd w:id="9"/>
      <w:bookmarkEnd w:id="10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1" w:name="_Toc378507288"/>
      <w:r>
        <w:rPr>
          <w:color w:val="000000"/>
          <w:sz w:val="24"/>
          <w:szCs w:val="24"/>
        </w:rPr>
        <w:t>Общая характеристика обязательств.</w:t>
      </w:r>
      <w:bookmarkEnd w:id="11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Основанное на обмене и частной инициативе обязательственное право Пскова было весьма развитым. Из 120 статей ПСГ можно отнести к обязательствам около 40, т.е. 1 треть. Законодатель отдает явное предпочтение: 1) имущественной ответственности должников, 2) письменным формам заключения сделок, 3) равенству положения сторон в договорах без учета сословного положения. Свободные граждане не имели различий в гражданско-правовых отношениях и вступали в договоры на основе свободного волеизъявления и частной инициативы. В задачу государственных органов входила такая регламентация договора, которая обеспечивала бы ответственность сторон. Есть основания полагать, что при заключении договоров женщины выступали на равных основаниях с мужчинами. Трудно определить в какой степени могли совершать сделки холопы. Ничего не говорит ПСГ о возрасте лиц, вступающих в обязательства.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Устное заключение сделок требовало обязательного присутствия свидетелей. При заключении письменных договоров (запись) копия могла передаваться администрации, сделки на сумму свыше 1 рубля требовали, как правило, письменного договора. Имелся и вариант записей на досках до 1 рубля как более упрощенная форма договора, не требующая передачи копии.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2" w:name="_Toc378507289"/>
      <w:r>
        <w:rPr>
          <w:color w:val="000000"/>
          <w:sz w:val="24"/>
          <w:szCs w:val="24"/>
        </w:rPr>
        <w:t>Договор купли-продажи.</w:t>
      </w:r>
      <w:bookmarkEnd w:id="12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ПСГ, проданные вещи должны быть доброкачественными. Например, при покупке больной коровы сделка расторгалась и покупателю возвращались деньги (ст.118). Вещи должны были принадлежать продавцу на законном основании. При предъявлении иска о краденых вещах со стороны третьих лиц обязанность доказывания законности сделки лежала на продавце (ст. 46, 47, 56). Сделка, заключенная в пьяном виде, считалась недействительной и могла оспариваться стороной. (ст.114). Сделки о недвижимости должны были заключаться в письменной форме, при свидетелях.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 мены упоминается лишь однажды (ст.114), он также мог расторгаться при заключении в пьяном виде. Иными словами, законодатель стремился к тому, чтобы сделки заключались сторонами сознательно, отдавая отчет своим действиям. Поэтому сделки умалишенных или заключенные под угрозой также, видимо, могли оспариваться и расторгаться.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3" w:name="_Toc378507290"/>
      <w:r>
        <w:rPr>
          <w:color w:val="000000"/>
          <w:sz w:val="24"/>
          <w:szCs w:val="24"/>
        </w:rPr>
        <w:t>Договор заклада.</w:t>
      </w:r>
      <w:bookmarkEnd w:id="13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Недвижимость могла быть предметом заклада, оформленного соответствующим актом. Заключение подобных договоров свидетельствует о наличие индивидуального частного хозяйства, о разрыве общинных связей мелких собственников, способных определять юридическую судьбу принадлежавшей им недвижимости.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4" w:name="_Toc378507291"/>
      <w:r>
        <w:rPr>
          <w:color w:val="000000"/>
          <w:sz w:val="24"/>
          <w:szCs w:val="24"/>
        </w:rPr>
        <w:t>Договор займа.</w:t>
      </w:r>
      <w:bookmarkEnd w:id="14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Займ на сумму до 1 рубля мог совершаться в устной форме при свидетелях и без залога. Чтобы обеспечить интересы кредитора, при сделках свыше 1 рубля представлялся имущественный залог, без которого иск запрещалось рассматривать (ст.30). Разновидностью займа была денежная ссуда (ст.101), она не требовала заклада, но должна была письменно оформляться с передачей копии администрации. При ссуде могли устанавливаться проценты. В случае досрочного расторжения договора кредитор терял право на взимание процентов (ст.73-74).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Последствия невыполнения условий должником в ПСГ подробно не оговариваются.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5" w:name="_Toc378507292"/>
      <w:r>
        <w:rPr>
          <w:color w:val="000000"/>
          <w:sz w:val="24"/>
          <w:szCs w:val="24"/>
        </w:rPr>
        <w:t>Договор дарения.</w:t>
      </w:r>
      <w:bookmarkEnd w:id="15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Собственник мог подарить движимое и недвижимое имущество родственникам (ст.100) в присутствие священника и свидетелей. При составлении соответствующих документов новый собственник вступал во владение подаренным имуществом и в том случае, если он не был упомянут в завещании.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6" w:name="_Toc378507293"/>
      <w:r>
        <w:rPr>
          <w:color w:val="000000"/>
          <w:sz w:val="24"/>
          <w:szCs w:val="24"/>
        </w:rPr>
        <w:t>Договор поклажи.</w:t>
      </w:r>
      <w:bookmarkEnd w:id="16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заключении договора поклажи (хранения) требовалось его письменное оформление с передачей копии властям ( 14, 16-19, 45, 103). В документах о поклаже должно было подробно перечисляться имущество, без чего иск о хранении не принимался.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7" w:name="_Toc378507294"/>
      <w:r>
        <w:rPr>
          <w:color w:val="000000"/>
          <w:sz w:val="24"/>
          <w:szCs w:val="24"/>
        </w:rPr>
        <w:t>Договор поручительства.</w:t>
      </w:r>
      <w:bookmarkEnd w:id="17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торговых операциях довольно часто возникала нужда в наличных деньгах. Поручитель обязывался за нуждающегося, и закон устанавливал, что подобные сделки могут заключаться на сумму не свыше одного рубля. (ст.33). Поручитель отвечал за доверенное лицо собственными средствами.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8" w:name="_Toc378507295"/>
      <w:r>
        <w:rPr>
          <w:color w:val="000000"/>
          <w:sz w:val="24"/>
          <w:szCs w:val="24"/>
        </w:rPr>
        <w:t>Наследственное право.</w:t>
      </w:r>
      <w:bookmarkEnd w:id="18"/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Сущность наследования в Пскове представляет дальнейшую стадию развития права наследства по сравнению с Русской Правдой.</w:t>
      </w:r>
    </w:p>
    <w:p w:rsidR="00F20C7D" w:rsidRDefault="00F20C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Наследование по завещанию.</w:t>
      </w:r>
    </w:p>
    <w:p w:rsidR="00F20C7D" w:rsidRDefault="00F20C7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19" w:name="_GoBack"/>
      <w:bookmarkEnd w:id="19"/>
    </w:p>
    <w:sectPr w:rsidR="00F20C7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2C8"/>
    <w:rsid w:val="00216492"/>
    <w:rsid w:val="005572C8"/>
    <w:rsid w:val="00C8320B"/>
    <w:rsid w:val="00F2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999462E-9BD6-45BD-80F3-71FFCF39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sz w:val="24"/>
      <w:szCs w:val="24"/>
    </w:rPr>
  </w:style>
  <w:style w:type="paragraph" w:customStyle="1" w:styleId="a3">
    <w:name w:val="текст сноски"/>
    <w:basedOn w:val="a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знак сноски"/>
    <w:uiPriority w:val="99"/>
    <w:rPr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7">
    <w:name w:val="номер страницы"/>
    <w:uiPriority w:val="99"/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0">
    <w:name w:val="оглавление 1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</w:rPr>
  </w:style>
  <w:style w:type="paragraph" w:customStyle="1" w:styleId="Times">
    <w:name w:val="Times"/>
    <w:basedOn w:val="a"/>
    <w:uiPriority w:val="99"/>
    <w:pPr>
      <w:overflowPunct w:val="0"/>
      <w:autoSpaceDE w:val="0"/>
      <w:autoSpaceDN w:val="0"/>
      <w:adjustRightInd w:val="0"/>
      <w:ind w:right="-51"/>
      <w:jc w:val="center"/>
      <w:textAlignment w:val="baseline"/>
    </w:pPr>
    <w:rPr>
      <w:b/>
      <w:bCs/>
      <w:u w:val="single"/>
    </w:rPr>
  </w:style>
  <w:style w:type="paragraph" w:customStyle="1" w:styleId="20">
    <w:name w:val="оглавление 2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textAlignment w:val="baseline"/>
    </w:pPr>
    <w:rPr>
      <w:smallCaps/>
    </w:rPr>
  </w:style>
  <w:style w:type="paragraph" w:customStyle="1" w:styleId="30">
    <w:name w:val="оглавление 3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200"/>
      <w:textAlignment w:val="baseline"/>
    </w:pPr>
    <w:rPr>
      <w:i/>
      <w:iCs/>
    </w:rPr>
  </w:style>
  <w:style w:type="paragraph" w:customStyle="1" w:styleId="4">
    <w:name w:val="оглавление 4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400"/>
      <w:textAlignment w:val="baseline"/>
    </w:pPr>
    <w:rPr>
      <w:sz w:val="18"/>
      <w:szCs w:val="18"/>
    </w:rPr>
  </w:style>
  <w:style w:type="paragraph" w:customStyle="1" w:styleId="5">
    <w:name w:val="оглавление 5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customStyle="1" w:styleId="6">
    <w:name w:val="оглавление 6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customStyle="1" w:styleId="7">
    <w:name w:val="оглавление 7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customStyle="1" w:styleId="8">
    <w:name w:val="оглавление 8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customStyle="1" w:styleId="9">
    <w:name w:val="оглавление 9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aa">
    <w:name w:val="Body Text"/>
    <w:basedOn w:val="a"/>
    <w:link w:val="ab"/>
    <w:uiPriority w:val="99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7606</Words>
  <Characters>4336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Органы суда и процесс по Псковской Судной грамоте</vt:lpstr>
    </vt:vector>
  </TitlesOfParts>
  <Company>PERSONAL COMPUTERS</Company>
  <LinksUpToDate>false</LinksUpToDate>
  <CharactersWithSpaces>11919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Органы суда и процесс по Псковской Судной грамоте</dc:title>
  <dc:subject/>
  <dc:creator>USER</dc:creator>
  <cp:keywords/>
  <dc:description/>
  <cp:lastModifiedBy>admin</cp:lastModifiedBy>
  <cp:revision>2</cp:revision>
  <dcterms:created xsi:type="dcterms:W3CDTF">2014-01-26T09:29:00Z</dcterms:created>
  <dcterms:modified xsi:type="dcterms:W3CDTF">2014-01-26T09:29:00Z</dcterms:modified>
</cp:coreProperties>
</file>