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651DE2" w:rsidRDefault="00651DE2" w:rsidP="00651DE2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b/>
          <w:color w:val="000000"/>
          <w:sz w:val="28"/>
          <w:szCs w:val="28"/>
        </w:rPr>
        <w:t>Эксклюзионная хроматография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916C4" w:rsidRPr="00651DE2">
        <w:rPr>
          <w:rFonts w:ascii="Times New Roman" w:hAnsi="Times New Roman" w:cs="Times New Roman"/>
          <w:b/>
          <w:color w:val="000000"/>
          <w:sz w:val="28"/>
          <w:szCs w:val="28"/>
        </w:rPr>
        <w:t>Основные понятия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Эксклюзионная хроматография представляет собой вариант жидкостной хроматографии, в котором разделение происходит за счет распределения молекул между растворителем, находящимся внутри пор сорбента, и растворителем, протекающим между его частицами.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В отличие от остальных вариантов ВЭЖХ, где разделение идет за счет различного взаимодействия компонентов с поверхностью сорбента, роль твердого наполнителя в эксклюзионной хроматографии заключается только в формировании пор определенного размера, а неподвижной фазой является растворитель, заполняющий эти поры. Поэтому применение термина «сорбент» к данным наполнителям в определенной степени условно.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Принципиальной особенностью метода является возможность разделения молекул по их размеру в растворе в диапазоне практически любых молекулярных масс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от 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до 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8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 что делает его незаменимым для исследования синтетических и биополимеров.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По традиции процесс, проводимый в органических растворителях, все еще часто называют гель-проникающей, а в водных системах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DE2">
        <w:rPr>
          <w:rFonts w:ascii="Times New Roman" w:hAnsi="Times New Roman" w:cs="Times New Roman"/>
          <w:color w:val="000000"/>
          <w:sz w:val="28"/>
          <w:szCs w:val="28"/>
        </w:rPr>
        <w:t>гель-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фильтрационной хроматографией. Принят единый термин, который происходит от английского «Size Exclusion»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исключение по размеру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и в наиболее полной степени отражает механизм процесса.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Детальный разбор существующих представлений о весьма сложной теории процесса эксклюзионной хроматографии проведен в монографиях. Мы рассмотрим только принципиальные основы метода, достаточные для практической работы.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Объем эксклюзионной колонки можно выразить суммой трех слагаемых: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с=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о+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916C4" w:rsidRPr="007029E1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где Vо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мертвый объем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объем растворителя между частицами сорбента (объем подвижной фазы);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объем пор, занятый растворителем (объем неподвижной фазы);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Vd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>объем матрицы сорбента без учета пор.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Полный объем растворителя в колонке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(его часто называют полным объемом колонки, так как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не принимает участия в хроматографическом процессе) представляет собой суммy объемов подвижной и неподвижной фаз: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о+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Удерживание молекул в эксклюзионной колонке определяется вероятностью их диффузии в поры и зависит от соотношения размеров молекул и пор, что схематически показано на 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.15. Коэффициент распределения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 как и в других вариантах хроматографии, представляет собой отношение концентраций вещества в неподвижной и подвижной фазах: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= С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/ Со.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Так как подвижная и неподвижная фазы имеют одинаковый состав, то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вещества, для которого обе фазы одинаково доступны, равен единице. Эта ситуация реализуется для молекул с самыми малыми размерами (в том числе и молекул растворителя), которые проникают во все поры (см. 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.15) и поэтому движутся через колонку наиболее медленно. Их удерживаемый объем равен полному объему растворителя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651DE2" w:rsidP="00651DE2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6170A"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i1025" type="#_x0000_t75" style="width:100.5pt;height:87pt;visibility:visible">
            <v:imagedata r:id="rId5" o:title=""/>
          </v:shape>
        </w:pic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Модель разделения молекул по размеру в эксклюзионной храматографии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Все молекулы, размер которых больше размера пор сорбента, не могут попасть в них (полная эксклюзия) и проходят по каналам между частицами. Они элюируются из колонки с одним и тем же удерживаемым объемом, равным объему подвижной фазы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Коэффициент распределения для этих молекул равен нулю.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Молекулы промежуточного размера, способные проникать только в какую-то часть пор, удерживаются в колонке в соответствии с их размером. Коэффициент распределения этих молекул изменяется в пределах от нуля до единицы и характеризует долю объема пор, доступных для молекул данного размера. Их удерживаемый объем определяется суммой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доступной части объема пор: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KdVi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Отсюда следует еще одно существенное отличие эксклюзионной хроматографии: в данном методе разделение заканчивается до выхода пика растворителя, в то время как в других вариантах ВЭЖХ компоненты смеси элюируются после пика растворителя.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Параметр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' в эксклюзионной хроматографии обычно не используют. Его можно выразить уравнением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' =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KdVi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Для большинства современных сорбентов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Vi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≈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' ≈ 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Kd</w:t>
      </w:r>
      <w:r w:rsidR="00A916C4"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Связь между удерживаемым объемом и молекулярной массой (или размером молекул) образца описывается калибровочной кривой (рис.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.16). Каждый сорбент характеризуется своей калибровочной кривой, по которой легко оценить область разделяемых на нем молекулярных масс. Точка А соответствует пределу эксклюзии, или мертвому объему колонки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 Все молекулы, масса которых больше, чем в точке А, будут элюироваться одним пиком с удерживаемым объемом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Vo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 Точка В отражает предел проникания, и все молекулы, масса которых меньше, чем в точке В, также будут выходить из колонки одним пиком с удерживаемым объемом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 Между точками А и В располагается диапазон селективного разделения. Соответствующий ему объем Vi=Vt-Vo часто называют рабочим объемом колонки. Отрезок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собой линейный участок калибровочной кривой, построенной в координатах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VR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IgM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Этот участок описывается уравнением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Vr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1 –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lgM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отрезок, отсекаемый на оси ординат продолжением отрезка СD,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тангенс угла наклона этого отрезка к оси ординат.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Величину С2 называют разделительной емкостью колонки; ее выражают числом миллилитров растворителя, приходящегося на один порядок изменения молекулярной массы. Чем больше разделительная емкость, тем селективнее разделение в данном диапазоне масс. В нелинейных областях калибровочной кривой (участки АС 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BD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) в связи с уменьшением С2 эффективность фракционирования заметно снижается. Кроме того, нелинейная связь между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IgM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Vr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существенно усложняет обработку данных и снижает точность результатов. Поэтому всегда нужно стремиться выбирать колонку (или набор колонок) так, чтобы разделение анализируемого полимера протекало в пределах линейного участка калибровочной кривой.</w:t>
      </w:r>
    </w:p>
    <w:p w:rsidR="00A916C4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Если какое-либо вещество элюируется с удерживаемым объемом больше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 то это указывает на проявление других механизмов разделения (чаще всего адсорбционного). Адсорбционные эффекты обычно проявляются на жестких сорбентах, но иногда наблюдаются и на полужестких гелях, видимо, из-за повышенного сродства к матрице геля. Примером может служить адсорбция ароматических соединений на стирол-дивинилбензольных гелях.</w:t>
      </w:r>
    </w:p>
    <w:p w:rsidR="00651DE2" w:rsidRPr="007029E1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D6170A" w:rsidP="007029E1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shape id="Рисунок 19" o:spid="_x0000_i1026" type="#_x0000_t75" style="width:109.5pt;height:117.75pt;visibility:visible">
            <v:imagedata r:id="rId6" o:title=""/>
          </v:shape>
        </w:pic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Калибровочная кривая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Советские исследователи предложили теорию единого механизма жидкостной хроматографии полимеров на жестких гелях, из которой следует, что изменением параметров взаимодействия в системе полимер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сорбент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растворитель можно переходить от адсорбционного механизма к эксклюзионному и наоборот. В общем случае в эксклюзионной хроматографии нужно стремиться полностью подавить адсорбционные и другие побочные эффекты, так как они, особенно при исследовании молекулярно-массового распределения (ММР) полимеров, могут существенно исказить результаты анализа.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Принципиальными отличиями эксклюзионной хроматографии от других вариантов являются заранее известная продолжительность анализа в конкретной используемой системе, возможность предсказания порядка элюирования компонентов по размеру их молекул, примерно одинаковая ширина пиков во всем диапазоне селективного разделения и уверенность в выходе всех компонентов пробы за достаточно короткий промежуток времени, соответствующий объему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Vt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 Хотя данный метод применяют, главным образом, для исследования ММР полимеров и анализа макромолекул биологического происхождения (белки, нуклеиновые кислоты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и т.д.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), указанные особенности делают его чрезвычайно перспективным для анализа низкомолекулярных примесей в полимерах и предварительного разделения проб неизвестного состава. Получаемая при этом информация существенно облегчает выбор наилучшего варианта ВЭЖХ для анализа данной пробы. Кроме того, микропрепаративное эксклюзионное разделение часто используют в качестве первого этапа при разделении сложных смесей путем комбинации различных видов ВЭЖХ.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Ограниченный диапазон коэффициентов распределения определяет и главный недостаток эксклюзионной хроматографии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заметно меньшее, чем в других вариантах ВЭЖХ, число пиков, которые могут быть полностью разделены на колонке заданной эффективности. Однако в последнее время благодаря успехам достигнутым в технологии изготовления высокоэффективных колонок, этот метод все шире применяют и для разделения малых молекул.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651DE2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аппаратуры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Аппаратура для эксклюзионной хроматографии принципиально ничем не отличается от той, которую используют в других видах ВЭЖХ. Эксклюзионное разделение можно осуществить на любом жидкостном хроматографе, установив в него соответствующие колонки. Характеристики аппаратуры влияют главным образом на точность получаемых результатов. Специфичными для данного метода являются только некоторые детекторы и особые требования к системам обработки данных.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Из всех вариантов ВЭЖХ в эксклюзионной хроматографии полимеров предъявляются наиболее жесткие требования к стабильности потока подвижной фазы. Поэтому нужно использовать насосные системы с точностью подачи не хуже 0,3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В лучших насосах, разработанных специально для данного метода, нестабильность скорости потока снижена до 0,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Между дозатором и колонками весьма желательно устанавливать фильтр с минимальным мертвым объемом, так как забивание входного фильтра колонки при анализе полимеров происходит гораздо чаще, чем в других видах ВЭЖХ.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Точность результатов в экоклюзионной хроматографии полимеров заметно зависит от температуры. При ее изменении на 10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ошибка определения средних молекулярных масс превышает ±1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[23]. Поэтому в данном варианте ВЭЖХ термостатирование разделительной системы обязательно.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Дозатор и колонки обычно размещают в одном термостате. Как правило, достаточна точность поддержания температуры ±1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до 80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В некоторых случаях, например, при анализе полиэтилена и полипропилена, рабочая температура составляет 135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150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также принимать меры для предотвращения заметных изменений температуры в линии, соединяющей колонку с детектором. При рабочих температурах до 40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длине линии 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ее целесообразно изготавливать из фторопластового капилляра с наружным диаметром около 1,5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, внутренним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0,3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При более высоких температурах требуется термостатирование капилляра.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 детектором в эксклюзионной хроматографии полимеров является дифференциальный рефрактометр. При работе с этим детектором следует помнить, что в диапазоне примерно до 5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его сигнал зависит от молекулярной массы полимера. Поэтому при исследовании полимеров, содержащих значительное количество низкомолекулярных фракций, в процессе обработки результатов нужно вводить соответствующие поправки или, если это возможно, проводить специальную калибровку детектора. Из детекторов, разработанных специально для анализа полимеров, следует упомянуть вискозиметрический детектор и проточный лазерный нефелометр (детектор малоуглового лазерного светорассеяния). Эти детекторы в комбинации с рефрактометром или другим концентрационным детектором позволяют непрерывно определять молекулярную массу полимера в элюенте. При их использовании отпадает необходимость калибровки разделительной системы по исследуемому полимеру, но обработка информации может осуществляться только на ЭВМ. Вискозиметрический детектор, кроме того, является очень удобным</w:t>
      </w:r>
      <w:r w:rsidR="00651DE2">
        <w:rPr>
          <w:rFonts w:ascii="Times New Roman" w:hAnsi="Times New Roman" w:cs="Times New Roman"/>
          <w:color w:val="000000"/>
          <w:sz w:val="28"/>
          <w:szCs w:val="28"/>
        </w:rPr>
        <w:t xml:space="preserve"> прибором для исследования длин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ноцепной разветвленности синтетических полимеров.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Обычные электронные интеграторы, используемые в ВЭЖХ индивидуальных соединений, непригодны для обработки данных, получаемых при эксклюзионной хроматографии полимеров. Для этой цели используют мини-компьютеры, которые выполняют по специальным программам необходимые вычисления и выдают результаты опреде-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ления в виде средних молекулярных характеристик или кривых ММР. Современные приборы могут быть оснащены дополнительными устройствами для полной автоматизации анализа. Применение автоматических дозаторов в сочетании с мини-компьютером позволяет выполнять различные калибровки, выдавать в требуемой форме данные по ММР, проводить их статистический анализ без участия операторов.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Как отмечалось выше, в настоящее время анализ полимеров проводят в основном на обычной хроматографической аппаратуре. Однако существуют и специальные приборы, предназначенные преимущественно для определения ММР полимеров. К ним относится, в частности, микрогельхроматограф ХЖ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309. Технические характеристики хроматографа приведены в приложении 14.6. Этот уникальный прибор оснащен высокочувствительным лазерным рефрактометром с вместимостью кюветы 0,1 мкл [24] и микроколонками диаметром 0,5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с эффективностью около 30 тыс. т. т./м. Продолжительность анализа составляет 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мин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, а расход растворителя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приблизительно 100 мкл на один анализ, что позволяет работать с особо дефицитными и сверхочищенными растворителями. Калибровку прибора и обработку результатов проводят на ЭВМ с пакетом программ, обеспечивающих выполнение любых расчетов, необходимых в эксклюзионной хроматографии полимеров.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651DE2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b/>
          <w:color w:val="000000"/>
          <w:sz w:val="28"/>
          <w:szCs w:val="28"/>
        </w:rPr>
        <w:t>Выбор сорбента</w:t>
      </w: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Выбор сорбентов, обеспечивающих оптимальные условия для решения конкретной аналитической задачи, проводят в несколько этапов. Первоначально на основе данных о химическом составе или растворимости анализируемых веществ устанавливают, какой вариант процесса следует применить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хроматографию в водных системах или в органических растворителях, что в значительной степени определяет тип необходимого сорбента. Разделение веществ низкой и средней полярности в органических растворителях можно успешно осуществить как на полужестких, так и на жестких гелях. Исследование ММР гидрофобных полимеров, содержащих полярные группы, чаще проводят на колонках со стирол-дивинилбензольными гелями, так как в этом случае практически не проявляются адсорбционные эффекты и не требуется добавка модификаторов к подвижной фазе, что значительно упрощает подготовку и регенерацию растворителя.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Для работы в водных системах используют главным образом жесткие сорбенты; иногда очень хорошие результаты удается получить на полужестких гелях специальных типов. Затем по калибровочным кривым или данным о диапазоне фракционирования, приведенным в гл.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 выбирают сорбент нужной пористости с учетом имеющихся сведений о молекулярной массе образца. Если анализируемая смесь содержит вещества, отличающиеся по молекулярной массе не более чем на 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,5 порядка, то обычно удается разделить их на колонках с одним размером пор. При более широком диапазоне масс следует использовать наборы из нескольких колонок с сорбентами различной пористости. Ориентировочно калибровочную зависимость в этом случае получают сложением кривых для отдельных сорбентов.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На выбранных таким образом колонках выполняют пробный анализ и при необходимости вносят изменения в систему колонок для оптимизации разделения. Оптимизацию приходится проводить, если колонки не обеспечивают требуемого диапазона разделения или эффективности разделения.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сложным является выбор системы колонок для разделения синтетических полимеров, имеющих широкое ММР. Обычно для этой цели применяли наборы из трех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пяти колонок, содержащих сорбенты с последовательно возрастающим размером пор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(например, µ-стирогель 102+103+104+105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⊕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)*, области разделения которых перекрываются. При этом, как правило, получали калибровочную зависимость с линейным диапазоном около трех порядков и с достаточно большими криволинейными участками, а продолжительность анализа (при наиболее типичной скорости потока 1 мл/мин) составляла 40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мин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Главным недостатком данной калибровки является существенное ухудшение селективности разделения на криволинейных участках, что заметно снижает точность результатов. Кроме того, резко усложняется обработка экспериментальных дан-ных. Поэтому особое значение имеет выбор такой разделительной системы, которая характеризуется линейной зависимостью логарифма молекулярной массы полимера от удерживаемого объема. В этом случае можно рассматривать хроматограмму как зеркальное отображение дифференциальной кривой ММР в логарифмическом масштабе.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Предложен принцип бимодального распределения размеров пор, который позволяет составлять наборы колонок с значительно лучшими рабочими характеристиками. В соответствии с этим принципом, для составления набора колонок с линейной калибровочной зависимостью в широком интервале молекулярных масс нужно использовать только два сорбента с размерами пор, отличающихся на один-полтора порядка и имеющих умеренно узкое распределение пор по размеру. Разделительная емкость С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колонок с этими сорбентами должна быть примерно одинаковой. Полученные бимодальные наборы колонок, как правило, имеют линейный участок калибровочной кривой, перекрывающий около четырех порядков изменения молекулярной массы, и умеренную разрешающую способность. За счет сокращения числа колонок соответственно уменьшается продолжительность разделения. Так, бимодальные наборы, выпускаемые фирмой «Дюпон» и состоящие из колонок с зорбаксами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PSM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0 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PSM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000 длиной по 25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 имеют линейную калибровку в диапазоне молекулярных масс от 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до 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гарантированную эффективность не менее 20 000 т. т.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Дальнейшие исследования показали, что необходимое распределение пор сорбента по размерам, обеспечивающее линейную калибровку в любом заданном диапазоне молекулярных масс, в общем случае является мультимодальным и может быть рассчитано на ЭВМ.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Таким образом, имея несколько сорбентов разной пористости с известным распределением пор по размеру, можно рассчитать состав смешанного «линейного» сорбента.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Так, калибровочная зависимость тримодального сорбента на основе макропористых стекол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в диапазоне молекулярных масс от 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до 4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имела значительно более высокую степень линейности, чем у бимодальных наборов, описанных в работе.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Линейные наборы можно составлять и из колонок с полужесткими гелями. Приведем пример составления линейного набора из колонок с стирогелями в том случае, когда разделительная емкость первой колонки заметно меньше, чем второй. Полученная калибровочная зависимость представляет собой ломаную линию с точкой излома, соответствующей молекулярной массе около 20 000 (верхний предел селективного диапазона первой колонки). При подключении еще одной колонки с размером пор 500 Д разделительная емкость в диапазоне масс до 20 000 увеличилась примерно вдвое, а калибровочная зависимость набора стала практически линейной в диапазоне молекулярных масс от 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до 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По мнению Йоу с сотр., колонки с жесткими гелями лучше подходят для сочетания в бимодальные наборы, так как свойства этих сорбентов более стабильны от партии к партии. Однако следует отметить, что в последние годы качество колонок с полужесткими гелями и воспроизводимость их характеристик значительно улучшились. Отмечено, что современные полимерные сорбенты более однородны по размерам пор, чем сорбенты на основе силикагелей [28]. Опыт работы одного из авторов с колонками типа ц-сферогель показал, что соединение различных колонок требуемой пористости, взятых «через одну» (например, 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+10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 или 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+10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0), в большинстве случаев позволяет получить линейную калибровочную зависимость в диапазоне около 4 порядков.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Оптимизацию разделительной системы целесообразно рассмотреть на примере исследования образца, о котором не известно ничего, кроме растворимости (в воде или в органическом растворителе). Предварительное разделение образца проводят на бимодальном наборе колонок с широким диапазоном разделения. В зависимости от вида получаемой хроматограммы (рис.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 изменяют разделительную систему в соответствии с рекомендациями, приведенными ниже.</w:t>
      </w:r>
    </w:p>
    <w:p w:rsidR="00A916C4" w:rsidRPr="007029E1" w:rsidRDefault="00A916C4" w:rsidP="007029E1">
      <w:pPr>
        <w:widowControl/>
        <w:numPr>
          <w:ilvl w:val="0"/>
          <w:numId w:val="1"/>
        </w:numPr>
        <w:shd w:val="clear" w:color="auto" w:fill="FFFFFF"/>
        <w:tabs>
          <w:tab w:val="left" w:pos="2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Набор оптимален.</w:t>
      </w:r>
    </w:p>
    <w:p w:rsidR="00A916C4" w:rsidRPr="007029E1" w:rsidRDefault="00A916C4" w:rsidP="007029E1">
      <w:pPr>
        <w:widowControl/>
        <w:numPr>
          <w:ilvl w:val="0"/>
          <w:numId w:val="1"/>
        </w:numPr>
        <w:shd w:val="clear" w:color="auto" w:fill="FFFFFF"/>
        <w:tabs>
          <w:tab w:val="left" w:pos="2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Недостаточный диапазон разделения: имеются высокомолекулярные фракции, попадающие в область эксклюзии. Необходимо добавить колонку с более крупными порами.</w:t>
      </w:r>
    </w:p>
    <w:p w:rsidR="00651DE2" w:rsidRDefault="00A916C4" w:rsidP="007029E1">
      <w:pPr>
        <w:widowControl/>
        <w:numPr>
          <w:ilvl w:val="0"/>
          <w:numId w:val="1"/>
        </w:numPr>
        <w:shd w:val="clear" w:color="auto" w:fill="FFFFFF"/>
        <w:tabs>
          <w:tab w:val="left" w:pos="2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Имеются фракции, попадающие в область эксклюзии; колонка II не участвует в разделении. Необходимо заменить ее на колонку с более крупными порами, чем у колонки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651DE2" w:rsidP="00651DE2">
      <w:pPr>
        <w:widowControl/>
        <w:shd w:val="clear" w:color="auto" w:fill="FFFFFF"/>
        <w:tabs>
          <w:tab w:val="left" w:pos="264"/>
        </w:tabs>
        <w:spacing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6170A"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shape id="Рисунок 20" o:spid="_x0000_i1027" type="#_x0000_t75" style="width:90.75pt;height:161.25pt;visibility:visible">
            <v:imagedata r:id="rId7" o:title=""/>
          </v:shape>
        </w:pict>
      </w:r>
    </w:p>
    <w:p w:rsidR="00A916C4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. Различные виды хроматограмм неизвестного образца: 1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область разделения крупнопористой колонки; 2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область разделения мелкопористой колонки</w:t>
      </w:r>
    </w:p>
    <w:p w:rsidR="00651DE2" w:rsidRPr="007029E1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A916C4" w:rsidP="007029E1">
      <w:pPr>
        <w:widowControl/>
        <w:numPr>
          <w:ilvl w:val="0"/>
          <w:numId w:val="2"/>
        </w:numPr>
        <w:shd w:val="clear" w:color="auto" w:fill="FFFFFF"/>
        <w:tabs>
          <w:tab w:val="left" w:pos="2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Колонка II не участвует в разделении. Следует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две колонки типа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7029E1" w:rsidRDefault="00A916C4" w:rsidP="007029E1">
      <w:pPr>
        <w:widowControl/>
        <w:numPr>
          <w:ilvl w:val="0"/>
          <w:numId w:val="2"/>
        </w:numPr>
        <w:shd w:val="clear" w:color="auto" w:fill="FFFFFF"/>
        <w:tabs>
          <w:tab w:val="left" w:pos="26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Улучшение разделения можно получить на двух колонках со средним размером пор.</w:t>
      </w:r>
    </w:p>
    <w:p w:rsidR="00651DE2" w:rsidRDefault="00A916C4" w:rsidP="007029E1">
      <w:pPr>
        <w:widowControl/>
        <w:shd w:val="clear" w:color="auto" w:fill="FFFFFF"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Недостаточная селективность разделения; колонка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не участвует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1DE2">
        <w:rPr>
          <w:rFonts w:ascii="Times New Roman" w:hAnsi="Times New Roman" w:cs="Times New Roman"/>
          <w:color w:val="000000"/>
          <w:sz w:val="28"/>
          <w:szCs w:val="28"/>
        </w:rPr>
        <w:t>в разделении.</w:t>
      </w:r>
    </w:p>
    <w:p w:rsidR="00A916C4" w:rsidRPr="007029E1" w:rsidRDefault="00A916C4" w:rsidP="007029E1">
      <w:pPr>
        <w:widowControl/>
        <w:shd w:val="clear" w:color="auto" w:fill="FFFFFF"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Следует использовать две колонки типа II.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Если в любом из рассмотренных вариантов необходимо повысить эффективность разделения, то следует удвоить число колонок, входящих в выбранный набор.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Описанный процесс оптимизации не учитывает особенностей, связанных с адсорбцией анализируемых веществ и другими побочными явлениями. Устранение адсорбции за счет модификации подвижной фазы рассмотрено ниже.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Для предотвращения специфических затруднений, возникающих при эксклюзионной хроматографии биололимеров, витаминов и различных лабильных соединений, в последнее время чаще всего используют сорбенты с привитой карбогидратной (типа диол) или эфирной фазой (µ-бондагель Е) и полимерные сорбенты, предназначенные для работы в водных средах.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Выбор растворителя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Растворители, применяемые в эксклюзионной хроматографии, должны удовлетворять следующим основным требованиям:</w:t>
      </w:r>
    </w:p>
    <w:p w:rsidR="00A916C4" w:rsidRPr="007029E1" w:rsidRDefault="00A916C4" w:rsidP="007029E1">
      <w:pPr>
        <w:widowControl/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полностью растворять образец при температуре разделения;</w:t>
      </w:r>
    </w:p>
    <w:p w:rsidR="00A916C4" w:rsidRPr="007029E1" w:rsidRDefault="00A916C4" w:rsidP="007029E1">
      <w:pPr>
        <w:widowControl/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смачивать поверхность сорбента и не ухудшать эффективность колонки;</w:t>
      </w:r>
    </w:p>
    <w:p w:rsidR="00A916C4" w:rsidRPr="007029E1" w:rsidRDefault="00A916C4" w:rsidP="007029E1">
      <w:pPr>
        <w:widowControl/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предотвращать адсорбцию (и другие взаимодействия) разделяемых веществ с поверхностью сорбента;</w:t>
      </w:r>
    </w:p>
    <w:p w:rsidR="00A916C4" w:rsidRPr="007029E1" w:rsidRDefault="00A916C4" w:rsidP="007029E1">
      <w:pPr>
        <w:widowControl/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обеспечивать максимально высокую чувствительность детектирования;</w:t>
      </w:r>
    </w:p>
    <w:p w:rsidR="00A916C4" w:rsidRPr="007029E1" w:rsidRDefault="00A916C4" w:rsidP="007029E1">
      <w:pPr>
        <w:widowControl/>
        <w:numPr>
          <w:ilvl w:val="0"/>
          <w:numId w:val="3"/>
        </w:numPr>
        <w:shd w:val="clear" w:color="auto" w:fill="FFFFFF"/>
        <w:tabs>
          <w:tab w:val="left" w:pos="278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иметь низкую вязкость и токсичность.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Кроме того, при анализе полимеров имеет существенное значение термодинамическое качество растворителя: весьма желательно, чтобы он был «хорошим» по отношению к разделяемому полимеру и матрице геля. Свойства, наиболее распространенных растворителей для эксклюзионной хроматографии приведены в приложении 2.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Растворимость образца обычно является главным лимитирующим фактором, ограничивающим ассортимент пригодных подвижных фаз. В приложении 3 указаны основные типы полимеров, которые целесообразно анализировать в тех или иных растворителях.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Наилучшим органическим растворителем для эксклюзионной хроматографии синтетических полимеров по комплексу свойств является тетрагидрофуран. Он обладает уникальной растворяющей способностью, низкой вязкостью и токсичностью, лучше многих других растворителей совместим со стирол-дивинил-бензольными гелями и, как правило, обеспечивает высокую чувствительность детектирования при использовании рефрактометра или УФ-детектора в области до 220 нм. Для анализа высокополярных и нерастворимых в тетрагидрофуране полимеров (полиамиды, полиакрилонитрил, полиэтилен-терефталат, полиуретаны и др.) обычно используют диметилформамид или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-крезол, а разделение полимеров низкой полярности, например</w:t>
      </w:r>
      <w:r w:rsidR="00651DE2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каучуков и полисилок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санов, часто проводят в толуоле или хлороформе. Последний является также одним из лучших растворителей при работе с ИК-детектором.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-Дихлорбензол и 1,2,4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рихлор-бензол применяют для высокотемпературной хроматографии полиолефинов (обычно при 13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°С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), которые в других условиях не растворяются. Эти растворители имеют очень высокий показатель преломления, поэтому иногда их целесообразно использовать вместо тетрагидрофурана для анализа полимеров с низким коэффициентом преломления, что позволяет повысить чувствительность при детектировании рефрактометром.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окисления растворителей и полужестких гелей в условиях высокотемпературной эксклюзионной хроматографии к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-дихлорбензолу и 1,2,4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рихлор-бензолу добавляют антиокислители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1,3 г/л 2,6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и-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mреm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утил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етилфенола (алко-фен БП, ионол) или 0,4 г/л 4,4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/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-тиo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(6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рет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-бyтил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етилфенол) а (тиоалкофен БМ, сантонокс </w:t>
      </w:r>
      <w:r w:rsidRPr="007029E1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Жесткие сорбенты совместимы с любыми подвижными фазами, имеющими рН&lt;8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,5; при более высоких значениях рН силикагель начинает растворяться и колонка необратимо теряет эффективность. Стирол-дивинилбензольные гели совместимы в основном с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элюентами умеренной полярности. Для работы на колонках с µ-стирогелем (от 10</w:t>
      </w:r>
      <w:r w:rsidRPr="007029E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⊕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выше), по данным фирмы «Уотерс», пригодны тетрагидрофуран, ароматические и хлорированные углеводороды, гексан, циклогексан, диоксан, трифторэтанол, гексафтор-пропанол и диметилформамид.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Степень набухания частиц геля в различных растворителях неодинакова, поэтому замена элюента в колонках с данными сорбентами может привести к снижению эффективности за счет изменения объема геля и образования пустот. При использовании неподходящих растворителей (ацетон, спирты) происходит столь сильная усадка геля, что колонка оказывается безнадежно испорченной. У сорбентов с малым размером пор (типа µ-стирогеля 100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⊕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и 500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⊕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) такая усадка наблюдается как в полярных, так и в неполярных растворителях, поэтому с ними, кроме того, нельзя работать в насыщенных углеводородах, фторированных спиртах и диметилформамиде. Удобным, хотя и весьма дорогим выходом из положения является использование отдельных наборов колонок для каждого применяемого растворителя. Некоторые фирмы с этой целью выпускают колонки с одним и тем же размером пор, заполненные разными растворителями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тетрагидро-фураном, толуолом, хлороформом и диметилформамидом.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Для предотвращения усадки геля рекомендуется следующий способ замены растворителя: колонку, содержащую растворитель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, присоединяют к насосу, устанавливают скорость потока растворителя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0,3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,5 мл/мин, проводят градиентное изменение состава элюента от 0 до 10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растворителя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со скоростью 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/мин и промывают с той же скоростью растворителем </w:t>
      </w:r>
      <w:r w:rsidRPr="007029E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в течение 1,5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. Резкое изменение полярности растворителя почти всегда приводит к ухудшению характеристик колонки, и его лучше вообще избегать. Если такая замена все же необходима, то следует использовать промежуточный растворитель. Так, толуол сначала заменяют на тетрагидрофуран и через 1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дня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на диметилформамид. Падение эффективности при этом будет меньше, чем при одностадийной замене растворителя. В любом случае замена подвижной фазы в высоко-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эффективных колонках с полужесткими гелями остается весьма деликатной операцией, требующей особой осторожности. В принципе возможно приготовление таких колонок и для работы с полярными растворителями. Нужный растворитель при этом используют при набивке колонки. Однако вследствие малой набухаемости гелей в этих растворителях получаемые колонки обычно имеют более низкую эффективность.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При разделении макромолекул основной вклад в размывание полосы определяется затрудненной массопередачей. К сожалению, многие из применяемых элюентов имеют высокую вязкость. Для снижения вязкости (а также для улучшения растворимости) экс-клюзионную хроматографию часто проводят при повышенных температурах, что существенно улучшает эффективность хроматографической системы.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Анализ большинства полимеров на жестких гелях часто осложняется их адсорбцией. Для подавления адсорбции обычно используют растворители, которые адсорбируются на насадке колонки сильнее, чем анализируемые вещества. Если по каким-либо причинам это невозможно, то подвижную фазу модифицируют добавкой 0,1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 полярного модификатора, например тетрагидрофурана. Значительно более сильными модификаторами являются этиленгликоль и полигликоли с различной молекулярной массой (ПЭГ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00, ПЭГ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 xml:space="preserve">00, карбовакс 20 М). Иногда, например при анализе поликислот в диметилформамиде, требуется добавка достаточно сильных кислот. Следует отметить, что полностью устранить адсорбцию добавкой модификаторов удается не всегда. В таких случаях нужно использовать полужесткие гели. Некоторые полимеры хорошо растворяются только в высоко полярных растворителях (ацетон, диметилсульфоксид 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и т.п.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), несовместимых со стирол-дивинилбензольными гелями. При их разделении на жестких сорбентах выбор растворителя проводят в соответствии с общими принципами, изложенными выше.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9E1">
        <w:rPr>
          <w:rFonts w:ascii="Times New Roman" w:hAnsi="Times New Roman" w:cs="Times New Roman"/>
          <w:color w:val="000000"/>
          <w:sz w:val="28"/>
          <w:szCs w:val="28"/>
        </w:rPr>
        <w:t>Иная ситуация имеет место при проведении эксклюзионной хроматографии в водных средах. Из-за специфических особенностей многих разделяемых систем (белки, ферменты, полиэлектролиты и др.) и разнообразия применяемых сорбентов существует очень много вариаций состава подвижной фазы для подавления различных нежелательных эффектов. Общими приемами модификации является добавка различных солей и применение буферных растворов с определенным значением рН. В частности, поддержание рН=&lt;4 дает возможность подавить слабую ионообменную активность силикагелей, обусловленную присутствием на их поверхности кислых силанольных групп. Требуемая ионная сила подвижной фазы достигается при концентрации буферного раствора 0,05</w:t>
      </w:r>
      <w:r w:rsidR="007029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029E1" w:rsidRPr="007029E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,6 М; оптимальную концентрацию подбирают экспериментально. Для предотвращения ионообменной сорбции катионных соединений наиболее часто используют такой активный модификатор, как тетраметиламмонийфосфат при рН</w:t>
      </w:r>
      <w:r w:rsidRPr="007029E1">
        <w:rPr>
          <w:rFonts w:ascii="Cambria Math" w:hAnsi="Cambria Math" w:cs="Cambria Math"/>
          <w:color w:val="000000"/>
          <w:sz w:val="28"/>
          <w:szCs w:val="28"/>
        </w:rPr>
        <w:t>≅</w:t>
      </w:r>
      <w:r w:rsidRPr="007029E1">
        <w:rPr>
          <w:rFonts w:ascii="Times New Roman" w:hAnsi="Times New Roman" w:cs="Times New Roman"/>
          <w:color w:val="000000"/>
          <w:sz w:val="28"/>
          <w:szCs w:val="28"/>
        </w:rPr>
        <w:t>3. Однако при разделении некоторых белков могут проявляться гидрофобные взаимодействия, в свою очередь осложняющие эксклюзионный механизм разделения. Те же эффекты иногда проявляются и при работе с дезактивированными гидрофильными сорбентами. Для их устранения к растворителю добавляют метанол. Иногда в водную подвижную фазу вводят полярные органические растворители, полигликоли, кислоты, основания и поверхностно-активные вещества.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1DE2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7029E1" w:rsidRDefault="00651DE2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651DE2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A916C4" w:rsidRPr="007029E1" w:rsidRDefault="00A916C4" w:rsidP="007029E1">
      <w:pPr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Aleksandrov M.L.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e.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a./J. High Resol. Chromatogr. Commun, 1983, v. 6, No. 11, p. 629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631.</w:t>
      </w:r>
    </w:p>
    <w:p w:rsidR="00A916C4" w:rsidRPr="00651DE2" w:rsidRDefault="00A916C4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 xml:space="preserve">Yau W., Grinnard G., Kirkland 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/./J. 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Chromatogr., 1978, v. 149, p. 465.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Виленчик Л.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3. и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dp.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/ Высокомол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 xml:space="preserve">. соед., 1980, т. А22, 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1, с.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2801–2804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Нестеров В.В.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dp.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/ Высокомол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 xml:space="preserve">. соед., 1984, т. Б26, 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№3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163–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167.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>Benson J.R.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 xml:space="preserve">, Woo D.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/./J.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Chromatogr. Sci, 1984, v. 22, No. 9, p. 386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39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9.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Zdanov S.P.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e.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a./J. Chromatogr, 1973, v. 77, No. 2, p. 149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159.</w:t>
      </w:r>
    </w:p>
    <w:p w:rsidR="00A916C4" w:rsidRPr="00651DE2" w:rsidRDefault="00A916C4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de-DE"/>
        </w:rPr>
        <w:t xml:space="preserve">Schlechter 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de-DE"/>
        </w:rPr>
        <w:t>/./Anal. Biochem, 1974, v. 58, No. 1, p. 30.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Нефедов П.П.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dp.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/ Высокомол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 xml:space="preserve">. соед, 1981, т. А23, 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№5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943–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950.</w:t>
      </w:r>
    </w:p>
    <w:p w:rsidR="00A916C4" w:rsidRPr="00651DE2" w:rsidRDefault="00A916C4" w:rsidP="00651DE2">
      <w:pPr>
        <w:widowControl/>
        <w:numPr>
          <w:ilvl w:val="0"/>
          <w:numId w:val="5"/>
        </w:numPr>
        <w:shd w:val="clear" w:color="auto" w:fill="FFFFFF"/>
        <w:tabs>
          <w:tab w:val="left" w:pos="317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Nakamura </w:t>
      </w: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К</w:t>
      </w:r>
      <w:r w:rsidRPr="00651DE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., Endo R./J. 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Appl. Polym. Sci, 1981, v. 26, p. 2657</w:t>
      </w:r>
      <w:r w:rsidR="007029E1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–</w:t>
      </w:r>
      <w:r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2664.</w:t>
      </w:r>
    </w:p>
    <w:p w:rsidR="00A916C4" w:rsidRPr="00651DE2" w:rsidRDefault="007029E1" w:rsidP="00651DE2">
      <w:pPr>
        <w:widowControl/>
        <w:numPr>
          <w:ilvl w:val="0"/>
          <w:numId w:val="5"/>
        </w:numPr>
        <w:shd w:val="clear" w:color="auto" w:fill="FFFFFF"/>
        <w:tabs>
          <w:tab w:val="left" w:pos="50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Ициксон Л.Б.</w:t>
      </w:r>
      <w:r w:rsidR="00A916C4"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651DE2">
        <w:rPr>
          <w:rFonts w:ascii="Times New Roman" w:hAnsi="Times New Roman" w:cs="Times New Roman"/>
          <w:iCs/>
          <w:color w:val="000000"/>
          <w:sz w:val="28"/>
          <w:szCs w:val="28"/>
        </w:rPr>
        <w:t>Филиппов А.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А. // В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 xml:space="preserve"> кн.: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  <w:lang w:val="en-US"/>
        </w:rPr>
        <w:t>Ill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 xml:space="preserve"> Всесоюзный симпозиум по молекулярной жидкостной хроматографии, тезисы докладов. Рига, изд. Института органич. синтеза АН Латв.</w:t>
      </w:r>
      <w:r w:rsidR="00651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ССР, 1984, с.</w:t>
      </w:r>
      <w:r w:rsidRPr="00651DE2">
        <w:rPr>
          <w:rFonts w:ascii="Times New Roman" w:hAnsi="Times New Roman" w:cs="Times New Roman"/>
          <w:color w:val="000000"/>
          <w:sz w:val="28"/>
          <w:szCs w:val="28"/>
        </w:rPr>
        <w:t> 126–</w:t>
      </w:r>
      <w:r w:rsidR="00A916C4" w:rsidRPr="00651DE2">
        <w:rPr>
          <w:rFonts w:ascii="Times New Roman" w:hAnsi="Times New Roman" w:cs="Times New Roman"/>
          <w:color w:val="000000"/>
          <w:sz w:val="28"/>
          <w:szCs w:val="28"/>
        </w:rPr>
        <w:t>127.</w:t>
      </w:r>
      <w:bookmarkStart w:id="0" w:name="_GoBack"/>
      <w:bookmarkEnd w:id="0"/>
    </w:p>
    <w:sectPr w:rsidR="00A916C4" w:rsidRPr="00651DE2" w:rsidSect="007029E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327F6"/>
    <w:multiLevelType w:val="singleLevel"/>
    <w:tmpl w:val="8124A648"/>
    <w:lvl w:ilvl="0">
      <w:start w:val="2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1">
    <w:nsid w:val="558A563D"/>
    <w:multiLevelType w:val="singleLevel"/>
    <w:tmpl w:val="5DE0DAE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">
    <w:nsid w:val="61D57279"/>
    <w:multiLevelType w:val="singleLevel"/>
    <w:tmpl w:val="3126DA4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6DEF33B4"/>
    <w:multiLevelType w:val="singleLevel"/>
    <w:tmpl w:val="E95ADD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7F437FE3"/>
    <w:multiLevelType w:val="singleLevel"/>
    <w:tmpl w:val="755814E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DA6"/>
    <w:rsid w:val="000F309B"/>
    <w:rsid w:val="0024200B"/>
    <w:rsid w:val="003461BD"/>
    <w:rsid w:val="00506777"/>
    <w:rsid w:val="0057056E"/>
    <w:rsid w:val="006405A8"/>
    <w:rsid w:val="00651DE2"/>
    <w:rsid w:val="0068273D"/>
    <w:rsid w:val="007029E1"/>
    <w:rsid w:val="00843643"/>
    <w:rsid w:val="00871C4E"/>
    <w:rsid w:val="00A41EA5"/>
    <w:rsid w:val="00A916C4"/>
    <w:rsid w:val="00AC2DA6"/>
    <w:rsid w:val="00B532B1"/>
    <w:rsid w:val="00D6170A"/>
    <w:rsid w:val="00DA2DCC"/>
    <w:rsid w:val="00E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17EB21F7-D2CF-4FBA-A474-E4576EFF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32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532B1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4406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ЭКСКЛЮЗИОННАЯ ХРОМАТОГРАФИЯ</vt:lpstr>
    </vt:vector>
  </TitlesOfParts>
  <Company>PSPU</Company>
  <LinksUpToDate>false</LinksUpToDate>
  <CharactersWithSpaces>29463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ЭКСКЛЮЗИОННАЯ ХРОМАТОГРАФИЯ</dc:title>
  <dc:subject/>
  <dc:creator>Vladimir Solovev</dc:creator>
  <cp:keywords/>
  <dc:description/>
  <cp:lastModifiedBy>admin</cp:lastModifiedBy>
  <cp:revision>2</cp:revision>
  <dcterms:created xsi:type="dcterms:W3CDTF">2014-02-24T15:51:00Z</dcterms:created>
  <dcterms:modified xsi:type="dcterms:W3CDTF">2014-02-24T15:51:00Z</dcterms:modified>
</cp:coreProperties>
</file>