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868" w:rsidRPr="00844868" w:rsidRDefault="00844868" w:rsidP="00844868">
      <w:pPr>
        <w:spacing w:before="120" w:line="240" w:lineRule="auto"/>
        <w:ind w:firstLine="0"/>
        <w:jc w:val="center"/>
        <w:rPr>
          <w:rFonts w:ascii="Times New Roman" w:hAnsi="Times New Roman" w:cs="Times New Roman"/>
          <w:b/>
          <w:bCs/>
          <w:sz w:val="32"/>
          <w:szCs w:val="32"/>
        </w:rPr>
      </w:pPr>
      <w:r w:rsidRPr="00844868">
        <w:rPr>
          <w:rFonts w:ascii="Times New Roman" w:hAnsi="Times New Roman" w:cs="Times New Roman"/>
          <w:b/>
          <w:bCs/>
          <w:sz w:val="32"/>
          <w:szCs w:val="32"/>
        </w:rPr>
        <w:t>Манипуляции с реестром акционеров</w:t>
      </w:r>
    </w:p>
    <w:p w:rsidR="00844868" w:rsidRPr="00844868" w:rsidRDefault="00844868" w:rsidP="00844868">
      <w:pPr>
        <w:spacing w:before="120" w:line="240" w:lineRule="auto"/>
        <w:ind w:firstLine="0"/>
        <w:jc w:val="center"/>
        <w:rPr>
          <w:rFonts w:ascii="Times New Roman" w:hAnsi="Times New Roman" w:cs="Times New Roman"/>
          <w:sz w:val="28"/>
          <w:szCs w:val="28"/>
        </w:rPr>
      </w:pPr>
      <w:r w:rsidRPr="00844868">
        <w:rPr>
          <w:rFonts w:ascii="Times New Roman" w:hAnsi="Times New Roman" w:cs="Times New Roman"/>
          <w:color w:val="000000"/>
          <w:sz w:val="28"/>
          <w:szCs w:val="28"/>
        </w:rPr>
        <w:t>Алексей Ненашев, независимый эксперт</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На полях корпоративных сражений, в борьбе за приглянувшееся предприятие важнейшая задача для захватчика — собрать как можно больше информации об акционерном обществе и его собственниках. А самая большая удача — завладеть реестром акционеров.</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Если реестр акционеров попадает в чужие руки, то первый удар принимают на себя миноритарии. Они оказываются под жестким давлением. Не все способны выдержать прессинг, когда прямо домой заявляются напористые личности и требуют продать акции. Жалобы в милицию и прокуратуру редко бывают эффективными.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Получив таким образом даже небольшой пакет, новый собственник приобретает некоторые права. С увеличением доли в уставном капитале растут и его возможности влиять на общество.</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Проиллюстрируем связь между числом голосующих акций (в процентах) и правами, обязанностями, возможностями обладателя этих акций.</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1% голосующих акций дает право:</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ознакомиться со списком лиц, имеющих право на участие в общем собрании акционеров;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получить у регистратора сведения об именах владельцев (наименования), а также о количестве, категории (типе) и номинальной стоимости принадлежащих им акций;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обратиться в суд с иском к члену Совета директоров, единоличному исполнительному органу (генеральному директору), члену коллегиального исполнительного органа, а равно к управляющей организации или управляющему о возмещении убытков, причиненных обществу их виновными действиями (бездействием).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2% голосующих акций дают право:</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внести вопросы в повестку дня годового общего собрания акционеров;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выдвигать кандидатов в Совет директоров, коллегиальный исполнительный орган, ревизионную комиссию, счетную комиссию;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предлагать кандидата на должность единоличного исполнительного органа;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предлагать формулировки решения по предлагаемым вопросам;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предлагать кандидатов в Совет директоров для избрания кумулятивным голосованием на внеочередном общем собрании акционеров в случае, если повестка дня собрания содержит этот вопрос.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10% голосующих акций дают право:</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требовать созыва внеочередного общего собрания акционеров;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вносить вопросы в повестку дня собрания, выдвигать кандидатов в органы управления обществом;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созвать собрание, если решение Совета директоров о созыве отсутствует или в нем отказано. В этом случае акционеры приобретают полномочия Совета директоров в части созыва и проведения общего собрания.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Акционер, владеющий 20% и более, считается заинтересованным в совершении обществом сделки, в которой он является стороной, выгодоприобретателем, посредником или представителем.</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25% Дают возможность блокировать принятие обществом решений в случаях, когда на общем собрании должно быть подано не менее 3/4 голосов “за”.</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Появляется право доступа к документам бухгалтерского учета и протоколам заседаний коллегиального исполнительного органа.</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Не менее чем 30% размещенных голосующих акций — определяют наличие кворума на повторном общем собрании акционеров.</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Более чем 50% размещенных голосующих акций — определяют наличие кворума общего собрания акционеров.</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75% дают право: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размещать акции посредством закрытой подписки;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размещать по открытой подписке акции, составляющие более 25% от ранее размещенных обыкновенных акций;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принимать решение о приобретении обществом собственных акций;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вносить изменения и дополнения в Устав общества;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утверждать Устав общества в новой редакции;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принимать решения о реорганизации и ликвидации общества;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определять количество объявленных акций, их номинальную стоимость, категорию (тип) и права, предоставляемые ими.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100% дают право принимать любые решения без соблюдения сроков созыва и проведения общего собрания акционеров.</w:t>
      </w:r>
    </w:p>
    <w:p w:rsidR="00844868" w:rsidRPr="00844868" w:rsidRDefault="00844868" w:rsidP="00844868">
      <w:pPr>
        <w:spacing w:before="120" w:line="240" w:lineRule="auto"/>
        <w:ind w:firstLine="0"/>
        <w:jc w:val="center"/>
        <w:rPr>
          <w:rFonts w:ascii="Times New Roman" w:hAnsi="Times New Roman" w:cs="Times New Roman"/>
          <w:b/>
          <w:bCs/>
          <w:sz w:val="28"/>
          <w:szCs w:val="28"/>
        </w:rPr>
      </w:pPr>
      <w:r w:rsidRPr="00844868">
        <w:rPr>
          <w:rFonts w:ascii="Times New Roman" w:hAnsi="Times New Roman" w:cs="Times New Roman"/>
          <w:b/>
          <w:bCs/>
          <w:color w:val="000000"/>
          <w:sz w:val="28"/>
          <w:szCs w:val="28"/>
        </w:rPr>
        <w:t>Охотники за имуществом</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В борьбе за акции применяются самые разнообразные методы в том числе и криминальные. Наиболее часто используется два приема:</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имитация сделки с акциями;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манипуляции с реестром акционеров общества.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Прием 1. Законный владелец акций, не совершая никаких действий по их отчуждению, лишается своей собственности. Причем узнает он о пропаже не сразу. Захватчики успевают совершить ряд сделок, смешав похищенные акции с акциями, приобретенными законным путем, и перепродав их (иногда несколько раз) добросовестным приобретателям.</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Чаще для такого маневра используются подделка подписи физического лица, изготовление липовых доверенностей и поддельного протокола юридического лица, в котором назначается его руководитель (исполнительный орган). Именно этот “руководитель” и подписывает передаточное распоряжение.</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Прием 2. Любая манипуляция с реестром совершается для списания акций с лицевых счетов одних лиц и зачислении их на счета других, естественно, без надлежащего передаточного распоряжения. Этот прием используют главным образом общества, которые ведут свой реестр самостоятельно.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Поскольку с июля 2002 г. все акционерные общества, насчитывающие более 50 акционеров, обязаны передать ведение реестров специализированным регистраторам, то число случаев необоснованного списания ценных бумаг должно существенно сократиться.</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Акционер, незаконно лишенный имущества — бездокументарных ценных бумаг, вправе обратиться в уполномоченные органы. Но нет никакой гарантии, что справедливость восторжествует.</w:t>
      </w:r>
      <w:r w:rsidRPr="00844868">
        <w:rPr>
          <w:rFonts w:ascii="Times New Roman" w:hAnsi="Times New Roman" w:cs="Times New Roman"/>
        </w:rPr>
        <w:t xml:space="preserve">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Правоприменительная практика по таким спорам не отличается единообразием. Немалую путаницу в этот вопрос внесли законодатели. Не вдаваясь в детали, укажем, что право собственности на акции, выпущенные в бездокументарной форме, должно защищаться иском о признании права.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Если собственник будет восстановлен в правах, то у держателя реестра будут основания для списания акций с лицевого счета их добросовестного приобретателя и зачисления их на лицевой счет первоначального собственника.</w:t>
      </w:r>
    </w:p>
    <w:p w:rsidR="00844868" w:rsidRPr="00844868" w:rsidRDefault="00844868" w:rsidP="00844868">
      <w:pPr>
        <w:spacing w:before="120" w:line="240" w:lineRule="auto"/>
        <w:ind w:firstLine="0"/>
        <w:jc w:val="center"/>
        <w:rPr>
          <w:rFonts w:ascii="Times New Roman" w:hAnsi="Times New Roman" w:cs="Times New Roman"/>
          <w:b/>
          <w:bCs/>
          <w:sz w:val="28"/>
          <w:szCs w:val="28"/>
        </w:rPr>
      </w:pPr>
      <w:r w:rsidRPr="00844868">
        <w:rPr>
          <w:rFonts w:ascii="Times New Roman" w:hAnsi="Times New Roman" w:cs="Times New Roman"/>
          <w:b/>
          <w:bCs/>
          <w:color w:val="000000"/>
          <w:sz w:val="28"/>
          <w:szCs w:val="28"/>
        </w:rPr>
        <w:t>Регистратор и общество: брак по расчету</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Роль держателя реестра, регистратора, в системе учета прав на бездокументарные ценные бумаги является ключевой.</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Владение реестром порой более существенный фактор, нежели владение печатью общества или кабинетом генерального директора.</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В реестре указываются сведения о зарегистрированных лицах–акционерах и об акциях, записанных на имя каждого из них. АО обязано обеспечить ведение и хранение реестра акционеров с момента государственной регистрации общества.</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Регистратор — юридическое лицо, имеющее соответствующую лицензию ФКЦБ и осуществляющее свою деятельность по ведению реестров акционеров как исключительную.</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Порядок ведения реестра регламентируется Законом “О рынке ценных бумаг” и Положением о ведении реестра</w:t>
      </w:r>
      <w:hyperlink r:id="rId4" w:anchor="1" w:tgtFrame="_blank" w:history="1">
        <w:r w:rsidRPr="00844868">
          <w:rPr>
            <w:rStyle w:val="a3"/>
            <w:rFonts w:ascii="Times New Roman" w:hAnsi="Times New Roman" w:cs="Times New Roman"/>
            <w:color w:val="000000"/>
            <w:u w:val="none"/>
            <w:vertAlign w:val="superscript"/>
          </w:rPr>
          <w:t>1</w:t>
        </w:r>
      </w:hyperlink>
      <w:r w:rsidRPr="00844868">
        <w:rPr>
          <w:rFonts w:ascii="Times New Roman" w:hAnsi="Times New Roman" w:cs="Times New Roman"/>
          <w:color w:val="000000"/>
        </w:rPr>
        <w:t xml:space="preserve">. Отношения между эмитентом (АО) и регистратором регулируются заключенным между ним договором.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Многочисленные акционеры не состоят в договорных отношениях с регистратором, поэтому их взаимные права и обязанности определяются исключительно Законом и нормативными актами ФКЦБ, а никак не договором о ведении реестра. Это полезно знать и уметь применять на практике для защиты своих прав и отстаивания своих интересов.</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В соответствии с Законом, право на именную бездокументарную ценную бумагу переходит к приобретателю с момента внесения приходной записи по лицевому счету приобретателя в системе ведения реестра акционеров</w:t>
      </w:r>
      <w:hyperlink r:id="rId5" w:anchor="2" w:tgtFrame="_blank" w:history="1">
        <w:r w:rsidRPr="00844868">
          <w:rPr>
            <w:rStyle w:val="a3"/>
            <w:rFonts w:ascii="Times New Roman" w:hAnsi="Times New Roman" w:cs="Times New Roman"/>
            <w:color w:val="000000"/>
            <w:u w:val="none"/>
            <w:vertAlign w:val="superscript"/>
          </w:rPr>
          <w:t>2</w:t>
        </w:r>
      </w:hyperlink>
      <w:r w:rsidRPr="00844868">
        <w:rPr>
          <w:rFonts w:ascii="Times New Roman" w:hAnsi="Times New Roman" w:cs="Times New Roman"/>
          <w:color w:val="000000"/>
        </w:rPr>
        <w:t>. Регистратор обязан по требованию акционера или номинального держателя акций внести запись в реестр не позднее трех дней с момента представления необходимых документов.</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Действия регистратора строго регламентированы. Только по требованию акционеров он вносит данные в реестре акционеров.</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Открытие лицевого счета</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Для открытия лицевого счета акционер — физическое лицо предоставляет регистратору анкету и документ, удостоверяющий личность. Акционер — юридическое лицо предоставляет анкету, копии Устава, свидетельства о государственной регистрации и ряд других документов.</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Внесение изменений в лицевой счет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В случае изменения информации о зарегистрированном лице последнее должно вновь предоставить регистратору заполненную анкету и подтвердить изменения документально.</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Внесение в реестр записей о переходе прав собственности</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Чаще всего регистратор вносит изменения:</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при совершении сделки купли-продажи. Основанием является предоставление передаточного распоряжения лицом, передающим ценные бумаги. Отказ от внесения записи в реестр не допустим, за исключением тех случаев, когда не предоставлены все необходимые документы; количество бумаг не совпадает с данными реестра; подпись владельца акций на передаточном распоряжении не соответствует ее образцу в анкете зарегистрированного лица. Регистратор откажет в списании акций со счета их владельцу, если были блокированы операции по лицевому счету продавца, а также если услуги регистратора не оплачены;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по решению суда. Основанием являются переданые регистратору заверенная копия решения суда, и исполнительный лист;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при реорганизации зарегистрированного лица. Основание — выписка из передаточного акта или разделительного баланса, а также иные документы, необходимые для открытия лицевого счета новых акционеров;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в процессе приватизации. Основание — документы, установленные нормативными актами о приватизации.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Внесение в реестр записей о блокировании операций по лицевому счету</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Эта операция предназначенна для предотвращения передачи ценных бумаг иным лицам в тех случаях, когда либо их владелец, либо суд, либо следователь или нотариус приходят к решению, что определенные акции должны на какое-то время оставаться без движения.</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Внесение в реестр записей об обременении ценных бумаг</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Эта операция применяется во всех случаях обременения ценных бумаг обязательствами, включая их неполную оплату и передачу в залог.</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Внесение в реестр записей о зачислении и списании ценных бумаг со счета номинального держателя</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Операция производится в случаях передачи акционером своих акций депозитарию, который становится номинальным держателем акций и учитывает права на ценные бумаги у себя на счетах депо. А также при прекращении сторонами депозитарного договора.</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о проведенной операции.</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Регистратор должен в течение пяти дней предоставить акционеру выписку из реестра и/или справку об операциях по его лицевому счету за любой указанный период времени. Залогодержатель также вправе получить выписку в отношении ценных бумаг, являющихся предметом залога.</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С одной стороны, чем крупнее профессиональный регистратор, тем в большей степени он дорожит своей лицензией и тем меньше вероятность, что он совершит действия по внесению в реестр записей на основании предоставленных ему сомнительных документов.</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С другой стороны, у крупного регистратора большое количество сотрудников и легче найти конкретного исполнителя, который согласился бы незаметно для других передать на сторону конфиденциальную информацию об эмитенте и его акционерах.</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Если же общество ведет реестр самостоятельно, то возможны любые нарушения. Практически всегда в момент острой необходимости эмитент готов поступиться нормами, регулирующими порядок ведения реестра, если в противном случае могут пострадать интересы его мажоритарных руководителей.</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И тогда в дело идут различные приемы, такие как проведение сделок в реестре акционеров задним числом, нарушение порядка составления списка лиц, имеющих право на участие в общем собрании акционеров, отказ приобретателю во внесении записей в реестр в связи с нарушением сторонами порядка заключения договора, по которому приобретаются акции, и т.д.</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Регистратору договор купли-продажи или дарения акций не предоставляется, он имеет право на получение исключительно передаточного распоряжения, которое должно содержать всего лишь указание на договор. Регистратор не должен анализировать порядок заключения договора, выносить суждения о его недействительности, на основании которых отказываться вносить записи в реестр.</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Общества, ведущие реестр самостоятельно, очень часто требуют предоставить им копии договора, и не могут удержаться от соблазна отказать во внесении записи.</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У акционерных обществ существует немало уязвимых точек помимо реестра. Например, не все уделяют достаточное внимание корпоративной инвентаризации, т.е. учредительным, правооустанавливающим документам предприятия и пр. В настоящее время руководство многих хозяйственных обществ осознало необходимость работы с миноритариями. Отношения с ними выстраиваются так, чтобы те чувствовали себя не просто собственниками перспективного бизнеса. У них должно сформироваться чувство общности интересов.</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Имеет большое значение, насколько грамотно соотносится размер уставного капитала с номинальной стоимостью акций. Это важно, т.к. при агрессивной скупке задействуются обычно гораздо меньшие финансовые ресурсы при покупке акций номинальная стоимостью 10 копеек, чем при приобретении акций, цена которых 1000 руб. Эти и многие другие факторы нужно учитывать и уметь противостоять враждебному воздействию.</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Мнение</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Из-за того что первичные выпуски акций во многих случаях не зарегистрированы органами ФКЦБ, возникает большое количество трагических ситуаций. Например, акционеры утрачивают контроль над обществом, производство либо перепрофилируется, либо просто “умирает”. Если реестра акционеров у предприятия нет или он ведется небрежно, то в ситуации враждебного воздействия общество окажется беззащитным. Реестр ведется небрежно, если в него не заносятся все необходимые сведения об акциях, их владельцах, о сделках с акциями. Более того, некоторые акционеры даже не знают о том, что они являются собственниками акций и что их право должно быть зарегистрировано и отражено в реестре. Поэтому когда представители ФКЦБ проверяют какое-нибудь АО и указывают руководителям на допущенные нарушения, в ответ слышится примерно следующее: “…не выпускали мы никаких акций. Вот машины, станки, шины выпускаем, а акции не выпускаем и не продаем на бирже. А если нет акций, то зачем нам реестр акционеров?”. К сожалению, очень немногие осознают, что выполнять все требования законодательства, связанные с регистрацией прав на ценные бумаги, — в их собственных интересах, поскольку сегодня в большинстве случаев захваты предприятий и ущемление прав акционеров происходят не вопреки, а на основании закона.</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Распространены случаи, когда на предприятиях действуют одновременно несколько Советов директоров и работают два–три генеральных директора. Такие казусы возникают из-за скучного словосочетания “не зарегистрированные эмиссии”, а также из-за отсутствия реестра акционеров, в котором бы четко закреплялось право каждого собственника на конкретное количество акций и были указаны основания возникновения и перехода права собственности. Поэтому когда собственники начинают разбираться в судах по поводу того, чье собрание было “самое легитимное” и кто из “действующих” директоров исполняет свои функции на законных основаниях, то оказывается, что каждая из групп имеет свой протокол общего собрания, свой Совет директоров и ведет свой реестр акционеров в своей амбарной книге. Но даже по этим, так называемым, “реестрам” невозможно порою установить, кто именно, когда и у кого купил акции общества. Ведь в большинстве случаев в штате АО нет таких специалистов, которые бы могли грамотно вести реестр акционеров, и обладали бы для этого достаточными знанием и опытом.</w:t>
      </w:r>
    </w:p>
    <w:p w:rsidR="00844868" w:rsidRPr="00844868" w:rsidRDefault="00844868" w:rsidP="00844868">
      <w:pPr>
        <w:spacing w:before="120" w:line="240" w:lineRule="auto"/>
        <w:ind w:firstLine="0"/>
        <w:jc w:val="center"/>
        <w:rPr>
          <w:rFonts w:ascii="Times New Roman" w:hAnsi="Times New Roman" w:cs="Times New Roman"/>
          <w:b/>
          <w:bCs/>
          <w:sz w:val="28"/>
          <w:szCs w:val="28"/>
        </w:rPr>
      </w:pPr>
      <w:r w:rsidRPr="00844868">
        <w:rPr>
          <w:rFonts w:ascii="Times New Roman" w:hAnsi="Times New Roman" w:cs="Times New Roman"/>
          <w:b/>
          <w:bCs/>
          <w:color w:val="000000"/>
          <w:sz w:val="28"/>
          <w:szCs w:val="28"/>
        </w:rPr>
        <w:t>Регистратор — друг или враг?</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Реестр акционеров — основной документ, подтверждающий права собственника на акции предприятия. Именно поэтому многие владельцы и руководители АО ведут его самостоятельно, боятся с ним расстаться, не передают регистратору. Они твердо убеждены, что при таком способе хранения реестр будет в большей безопасности, чем у другого держателя. Это ошибка.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Проанализировав сложившуюся практику, можно утверждать, что реестр акционеров общества, лежащий в запертом ящике письменного стола руководителя, более доступен для посторонних, чем тот, который находится у регистратора–юридического лица, имеющего лицензию ФКЦБ.</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Существует масса примеров, когда директор, акционеры или их доверенные лица самостоятельно вели реестр, занося данные в амбарную книгу. Результаты были плачевными. Например, обнаруживалось, что страницы из книги кем-то вырваны или что документ отражает совсем не те сведения, которые вносились в него еще совсем недавно, и что он был переписан полностью или частично.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Известны случаи, когда на лиц, ответственных за ведение и хранение реестра акционеров, оказывалось силовое давление (что особенно часто встречается в регионах).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Иногда руководители предприятий, ведущие реестр самостоятельно, вступали в сговор с некими лицами, в результате чего страдали права других собственников. Ведь директор предприятия, хранящий у себя и реестр и печать общества, открыт для любого криминального влияния независимо от того, является ли он сам акционером этого общества.</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Хранение реестра у регистратора в какой-то мере поможет оградить предприятие от агрессивной скупки акций.</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В соответствии с недавними изменениями в законодательстве, если число акционеров АО превышает 50, то держателем реестра акционеров должен быть регистратор. Тем не менее миф о том, что хранить реестр акционеров на самом предприятии безопасно, очень живуч. Процесс передачи реестров регистраторам идет крайне болезненно во многом из-за того, что широко распространены сомнения собственников акций и руководителей обществ не только в порядочности регистраторов (сведения из реестра ими могут быть переданы заинтересованным лицам), но и в том, что данные реестра могут стать известны недоброжелателям в результате халатности регистратора (например, если его компьютерная база данных окажется недостаточно защищена от взлома).</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 xml:space="preserve">Однако опасения, что данные реестра, держателем которого является регистратор, могут оказаться у конкурентов, порой бывают обоснованны. </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Тем не менее если общество заключает договор с лицензированным, надежным и авторитетным регистратором, оно делает важный шаг в деле защиты прав акционеров. Регистратора можно привлечь к ответственности за совершение неверных действий или за бездействие.</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У некоторых АО, ведущих свой реестр самостоятельно, данные, отраженные в реестре, не соответствуют тем требованиям, которые предъявляет действующее законодательство к этому документу и к его оформлению. Бывает, что необходимые сведения в таком реестре либо вообще не отражены, либо записаны так, что даже ответственное за ведение реестра лицо не в состоянии дать вразумительный ответ на вопрос, когда, кем и на каком основании была внесена та или иная запись и что она означает. Это еще</w:t>
      </w:r>
      <w:r w:rsidRPr="00844868">
        <w:rPr>
          <w:rFonts w:ascii="Times New Roman" w:hAnsi="Times New Roman" w:cs="Times New Roman"/>
        </w:rPr>
        <w:t xml:space="preserve"> </w:t>
      </w:r>
      <w:r w:rsidRPr="00844868">
        <w:rPr>
          <w:rFonts w:ascii="Times New Roman" w:hAnsi="Times New Roman" w:cs="Times New Roman"/>
          <w:color w:val="000000"/>
        </w:rPr>
        <w:t>один аргумент в пользу передачи реестра регистратору.</w:t>
      </w:r>
    </w:p>
    <w:p w:rsidR="00844868" w:rsidRPr="00844868" w:rsidRDefault="00844868" w:rsidP="00844868">
      <w:pPr>
        <w:spacing w:before="120" w:line="240" w:lineRule="auto"/>
        <w:ind w:firstLine="0"/>
        <w:jc w:val="center"/>
        <w:rPr>
          <w:rFonts w:ascii="Times New Roman" w:hAnsi="Times New Roman" w:cs="Times New Roman"/>
          <w:b/>
          <w:bCs/>
          <w:sz w:val="28"/>
          <w:szCs w:val="28"/>
        </w:rPr>
      </w:pPr>
      <w:r w:rsidRPr="00844868">
        <w:rPr>
          <w:rFonts w:ascii="Times New Roman" w:hAnsi="Times New Roman" w:cs="Times New Roman"/>
          <w:b/>
          <w:bCs/>
          <w:color w:val="000000"/>
          <w:sz w:val="28"/>
          <w:szCs w:val="28"/>
        </w:rPr>
        <w:t>ФКЦБ — оружие конкурентов?</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В связи с тем, что ФКЦБ имеет право на проверку любого эмитента, этот государственный орган может быть использован для получения конкурентами из реестра акционеров информации, необходимой для захвата предприятия. Задача упрощается тем, что для организации проверки эмитента заинтересованным лицам достаточно подать сигнал.</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Например, человек, имеющий нужные связи, всегда может обратиться к чиновникам из ФКЦБ и неофициально “договориться” о проверке определенного эмитента. В зависимости от преследуемых целей иногда можно условиться и о том, что в состав группы проверяющих будет включена заранее подобранная</w:t>
      </w:r>
      <w:r w:rsidRPr="00844868">
        <w:rPr>
          <w:rFonts w:ascii="Times New Roman" w:hAnsi="Times New Roman" w:cs="Times New Roman"/>
        </w:rPr>
        <w:t xml:space="preserve"> </w:t>
      </w:r>
      <w:r w:rsidRPr="00844868">
        <w:rPr>
          <w:rFonts w:ascii="Times New Roman" w:hAnsi="Times New Roman" w:cs="Times New Roman"/>
          <w:color w:val="000000"/>
        </w:rPr>
        <w:t>кандидатура контролера.</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Другой вариант, связанный с обращением в ФКЦБ. Некий миноритарий, владелец 0,001% уставного капитала общества, подает в соответствующий орган ФКЦБ сигнал, что АО своими действиями нарушает законодательство, тем самым ущемляя его права акционера. Если назначается проверка, заинтересованные лица ищут подход к кому-либо из проверяющих и получают копию реестра акционеров и все прочие сведения буквально “из первых рук”.</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Еще один способ подать сигнал о необходимости проверки АО — скандально-разоблачительные публикации в СМИ. ФКЦБ, как правило, на них реагирует.</w:t>
      </w:r>
    </w:p>
    <w:p w:rsidR="00844868" w:rsidRPr="00844868" w:rsidRDefault="00844868" w:rsidP="00844868">
      <w:pPr>
        <w:spacing w:before="120" w:line="240" w:lineRule="auto"/>
        <w:ind w:firstLine="567"/>
        <w:rPr>
          <w:rFonts w:ascii="Times New Roman" w:hAnsi="Times New Roman" w:cs="Times New Roman"/>
        </w:rPr>
      </w:pPr>
      <w:r w:rsidRPr="00844868">
        <w:rPr>
          <w:rFonts w:ascii="Times New Roman" w:hAnsi="Times New Roman" w:cs="Times New Roman"/>
          <w:color w:val="000000"/>
        </w:rPr>
        <w:t>Однако теперь результаты подобных ревизий не всегда оправдывают ожидания “заказчика”. Если во второй половине 90-х гг. проверка на предприятии была целым событием (редко кто из руководителей и их заместителей имел представление о том, какими полномочиями наделены те или иные государственные органы, и поэтому о компании легко можно было собрать практически всю нужную информацию), то сейчас ситуация несколько изменилась. Во-первых, руководители, пусть и не все, уже начинают разбираться в том, какому органу какую информацию нужно предоставлять обязательно, а какую — нет. Во-вторых, для защиты своих прав во время проверки собственники и руководители предприятий все чаще привлекают грамотных юристов, в присутствии которых недобросовестным чиновникам сложно ввести в заблуждение представителей АО.</w:t>
      </w:r>
    </w:p>
    <w:p w:rsidR="00844868" w:rsidRPr="00844868" w:rsidRDefault="00844868" w:rsidP="00844868">
      <w:pPr>
        <w:spacing w:before="120" w:line="240" w:lineRule="auto"/>
        <w:ind w:firstLine="567"/>
        <w:rPr>
          <w:rFonts w:ascii="Times New Roman" w:hAnsi="Times New Roman" w:cs="Times New Roman"/>
        </w:rPr>
      </w:pPr>
      <w:bookmarkStart w:id="0" w:name="_GoBack"/>
      <w:bookmarkEnd w:id="0"/>
    </w:p>
    <w:sectPr w:rsidR="00844868" w:rsidRPr="00844868" w:rsidSect="0084486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868"/>
    <w:rsid w:val="00120599"/>
    <w:rsid w:val="003F3287"/>
    <w:rsid w:val="005E1C7C"/>
    <w:rsid w:val="00844868"/>
    <w:rsid w:val="00881451"/>
    <w:rsid w:val="00B7070D"/>
    <w:rsid w:val="00BB0D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542D5A-A8B1-4D17-A7FA-24611D8B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868"/>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44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atya.ru/print.php?op=print&amp;id=1549" TargetMode="External"/><Relationship Id="rId4" Type="http://schemas.openxmlformats.org/officeDocument/2006/relationships/hyperlink" Target="http://www.statya.ru/print.php?op=print&amp;id=15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12978</Words>
  <Characters>7399</Characters>
  <Application>Microsoft Office Word</Application>
  <DocSecurity>0</DocSecurity>
  <Lines>61</Lines>
  <Paragraphs>40</Paragraphs>
  <ScaleCrop>false</ScaleCrop>
  <Company>Home</Company>
  <LinksUpToDate>false</LinksUpToDate>
  <CharactersWithSpaces>20337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Манипуляции с реестром акционеров</dc:title>
  <dc:subject/>
  <dc:creator>User</dc:creator>
  <cp:keywords/>
  <dc:description/>
  <cp:lastModifiedBy>admin</cp:lastModifiedBy>
  <cp:revision>2</cp:revision>
  <dcterms:created xsi:type="dcterms:W3CDTF">2014-01-25T18:34:00Z</dcterms:created>
  <dcterms:modified xsi:type="dcterms:W3CDTF">2014-01-25T18:34:00Z</dcterms:modified>
</cp:coreProperties>
</file>