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1E5" w:rsidRDefault="00B35D59">
      <w:pPr>
        <w:pStyle w:val="1"/>
        <w:jc w:val="center"/>
      </w:pPr>
      <w:r>
        <w:t>Экологические проблемы Сибирского Федерального Округа</w:t>
      </w:r>
    </w:p>
    <w:p w:rsidR="005561E5" w:rsidRPr="00B35D59" w:rsidRDefault="00B35D59">
      <w:pPr>
        <w:pStyle w:val="a3"/>
      </w:pPr>
      <w:r>
        <w:t>Реферат</w:t>
      </w:r>
    </w:p>
    <w:p w:rsidR="005561E5" w:rsidRDefault="00B35D59">
      <w:pPr>
        <w:pStyle w:val="a3"/>
      </w:pPr>
      <w:r>
        <w:t>Выполнил студент 4 курса, специальности «государственное и муниципальное управление» Сафонов Александр</w:t>
      </w:r>
    </w:p>
    <w:p w:rsidR="005561E5" w:rsidRDefault="00B35D59">
      <w:pPr>
        <w:pStyle w:val="a3"/>
      </w:pPr>
      <w:r>
        <w:t>Московский городской педагогический Университет</w:t>
      </w:r>
    </w:p>
    <w:p w:rsidR="005561E5" w:rsidRDefault="00B35D59">
      <w:pPr>
        <w:pStyle w:val="a3"/>
      </w:pPr>
      <w:r>
        <w:t>Москва, 2012 год.</w:t>
      </w:r>
    </w:p>
    <w:p w:rsidR="005561E5" w:rsidRDefault="00B35D59">
      <w:pPr>
        <w:pStyle w:val="a3"/>
      </w:pPr>
      <w:r>
        <w:t>Сибирский федеральный округ — административное формирование в сибирской части России. Образован указом президента РФ от 13 мая 2000 года. Территория округа составляет 30 % от территории Российской Федерации. Федеральный округ не является частью административного деления Российской Федерации (субъектом Российской Федерации).</w:t>
      </w:r>
    </w:p>
    <w:p w:rsidR="005561E5" w:rsidRDefault="00D9001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450pt"/>
        </w:pict>
      </w:r>
    </w:p>
    <w:p w:rsidR="005561E5" w:rsidRDefault="00B35D59">
      <w:pPr>
        <w:pStyle w:val="a3"/>
      </w:pPr>
      <w:r>
        <w:t>Звёздами отмечены столицы субъектов РФ.</w:t>
      </w:r>
    </w:p>
    <w:p w:rsidR="005561E5" w:rsidRDefault="00B35D59">
      <w:pPr>
        <w:pStyle w:val="a3"/>
      </w:pPr>
      <w:r>
        <w:t>Цифрами на карте отмечены:</w:t>
      </w:r>
    </w:p>
    <w:p w:rsidR="005561E5" w:rsidRDefault="00B35D59">
      <w:pPr>
        <w:pStyle w:val="a3"/>
      </w:pPr>
      <w:r>
        <w:t>Республика Алтай</w:t>
      </w:r>
    </w:p>
    <w:p w:rsidR="005561E5" w:rsidRDefault="00B35D59">
      <w:pPr>
        <w:pStyle w:val="a3"/>
      </w:pPr>
      <w:r>
        <w:t>Алтайский край</w:t>
      </w:r>
    </w:p>
    <w:p w:rsidR="005561E5" w:rsidRDefault="00B35D59">
      <w:pPr>
        <w:pStyle w:val="a3"/>
      </w:pPr>
      <w:r>
        <w:t>Республика Бурятия</w:t>
      </w:r>
    </w:p>
    <w:p w:rsidR="005561E5" w:rsidRDefault="00B35D59">
      <w:pPr>
        <w:pStyle w:val="a3"/>
      </w:pPr>
      <w:r>
        <w:t>Забайкальский край</w:t>
      </w:r>
    </w:p>
    <w:p w:rsidR="005561E5" w:rsidRDefault="00B35D59">
      <w:pPr>
        <w:pStyle w:val="a3"/>
      </w:pPr>
      <w:r>
        <w:t>Иркутская область</w:t>
      </w:r>
    </w:p>
    <w:p w:rsidR="005561E5" w:rsidRDefault="00B35D59">
      <w:pPr>
        <w:pStyle w:val="a3"/>
      </w:pPr>
      <w:r>
        <w:t>Кемеровская область</w:t>
      </w:r>
    </w:p>
    <w:p w:rsidR="005561E5" w:rsidRDefault="00B35D59">
      <w:pPr>
        <w:pStyle w:val="a3"/>
      </w:pPr>
      <w:r>
        <w:t>Красноярский край</w:t>
      </w:r>
    </w:p>
    <w:p w:rsidR="005561E5" w:rsidRDefault="00B35D59">
      <w:pPr>
        <w:pStyle w:val="a3"/>
      </w:pPr>
      <w:r>
        <w:t>Новосибирская область</w:t>
      </w:r>
    </w:p>
    <w:p w:rsidR="005561E5" w:rsidRDefault="00B35D59">
      <w:pPr>
        <w:pStyle w:val="a3"/>
      </w:pPr>
      <w:r>
        <w:t>Омская область</w:t>
      </w:r>
    </w:p>
    <w:p w:rsidR="005561E5" w:rsidRDefault="00B35D59">
      <w:pPr>
        <w:pStyle w:val="a3"/>
      </w:pPr>
      <w:r>
        <w:t>Томская область</w:t>
      </w:r>
    </w:p>
    <w:p w:rsidR="005561E5" w:rsidRDefault="00B35D59">
      <w:pPr>
        <w:pStyle w:val="a3"/>
      </w:pPr>
      <w:r>
        <w:t>Республика Тыва</w:t>
      </w:r>
    </w:p>
    <w:p w:rsidR="005561E5" w:rsidRDefault="00B35D59">
      <w:pPr>
        <w:pStyle w:val="a3"/>
      </w:pPr>
      <w:r>
        <w:t>Республика Хакасия.</w:t>
      </w:r>
    </w:p>
    <w:p w:rsidR="005561E5" w:rsidRDefault="00B35D59">
      <w:pPr>
        <w:pStyle w:val="a3"/>
      </w:pPr>
      <w:r>
        <w:t>Звёздами отмечены столицы субъектов РФ.</w:t>
      </w:r>
    </w:p>
    <w:p w:rsidR="005561E5" w:rsidRDefault="00B35D59">
      <w:pPr>
        <w:pStyle w:val="a3"/>
      </w:pPr>
      <w:r>
        <w:t>Не стоит путать федеральный округ и экономический район. Эти понятия не совпадают.</w:t>
      </w:r>
    </w:p>
    <w:p w:rsidR="005561E5" w:rsidRDefault="00B35D59">
      <w:pPr>
        <w:pStyle w:val="a3"/>
      </w:pPr>
      <w:r>
        <w:t>Самыми крупными городами региона являются (население города указано в скобках, чел. по переписи 2010 г.):</w:t>
      </w:r>
    </w:p>
    <w:p w:rsidR="005561E5" w:rsidRDefault="00B35D59">
      <w:pPr>
        <w:pStyle w:val="a3"/>
      </w:pPr>
      <w:r>
        <w:t>Новосибирск(1 473 737), Омск(1 153 971), Красноярск(1 000 000), Барнаул(612 091), Улан-Удэ(412 357), Чита(323 964), Иркутск(587 225), Томск(522 940), Ангарск(233 765), Братск(246 348), Кемерово(532 884), Новокузнецк(547 885), Норильск(175 301).</w:t>
      </w:r>
    </w:p>
    <w:p w:rsidR="005561E5" w:rsidRDefault="00B35D59">
      <w:pPr>
        <w:pStyle w:val="a3"/>
      </w:pPr>
      <w:r>
        <w:t>Многие из указанных городов располагают крупной промышленностью, которая загрязняет окружающую среду.</w:t>
      </w:r>
    </w:p>
    <w:p w:rsidR="005561E5" w:rsidRDefault="00B35D59">
      <w:pPr>
        <w:pStyle w:val="a3"/>
      </w:pPr>
      <w:r>
        <w:t>Сибирский ФО богат полезными ископаемыми. В нём сосредоточены: 85 % общероссийских запасов свинца и платины, 80 % угля и молибдена, 71 % никеля, 69 % меди, 44 % серебра, 40 % золота. Валовый региональный продукт составляет 3 390 224,3 тыс. рублей (2009 г.), т.е. 10,57 % ВРП России.</w:t>
      </w:r>
    </w:p>
    <w:p w:rsidR="005561E5" w:rsidRDefault="00B35D59">
      <w:pPr>
        <w:pStyle w:val="a3"/>
      </w:pPr>
      <w:r>
        <w:t>Таким образом, можно говорить о сырьевом характере экономики региона. Как известно, первоначальная добыча и первичная обработка сырья чаще всего несёт наибольший вред окружающей среде. Основной вклад в загрязнение окружающей среды вносит крупная промышленность. Основные выбросы производят Норильск, Красноярск, Ачинск. Тем не менее, на установках газоочистки улавливается около 80 % образованной массы загрязняющих веществ. Основными загрязнителями водных объектов являются предприятия химии и нефтехимии, машиностроения, теплоэнергетики. Особую проблему представляет охрана малых рек от обмеления и загрязнения. За счёт сокращения лесистости происходит увеличение водной эрозии, вызывающей обмеление русла. Многочисленные мелкие озёра подвергаются загрязнению хозяйственно-бытовыми стоками населённых пунктов и животноводческих комплексов. Ряд населённых пунктов официально признан пострадавшим от воздействия радиации в результате испытания ядерного оружия на полигоне под Семипалатинском. В основном, это южные районы федерального округа. Кроме того, над территорией Красноярского края проходят траектории пусков ракет-носителей с космодрома Байконур, а продукты ракетного топлива и части сгоревших в атмосфере ступеней попадают на поверхность.</w:t>
      </w:r>
    </w:p>
    <w:p w:rsidR="005561E5" w:rsidRDefault="00B35D59">
      <w:pPr>
        <w:pStyle w:val="a3"/>
      </w:pPr>
      <w:r>
        <w:t>Антропогенные изменения природной среды на территории Сибири не носят сплошного характера, однако в целом ряде регионов, особенно отличающихся преобладанием неустойчивых ландшафтов и высокой чувствительностью экосистем к внешним воздействиям, сложилась весьма напряженная экологическая ситуация. Значительная часть производственного потенциала региона сконцентрирована на ограниченных площадях, чаще всего по долинам рек и в котловинах. При этом рассеивающая способность атмосферы в Восточной Сибири в 2 раза ниже, чем в европейской части страны, что практически не учитывалось при размещении предприятий и населенных пунктов, формировании территориально-производственных сочетаний (Братско-Усть-Илимского, Канско-Ачинского и др.). Поэтому большинство крупных городов и все промышленные зоны Сибири отличаются резко повышенной загрязненностью воздушного и водного бассейнов. Так, Сибирский федеральный округ в 2008 году занимал первое место среди федеральных округов страны по загрязнению атмосферного воздуха и второе по водоотведению в поверхностные водоемы. На долю региона приходится более 1/3 общероссийского объема выбросов и сбросов загрязняющих веществ, производимых стационарными источниками (в том числе более 20% – на Восточную Сибирь). Наибольшая острота экологической ситуации характерна, прежде всего, для следующих сибирских регионов: - нефтегазоуглепромысловые районы, где экологические проблемы связаны с бурением, обустройством и эксплуатацией скважин, строительством и эксплуатацией нефте- и газопроводов, подготовкой нефти и газа к транспортировке и функционированием вспомогательных производств; - Кузбасс, на территории которого наибольшее развитие получили такие экологически вредные отрасли промышленности, как угольная (особенно открытая добыча), черная и цветная металлургия, химическая; - Норильский промышленный район, основой которого являются предприятия Заполярного филиала ГМК «Норильский никель», выбрасывающие ежегодно в атмосферный воздух около 2 млн. т сернистых соединений; - территория Среднего Енисея, Верхнего и Среднего Приангарья, прежде всего, Братско-Илимский и Иркутско-Черемховский районы с преобладанием алюминиевого, целлюлозно-бумажного и других вредных производств, г.Красноярск с комплексом крупных предприятий разных отраслей промышленности, зона формирования КАТЭКа.</w:t>
      </w:r>
    </w:p>
    <w:p w:rsidR="005561E5" w:rsidRDefault="00B35D59">
      <w:pPr>
        <w:pStyle w:val="a3"/>
      </w:pPr>
      <w:r>
        <w:t>К основным экологическим проблемам общего характера, требующим постоянного внимания органов государственной власти и местного самоуправления, можно отнести следующие:</w:t>
      </w:r>
    </w:p>
    <w:p w:rsidR="005561E5" w:rsidRDefault="00B35D59">
      <w:pPr>
        <w:pStyle w:val="a3"/>
      </w:pPr>
      <w:r>
        <w:t>- накопленный ущерб окружающей среде, нанесенный в предшествующие годы, высокая концентрация источников потенциального экологического риска на ограниченных территориях с относительно высокой для Сибири плотностью населения (отработанное ядерное топливо, отходы обогащения урана, ядерное и химическое оружие, предприятия ВПК, трубопроводы, газохранилища, гидроэлектростанции, химические производства, авиация и т.п.);</w:t>
      </w:r>
    </w:p>
    <w:p w:rsidR="005561E5" w:rsidRDefault="00B35D59">
      <w:pPr>
        <w:pStyle w:val="a3"/>
      </w:pPr>
      <w:r>
        <w:t>- повышенный риск аварийных ситуаций из-за высокой изношенности основных фондов на промышленных предприятиях Сибири;</w:t>
      </w:r>
    </w:p>
    <w:p w:rsidR="005561E5" w:rsidRDefault="00B35D59">
      <w:pPr>
        <w:pStyle w:val="a3"/>
      </w:pPr>
      <w:r>
        <w:t>- отсутствие или слабое развитие индустрии экологического назначения, незначительный задел по производству экологического оборудования и оказанию экологических услуг;</w:t>
      </w:r>
    </w:p>
    <w:p w:rsidR="005561E5" w:rsidRDefault="00B35D59">
      <w:pPr>
        <w:pStyle w:val="a3"/>
      </w:pPr>
      <w:r>
        <w:t>- повышенный риск заболеваний экологической этиологии в крупных городах Сибири из-за высокого уровня загрязнения окружающей среды (Норильск, Новокузнецк, Красноярск, Братск, Ангарск и др.);</w:t>
      </w:r>
    </w:p>
    <w:p w:rsidR="005561E5" w:rsidRDefault="00B35D59">
      <w:pPr>
        <w:pStyle w:val="a3"/>
      </w:pPr>
      <w:r>
        <w:t>- сокращение биологического разнообразия на территории Сибири.</w:t>
      </w:r>
    </w:p>
    <w:p w:rsidR="005561E5" w:rsidRDefault="00B35D59">
      <w:pPr>
        <w:pStyle w:val="a3"/>
      </w:pPr>
      <w:r>
        <w:t>Выбросы в 2008 г. наиболее распространенных загрязняющих атмосферу веществ, отходящих от стационарных источников, по Сибирскому Федеральному округу самыми высокими были в Красноярском крае: твердые вещества - 161,9 тысяч тонн, диоксид серы - 2034,3, оксиды азота - 73,6, оксид углерода - 143,1, углеводороды-16,6 тысяч тонн (Стат информ по РФ). Сброс загрязненных сточных вод в 2008 году составлял 481 миллион кубических метров. Основными веществами, которые создают «очень высокие» и «высокие» уровни загрязнения, являются: в г. Красноярске - бензапирен, формальдегид, азота диоксид, взвешенные вещества; в г. Минусинске и г. Назарово - бензапирен и формальдегид; в г. Лесосибирске - бензапирен, формальдегид, фенол, взвешенные вещества; в г. Ачинске - формальдегид, бензапирен, взвешенные вещества, азота диоксид; в г. Канске - бензапирен, диоксид азота; в г. Норильске - серы диоксид, никеля оксид.</w:t>
      </w:r>
    </w:p>
    <w:p w:rsidR="005561E5" w:rsidRDefault="00B35D59">
      <w:pPr>
        <w:pStyle w:val="a3"/>
      </w:pPr>
      <w:r>
        <w:t>Катастрофическими можно назвать последствия деятельности горно-химического комбината в г. Железногорске. С начала 1990-х гг. в пойме р. Енисей в пределах зоны наблюдения выявлено более 150 участков с аномально высоким уровнем радиоактивного загрязнения. Радиоактивное же загрязнение прослеживается на расстоянии до 2000 км. от места сброса вод охлаждения.</w:t>
      </w:r>
    </w:p>
    <w:p w:rsidR="005561E5" w:rsidRDefault="00B35D59">
      <w:pPr>
        <w:pStyle w:val="a3"/>
      </w:pPr>
      <w:r>
        <w:t>Радиологический центр г. Красноярска летом 2004 г. организовал  экспедицию с целью определения радиационной обстановки на р. Енисей: было исследовано 300 км. правого берега Енисея. Результаты исследования показали, что уровень радиации в населенных пунктах Атаманово, Балчук, Хлоптуново, Кононово превышает допустимые нормы в 100 раз.Обеспечение населения питьевой водой, безопасной для здоровья, является актуальной гигиенической проблемой.</w:t>
      </w:r>
    </w:p>
    <w:p w:rsidR="005561E5" w:rsidRDefault="00B35D59">
      <w:pPr>
        <w:pStyle w:val="a3"/>
      </w:pPr>
      <w:r>
        <w:t>По данным Управления Федеральной службы по надзору в сфере защиты прав потребителей и благополучия человека по Красноярскому краю, качество питьевой воды по микробиологическим показателям из распределительной сети в «территориях риска» Красноярского края в 2010 г. не отвечал о гигиеническим нормативам в 17 районах края, в том числе Казачинском. Отрицательное воздействие на здоровье населения Красноярского края неблагоприятной экологической обстановки неоспоримо. Рассмотрим материалы Федеральной службы государственной статистики 2009 года. В разделе статистического сборника «Здравоохранение России» приводятся следующие данные:</w:t>
      </w:r>
    </w:p>
    <w:p w:rsidR="005561E5" w:rsidRDefault="00B35D59">
      <w:pPr>
        <w:pStyle w:val="a3"/>
      </w:pPr>
      <w:r>
        <w:t>Таблица 1 - Умершие в трудоспособном возрасте в 2008 г.</w:t>
      </w:r>
    </w:p>
    <w:p w:rsidR="005561E5" w:rsidRDefault="00B35D59">
      <w:pPr>
        <w:pStyle w:val="a3"/>
      </w:pPr>
      <w:r>
        <w:t>Всего, человек На 1000 человек населения</w:t>
      </w:r>
    </w:p>
    <w:p w:rsidR="005561E5" w:rsidRDefault="00B35D59">
      <w:pPr>
        <w:pStyle w:val="a3"/>
      </w:pPr>
      <w:r>
        <w:t>соответствующего пола и возраста</w:t>
      </w:r>
    </w:p>
    <w:p w:rsidR="005561E5" w:rsidRDefault="00B35D59">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40"/>
        <w:gridCol w:w="240"/>
        <w:gridCol w:w="240"/>
        <w:gridCol w:w="240"/>
      </w:tblGrid>
      <w:tr w:rsidR="005561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1E5" w:rsidRDefault="00B35D59">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561E5" w:rsidRDefault="00B35D59">
            <w:r>
              <w:t>мужчины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5561E5" w:rsidRDefault="00B35D59">
            <w:r>
              <w:t>женщины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5561E5" w:rsidRDefault="00B35D59">
            <w:r>
              <w:t>мужчины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5561E5" w:rsidRDefault="00B35D59">
            <w:r>
              <w:t>женщины</w:t>
            </w:r>
          </w:p>
        </w:tc>
      </w:tr>
      <w:tr w:rsidR="005561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1E5" w:rsidRDefault="00B35D59">
            <w:r>
              <w:t>Российская Федерация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561E5" w:rsidRDefault="00B35D59">
            <w:r>
              <w:t> 487835 122745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561E5" w:rsidRDefault="00B35D59">
            <w:r>
              <w:t> 10,7 2,8</w:t>
            </w:r>
          </w:p>
        </w:tc>
      </w:tr>
      <w:tr w:rsidR="005561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1E5" w:rsidRPr="00B35D59" w:rsidRDefault="00B35D59">
            <w:pPr>
              <w:pStyle w:val="a3"/>
            </w:pPr>
            <w:r w:rsidRPr="00B35D59">
              <w:t>Сибирский федеральный</w:t>
            </w:r>
          </w:p>
          <w:p w:rsidR="005561E5" w:rsidRPr="00B35D59" w:rsidRDefault="00B35D59">
            <w:pPr>
              <w:pStyle w:val="a3"/>
            </w:pPr>
            <w:r w:rsidRPr="00B35D59">
              <w:t>округ</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561E5" w:rsidRDefault="00B35D59">
            <w:r>
              <w:t> 73972 20662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561E5" w:rsidRDefault="00B35D59">
            <w:r>
              <w:t> 11,8 3,4</w:t>
            </w:r>
          </w:p>
        </w:tc>
      </w:tr>
      <w:tr w:rsidR="005561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61E5" w:rsidRDefault="00B35D59">
            <w:r>
              <w:t>Красноярский край</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561E5" w:rsidRDefault="00B35D59">
            <w:r>
              <w:t> 10349 2844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561E5" w:rsidRDefault="00B35D59">
            <w:r>
              <w:t> 10,8 3,1</w:t>
            </w:r>
          </w:p>
        </w:tc>
      </w:tr>
    </w:tbl>
    <w:p w:rsidR="005561E5" w:rsidRPr="00B35D59" w:rsidRDefault="00B35D59">
      <w:pPr>
        <w:pStyle w:val="a3"/>
      </w:pPr>
      <w:r>
        <w:t> </w:t>
      </w:r>
    </w:p>
    <w:p w:rsidR="005561E5" w:rsidRDefault="00B35D59">
      <w:pPr>
        <w:pStyle w:val="a3"/>
      </w:pPr>
      <w:r>
        <w:t>Основные причины смерти: туберкулез, новообразования, болезни  системы кровообращения, болезни органов дыхания. Ссылаясь на государственный доклад Министерства здравоохранения Красноярского края «О состоянии здоровья населения Красноярского края в 2010 г.» (Красноярск-2011), можем отметить динамику общей заболеваемости детей по краю, сравнивая 2006-2010 годы (на 1000 населения 0-14 лет):</w:t>
      </w:r>
    </w:p>
    <w:p w:rsidR="005561E5" w:rsidRDefault="00B35D59">
      <w:pPr>
        <w:pStyle w:val="a3"/>
      </w:pPr>
      <w:r>
        <w:t>-болезни органов дыхания: 939,1-1111, 2;</w:t>
      </w:r>
    </w:p>
    <w:p w:rsidR="005561E5" w:rsidRDefault="00B35D59">
      <w:pPr>
        <w:pStyle w:val="a3"/>
      </w:pPr>
      <w:r>
        <w:t>-болезни нервной системы: 66,1-103,8;</w:t>
      </w:r>
    </w:p>
    <w:p w:rsidR="005561E5" w:rsidRDefault="00B35D59">
      <w:pPr>
        <w:pStyle w:val="a3"/>
      </w:pPr>
      <w:r>
        <w:t>-болезни глаза и его придаточного аппарата: 103,5-123,5;</w:t>
      </w:r>
    </w:p>
    <w:p w:rsidR="005561E5" w:rsidRDefault="00B35D59">
      <w:pPr>
        <w:pStyle w:val="a3"/>
      </w:pPr>
      <w:r>
        <w:t>-врожденные аномалии: 27, 0-28,3.</w:t>
      </w:r>
    </w:p>
    <w:p w:rsidR="005561E5" w:rsidRDefault="00B35D59">
      <w:pPr>
        <w:pStyle w:val="a3"/>
      </w:pPr>
      <w:r>
        <w:t>За период 2006-2010 гг. общая заболеваемость детей увеличилась на 9,5%.</w:t>
      </w:r>
    </w:p>
    <w:p w:rsidR="005561E5" w:rsidRDefault="00B35D59">
      <w:pPr>
        <w:pStyle w:val="a3"/>
      </w:pPr>
      <w:r>
        <w:t>Озеро Байкал является уникальной экологической системой, правовые основы охраны которой регулируются принятым в 1999 году Федеральным законом «Об охране озера Байкал». В соответствии с данным федеральным законом на Байкальской природной территории установлен особый режим хозяйственной и иной деятельности, а утверждение перечня запрещённых видов деятельности делегировано Правительству Российской Федерации.</w:t>
      </w:r>
    </w:p>
    <w:p w:rsidR="005561E5" w:rsidRDefault="00B35D59">
      <w:pPr>
        <w:pStyle w:val="a3"/>
      </w:pPr>
      <w:r>
        <w:t>Увеличение антропогенного воздействия на Байкальскую природную территорию в целом приводит к заметным негативным изменениям в экологической системе озера. Наиболее известным загрязнителем вод озера Байкал является Байкальский целлюлозно-бумажный комбинат, однако значительное влияние на загрязнение озера оказывает всё же река Селенга.</w:t>
      </w:r>
    </w:p>
    <w:p w:rsidR="005561E5" w:rsidRDefault="00B35D59">
      <w:pPr>
        <w:pStyle w:val="a3"/>
      </w:pPr>
      <w:r>
        <w:t>В 2002-2007 году были многократно зафиксированы случаи превышения ПДК по различным показателям. В таблице приводится частота превышения ПДК в процентах от общего количества проб:</w:t>
      </w:r>
    </w:p>
    <w:p w:rsidR="005561E5" w:rsidRDefault="00B35D59">
      <w:pPr>
        <w:pStyle w:val="a3"/>
      </w:pPr>
      <w:r>
        <w:t> </w:t>
      </w:r>
    </w:p>
    <w:tbl>
      <w:tblPr>
        <w:tblW w:w="0" w:type="auto"/>
        <w:tblCellSpacing w:w="15"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tblGrid>
      <w:tr w:rsidR="005561E5">
        <w:trPr>
          <w:tblCellSpacing w:w="15" w:type="dxa"/>
        </w:trPr>
        <w:tc>
          <w:tcPr>
            <w:tcW w:w="0" w:type="auto"/>
            <w:vAlign w:val="center"/>
            <w:hideMark/>
          </w:tcPr>
          <w:p w:rsidR="005561E5" w:rsidRDefault="00B35D59">
            <w:r>
              <w:t>Показатель</w:t>
            </w:r>
          </w:p>
        </w:tc>
        <w:tc>
          <w:tcPr>
            <w:tcW w:w="0" w:type="auto"/>
            <w:vAlign w:val="center"/>
            <w:hideMark/>
          </w:tcPr>
          <w:p w:rsidR="005561E5" w:rsidRDefault="00B35D59">
            <w:r>
              <w:t>2002</w:t>
            </w:r>
          </w:p>
        </w:tc>
        <w:tc>
          <w:tcPr>
            <w:tcW w:w="0" w:type="auto"/>
            <w:vAlign w:val="center"/>
            <w:hideMark/>
          </w:tcPr>
          <w:p w:rsidR="005561E5" w:rsidRDefault="00B35D59">
            <w:r>
              <w:t>2003</w:t>
            </w:r>
          </w:p>
        </w:tc>
        <w:tc>
          <w:tcPr>
            <w:tcW w:w="0" w:type="auto"/>
            <w:vAlign w:val="center"/>
            <w:hideMark/>
          </w:tcPr>
          <w:p w:rsidR="005561E5" w:rsidRDefault="00B35D59">
            <w:r>
              <w:t>2004</w:t>
            </w:r>
          </w:p>
        </w:tc>
        <w:tc>
          <w:tcPr>
            <w:tcW w:w="0" w:type="auto"/>
            <w:vAlign w:val="center"/>
            <w:hideMark/>
          </w:tcPr>
          <w:p w:rsidR="005561E5" w:rsidRDefault="00B35D59">
            <w:r>
              <w:t>2005</w:t>
            </w:r>
          </w:p>
        </w:tc>
        <w:tc>
          <w:tcPr>
            <w:tcW w:w="0" w:type="auto"/>
            <w:vAlign w:val="center"/>
            <w:hideMark/>
          </w:tcPr>
          <w:p w:rsidR="005561E5" w:rsidRDefault="00B35D59">
            <w:r>
              <w:t>2006</w:t>
            </w:r>
          </w:p>
        </w:tc>
        <w:tc>
          <w:tcPr>
            <w:tcW w:w="0" w:type="auto"/>
            <w:vAlign w:val="center"/>
            <w:hideMark/>
          </w:tcPr>
          <w:p w:rsidR="005561E5" w:rsidRDefault="00B35D59">
            <w:r>
              <w:t>2007</w:t>
            </w:r>
          </w:p>
        </w:tc>
      </w:tr>
      <w:tr w:rsidR="005561E5">
        <w:trPr>
          <w:tblCellSpacing w:w="15" w:type="dxa"/>
        </w:trPr>
        <w:tc>
          <w:tcPr>
            <w:tcW w:w="0" w:type="auto"/>
            <w:vAlign w:val="center"/>
            <w:hideMark/>
          </w:tcPr>
          <w:p w:rsidR="005561E5" w:rsidRDefault="00B35D59">
            <w:r>
              <w:t>ХПК</w:t>
            </w:r>
          </w:p>
        </w:tc>
        <w:tc>
          <w:tcPr>
            <w:tcW w:w="0" w:type="auto"/>
            <w:vAlign w:val="center"/>
            <w:hideMark/>
          </w:tcPr>
          <w:p w:rsidR="005561E5" w:rsidRDefault="00B35D59">
            <w:r>
              <w:t>30</w:t>
            </w:r>
          </w:p>
        </w:tc>
        <w:tc>
          <w:tcPr>
            <w:tcW w:w="0" w:type="auto"/>
            <w:vAlign w:val="center"/>
            <w:hideMark/>
          </w:tcPr>
          <w:p w:rsidR="005561E5" w:rsidRDefault="00B35D59">
            <w:r>
              <w:t>24</w:t>
            </w:r>
          </w:p>
        </w:tc>
        <w:tc>
          <w:tcPr>
            <w:tcW w:w="0" w:type="auto"/>
            <w:vAlign w:val="center"/>
            <w:hideMark/>
          </w:tcPr>
          <w:p w:rsidR="005561E5" w:rsidRDefault="00B35D59">
            <w:r>
              <w:t>25</w:t>
            </w:r>
          </w:p>
        </w:tc>
        <w:tc>
          <w:tcPr>
            <w:tcW w:w="0" w:type="auto"/>
            <w:vAlign w:val="center"/>
            <w:hideMark/>
          </w:tcPr>
          <w:p w:rsidR="005561E5" w:rsidRDefault="00B35D59">
            <w:r>
              <w:t>29</w:t>
            </w:r>
          </w:p>
        </w:tc>
        <w:tc>
          <w:tcPr>
            <w:tcW w:w="0" w:type="auto"/>
            <w:vAlign w:val="center"/>
            <w:hideMark/>
          </w:tcPr>
          <w:p w:rsidR="005561E5" w:rsidRDefault="00B35D59">
            <w:r>
              <w:t>26</w:t>
            </w:r>
          </w:p>
        </w:tc>
        <w:tc>
          <w:tcPr>
            <w:tcW w:w="0" w:type="auto"/>
            <w:vAlign w:val="center"/>
            <w:hideMark/>
          </w:tcPr>
          <w:p w:rsidR="005561E5" w:rsidRDefault="00B35D59">
            <w:r>
              <w:t>30</w:t>
            </w:r>
          </w:p>
        </w:tc>
      </w:tr>
      <w:tr w:rsidR="005561E5">
        <w:trPr>
          <w:tblCellSpacing w:w="15" w:type="dxa"/>
        </w:trPr>
        <w:tc>
          <w:tcPr>
            <w:tcW w:w="0" w:type="auto"/>
            <w:vAlign w:val="center"/>
            <w:hideMark/>
          </w:tcPr>
          <w:p w:rsidR="005561E5" w:rsidRDefault="00B35D59">
            <w:r>
              <w:t>БПК5</w:t>
            </w:r>
          </w:p>
        </w:tc>
        <w:tc>
          <w:tcPr>
            <w:tcW w:w="0" w:type="auto"/>
            <w:vAlign w:val="center"/>
            <w:hideMark/>
          </w:tcPr>
          <w:p w:rsidR="005561E5" w:rsidRDefault="00B35D59">
            <w:r>
              <w:t>24</w:t>
            </w:r>
          </w:p>
        </w:tc>
        <w:tc>
          <w:tcPr>
            <w:tcW w:w="0" w:type="auto"/>
            <w:vAlign w:val="center"/>
            <w:hideMark/>
          </w:tcPr>
          <w:p w:rsidR="005561E5" w:rsidRDefault="00B35D59">
            <w:r>
              <w:t>31</w:t>
            </w:r>
          </w:p>
        </w:tc>
        <w:tc>
          <w:tcPr>
            <w:tcW w:w="0" w:type="auto"/>
            <w:vAlign w:val="center"/>
            <w:hideMark/>
          </w:tcPr>
          <w:p w:rsidR="005561E5" w:rsidRDefault="00B35D59">
            <w:r>
              <w:t>26</w:t>
            </w:r>
          </w:p>
        </w:tc>
        <w:tc>
          <w:tcPr>
            <w:tcW w:w="0" w:type="auto"/>
            <w:vAlign w:val="center"/>
            <w:hideMark/>
          </w:tcPr>
          <w:p w:rsidR="005561E5" w:rsidRDefault="00B35D59">
            <w:r>
              <w:t>17</w:t>
            </w:r>
          </w:p>
        </w:tc>
        <w:tc>
          <w:tcPr>
            <w:tcW w:w="0" w:type="auto"/>
            <w:vAlign w:val="center"/>
            <w:hideMark/>
          </w:tcPr>
          <w:p w:rsidR="005561E5" w:rsidRDefault="00B35D59">
            <w:r>
              <w:t>9</w:t>
            </w:r>
          </w:p>
        </w:tc>
        <w:tc>
          <w:tcPr>
            <w:tcW w:w="0" w:type="auto"/>
            <w:vAlign w:val="center"/>
            <w:hideMark/>
          </w:tcPr>
          <w:p w:rsidR="005561E5" w:rsidRDefault="00B35D59">
            <w:r>
              <w:t>15</w:t>
            </w:r>
          </w:p>
        </w:tc>
      </w:tr>
      <w:tr w:rsidR="005561E5">
        <w:trPr>
          <w:tblCellSpacing w:w="15" w:type="dxa"/>
        </w:trPr>
        <w:tc>
          <w:tcPr>
            <w:tcW w:w="0" w:type="auto"/>
            <w:vAlign w:val="center"/>
            <w:hideMark/>
          </w:tcPr>
          <w:p w:rsidR="005561E5" w:rsidRDefault="00B35D59">
            <w:r>
              <w:t>Железо</w:t>
            </w:r>
          </w:p>
        </w:tc>
        <w:tc>
          <w:tcPr>
            <w:tcW w:w="0" w:type="auto"/>
            <w:vAlign w:val="center"/>
            <w:hideMark/>
          </w:tcPr>
          <w:p w:rsidR="005561E5" w:rsidRDefault="00B35D59">
            <w:r>
              <w:t>85</w:t>
            </w:r>
          </w:p>
        </w:tc>
        <w:tc>
          <w:tcPr>
            <w:tcW w:w="0" w:type="auto"/>
            <w:vAlign w:val="center"/>
            <w:hideMark/>
          </w:tcPr>
          <w:p w:rsidR="005561E5" w:rsidRDefault="00B35D59">
            <w:r>
              <w:t>91</w:t>
            </w:r>
          </w:p>
        </w:tc>
        <w:tc>
          <w:tcPr>
            <w:tcW w:w="0" w:type="auto"/>
            <w:vAlign w:val="center"/>
            <w:hideMark/>
          </w:tcPr>
          <w:p w:rsidR="005561E5" w:rsidRDefault="00B35D59">
            <w:r>
              <w:t>89</w:t>
            </w:r>
          </w:p>
        </w:tc>
        <w:tc>
          <w:tcPr>
            <w:tcW w:w="0" w:type="auto"/>
            <w:vAlign w:val="center"/>
            <w:hideMark/>
          </w:tcPr>
          <w:p w:rsidR="005561E5" w:rsidRDefault="00B35D59">
            <w:r>
              <w:t>83</w:t>
            </w:r>
          </w:p>
        </w:tc>
        <w:tc>
          <w:tcPr>
            <w:tcW w:w="0" w:type="auto"/>
            <w:vAlign w:val="center"/>
            <w:hideMark/>
          </w:tcPr>
          <w:p w:rsidR="005561E5" w:rsidRDefault="00B35D59">
            <w:r>
              <w:t>87</w:t>
            </w:r>
          </w:p>
        </w:tc>
        <w:tc>
          <w:tcPr>
            <w:tcW w:w="0" w:type="auto"/>
            <w:vAlign w:val="center"/>
            <w:hideMark/>
          </w:tcPr>
          <w:p w:rsidR="005561E5" w:rsidRDefault="00B35D59">
            <w:r>
              <w:t>88</w:t>
            </w:r>
          </w:p>
        </w:tc>
      </w:tr>
      <w:tr w:rsidR="005561E5">
        <w:trPr>
          <w:tblCellSpacing w:w="15" w:type="dxa"/>
        </w:trPr>
        <w:tc>
          <w:tcPr>
            <w:tcW w:w="0" w:type="auto"/>
            <w:vAlign w:val="center"/>
            <w:hideMark/>
          </w:tcPr>
          <w:p w:rsidR="005561E5" w:rsidRDefault="00B35D59">
            <w:r>
              <w:t>Медь</w:t>
            </w:r>
          </w:p>
        </w:tc>
        <w:tc>
          <w:tcPr>
            <w:tcW w:w="0" w:type="auto"/>
            <w:vAlign w:val="center"/>
            <w:hideMark/>
          </w:tcPr>
          <w:p w:rsidR="005561E5" w:rsidRDefault="00B35D59">
            <w:r>
              <w:t>70</w:t>
            </w:r>
          </w:p>
        </w:tc>
        <w:tc>
          <w:tcPr>
            <w:tcW w:w="0" w:type="auto"/>
            <w:vAlign w:val="center"/>
            <w:hideMark/>
          </w:tcPr>
          <w:p w:rsidR="005561E5" w:rsidRDefault="00B35D59">
            <w:r>
              <w:t>79</w:t>
            </w:r>
          </w:p>
        </w:tc>
        <w:tc>
          <w:tcPr>
            <w:tcW w:w="0" w:type="auto"/>
            <w:vAlign w:val="center"/>
            <w:hideMark/>
          </w:tcPr>
          <w:p w:rsidR="005561E5" w:rsidRDefault="00B35D59">
            <w:r>
              <w:t>93</w:t>
            </w:r>
          </w:p>
        </w:tc>
        <w:tc>
          <w:tcPr>
            <w:tcW w:w="0" w:type="auto"/>
            <w:vAlign w:val="center"/>
            <w:hideMark/>
          </w:tcPr>
          <w:p w:rsidR="005561E5" w:rsidRDefault="00B35D59">
            <w:r>
              <w:t>85</w:t>
            </w:r>
          </w:p>
        </w:tc>
        <w:tc>
          <w:tcPr>
            <w:tcW w:w="0" w:type="auto"/>
            <w:vAlign w:val="center"/>
            <w:hideMark/>
          </w:tcPr>
          <w:p w:rsidR="005561E5" w:rsidRDefault="00B35D59">
            <w:r>
              <w:t>96</w:t>
            </w:r>
          </w:p>
        </w:tc>
        <w:tc>
          <w:tcPr>
            <w:tcW w:w="0" w:type="auto"/>
            <w:vAlign w:val="center"/>
            <w:hideMark/>
          </w:tcPr>
          <w:p w:rsidR="005561E5" w:rsidRDefault="00B35D59">
            <w:r>
              <w:t>97</w:t>
            </w:r>
          </w:p>
        </w:tc>
      </w:tr>
      <w:tr w:rsidR="005561E5">
        <w:trPr>
          <w:tblCellSpacing w:w="15" w:type="dxa"/>
        </w:trPr>
        <w:tc>
          <w:tcPr>
            <w:tcW w:w="0" w:type="auto"/>
            <w:vAlign w:val="center"/>
            <w:hideMark/>
          </w:tcPr>
          <w:p w:rsidR="005561E5" w:rsidRDefault="00B35D59">
            <w:r>
              <w:t>Цинк</w:t>
            </w:r>
          </w:p>
        </w:tc>
        <w:tc>
          <w:tcPr>
            <w:tcW w:w="0" w:type="auto"/>
            <w:vAlign w:val="center"/>
            <w:hideMark/>
          </w:tcPr>
          <w:p w:rsidR="005561E5" w:rsidRDefault="00B35D59">
            <w:r>
              <w:t>22</w:t>
            </w:r>
          </w:p>
        </w:tc>
        <w:tc>
          <w:tcPr>
            <w:tcW w:w="0" w:type="auto"/>
            <w:vAlign w:val="center"/>
            <w:hideMark/>
          </w:tcPr>
          <w:p w:rsidR="005561E5" w:rsidRDefault="00B35D59">
            <w:r>
              <w:t>18</w:t>
            </w:r>
          </w:p>
        </w:tc>
        <w:tc>
          <w:tcPr>
            <w:tcW w:w="0" w:type="auto"/>
            <w:vAlign w:val="center"/>
            <w:hideMark/>
          </w:tcPr>
          <w:p w:rsidR="005561E5" w:rsidRDefault="00B35D59">
            <w:r>
              <w:t>15</w:t>
            </w:r>
          </w:p>
        </w:tc>
        <w:tc>
          <w:tcPr>
            <w:tcW w:w="0" w:type="auto"/>
            <w:vAlign w:val="center"/>
            <w:hideMark/>
          </w:tcPr>
          <w:p w:rsidR="005561E5" w:rsidRDefault="00B35D59">
            <w:r>
              <w:t>15</w:t>
            </w:r>
          </w:p>
        </w:tc>
        <w:tc>
          <w:tcPr>
            <w:tcW w:w="0" w:type="auto"/>
            <w:vAlign w:val="center"/>
            <w:hideMark/>
          </w:tcPr>
          <w:p w:rsidR="005561E5" w:rsidRDefault="00B35D59">
            <w:r>
              <w:t>9</w:t>
            </w:r>
          </w:p>
        </w:tc>
        <w:tc>
          <w:tcPr>
            <w:tcW w:w="0" w:type="auto"/>
            <w:vAlign w:val="center"/>
            <w:hideMark/>
          </w:tcPr>
          <w:p w:rsidR="005561E5" w:rsidRDefault="00B35D59">
            <w:r>
              <w:t>9</w:t>
            </w:r>
          </w:p>
        </w:tc>
      </w:tr>
      <w:tr w:rsidR="005561E5">
        <w:trPr>
          <w:tblCellSpacing w:w="15" w:type="dxa"/>
        </w:trPr>
        <w:tc>
          <w:tcPr>
            <w:tcW w:w="0" w:type="auto"/>
            <w:vAlign w:val="center"/>
            <w:hideMark/>
          </w:tcPr>
          <w:p w:rsidR="005561E5" w:rsidRDefault="00B35D59">
            <w:r>
              <w:t>Алюминий</w:t>
            </w:r>
          </w:p>
        </w:tc>
        <w:tc>
          <w:tcPr>
            <w:tcW w:w="0" w:type="auto"/>
            <w:vAlign w:val="center"/>
            <w:hideMark/>
          </w:tcPr>
          <w:p w:rsidR="005561E5" w:rsidRDefault="00B35D59">
            <w:r>
              <w:t>0</w:t>
            </w:r>
          </w:p>
        </w:tc>
        <w:tc>
          <w:tcPr>
            <w:tcW w:w="0" w:type="auto"/>
            <w:vAlign w:val="center"/>
            <w:hideMark/>
          </w:tcPr>
          <w:p w:rsidR="005561E5" w:rsidRDefault="00B35D59">
            <w:r>
              <w:t>3</w:t>
            </w:r>
          </w:p>
        </w:tc>
        <w:tc>
          <w:tcPr>
            <w:tcW w:w="0" w:type="auto"/>
            <w:vAlign w:val="center"/>
            <w:hideMark/>
          </w:tcPr>
          <w:p w:rsidR="005561E5" w:rsidRDefault="00B35D59">
            <w:r>
              <w:t>20</w:t>
            </w:r>
          </w:p>
        </w:tc>
        <w:tc>
          <w:tcPr>
            <w:tcW w:w="0" w:type="auto"/>
            <w:vAlign w:val="center"/>
            <w:hideMark/>
          </w:tcPr>
          <w:p w:rsidR="005561E5" w:rsidRDefault="00B35D59">
            <w:r>
              <w:t>51</w:t>
            </w:r>
          </w:p>
        </w:tc>
        <w:tc>
          <w:tcPr>
            <w:tcW w:w="0" w:type="auto"/>
            <w:vAlign w:val="center"/>
            <w:hideMark/>
          </w:tcPr>
          <w:p w:rsidR="005561E5" w:rsidRDefault="00B35D59">
            <w:r>
              <w:t>0</w:t>
            </w:r>
          </w:p>
        </w:tc>
        <w:tc>
          <w:tcPr>
            <w:tcW w:w="0" w:type="auto"/>
            <w:vAlign w:val="center"/>
            <w:hideMark/>
          </w:tcPr>
          <w:p w:rsidR="005561E5" w:rsidRDefault="00B35D59">
            <w:r>
              <w:t>7</w:t>
            </w:r>
          </w:p>
        </w:tc>
      </w:tr>
      <w:tr w:rsidR="005561E5">
        <w:trPr>
          <w:tblCellSpacing w:w="15" w:type="dxa"/>
        </w:trPr>
        <w:tc>
          <w:tcPr>
            <w:tcW w:w="0" w:type="auto"/>
            <w:vAlign w:val="center"/>
            <w:hideMark/>
          </w:tcPr>
          <w:p w:rsidR="005561E5" w:rsidRDefault="00B35D59">
            <w:r>
              <w:t>Марганец</w:t>
            </w:r>
          </w:p>
        </w:tc>
        <w:tc>
          <w:tcPr>
            <w:tcW w:w="0" w:type="auto"/>
            <w:vAlign w:val="center"/>
            <w:hideMark/>
          </w:tcPr>
          <w:p w:rsidR="005561E5" w:rsidRDefault="00B35D59">
            <w:r>
              <w:t>0</w:t>
            </w:r>
          </w:p>
        </w:tc>
        <w:tc>
          <w:tcPr>
            <w:tcW w:w="0" w:type="auto"/>
            <w:vAlign w:val="center"/>
            <w:hideMark/>
          </w:tcPr>
          <w:p w:rsidR="005561E5" w:rsidRDefault="00B35D59">
            <w:r>
              <w:t>80</w:t>
            </w:r>
          </w:p>
        </w:tc>
        <w:tc>
          <w:tcPr>
            <w:tcW w:w="0" w:type="auto"/>
            <w:vAlign w:val="center"/>
            <w:hideMark/>
          </w:tcPr>
          <w:p w:rsidR="005561E5" w:rsidRDefault="00B35D59">
            <w:r>
              <w:t>80</w:t>
            </w:r>
          </w:p>
        </w:tc>
        <w:tc>
          <w:tcPr>
            <w:tcW w:w="0" w:type="auto"/>
            <w:vAlign w:val="center"/>
            <w:hideMark/>
          </w:tcPr>
          <w:p w:rsidR="005561E5" w:rsidRDefault="00B35D59">
            <w:r>
              <w:t>100</w:t>
            </w:r>
          </w:p>
        </w:tc>
        <w:tc>
          <w:tcPr>
            <w:tcW w:w="0" w:type="auto"/>
            <w:vAlign w:val="center"/>
            <w:hideMark/>
          </w:tcPr>
          <w:p w:rsidR="005561E5" w:rsidRDefault="00B35D59">
            <w:r>
              <w:t>0</w:t>
            </w:r>
          </w:p>
        </w:tc>
        <w:tc>
          <w:tcPr>
            <w:tcW w:w="0" w:type="auto"/>
            <w:vAlign w:val="center"/>
            <w:hideMark/>
          </w:tcPr>
          <w:p w:rsidR="005561E5" w:rsidRDefault="00B35D59">
            <w:r>
              <w:t>93</w:t>
            </w:r>
          </w:p>
        </w:tc>
      </w:tr>
      <w:tr w:rsidR="005561E5">
        <w:trPr>
          <w:tblCellSpacing w:w="15" w:type="dxa"/>
        </w:trPr>
        <w:tc>
          <w:tcPr>
            <w:tcW w:w="0" w:type="auto"/>
            <w:vAlign w:val="center"/>
            <w:hideMark/>
          </w:tcPr>
          <w:p w:rsidR="005561E5" w:rsidRDefault="00B35D59">
            <w:r>
              <w:t>Фенолы</w:t>
            </w:r>
          </w:p>
        </w:tc>
        <w:tc>
          <w:tcPr>
            <w:tcW w:w="0" w:type="auto"/>
            <w:vAlign w:val="center"/>
            <w:hideMark/>
          </w:tcPr>
          <w:p w:rsidR="005561E5" w:rsidRDefault="00B35D59">
            <w:r>
              <w:t>25</w:t>
            </w:r>
          </w:p>
        </w:tc>
        <w:tc>
          <w:tcPr>
            <w:tcW w:w="0" w:type="auto"/>
            <w:vAlign w:val="center"/>
            <w:hideMark/>
          </w:tcPr>
          <w:p w:rsidR="005561E5" w:rsidRDefault="00B35D59">
            <w:r>
              <w:t>14</w:t>
            </w:r>
          </w:p>
        </w:tc>
        <w:tc>
          <w:tcPr>
            <w:tcW w:w="0" w:type="auto"/>
            <w:vAlign w:val="center"/>
            <w:hideMark/>
          </w:tcPr>
          <w:p w:rsidR="005561E5" w:rsidRDefault="00B35D59">
            <w:r>
              <w:t>36</w:t>
            </w:r>
          </w:p>
        </w:tc>
        <w:tc>
          <w:tcPr>
            <w:tcW w:w="0" w:type="auto"/>
            <w:vAlign w:val="center"/>
            <w:hideMark/>
          </w:tcPr>
          <w:p w:rsidR="005561E5" w:rsidRDefault="00B35D59">
            <w:r>
              <w:t>29</w:t>
            </w:r>
          </w:p>
        </w:tc>
        <w:tc>
          <w:tcPr>
            <w:tcW w:w="0" w:type="auto"/>
            <w:vAlign w:val="center"/>
            <w:hideMark/>
          </w:tcPr>
          <w:p w:rsidR="005561E5" w:rsidRDefault="00B35D59">
            <w:r>
              <w:t>26</w:t>
            </w:r>
          </w:p>
        </w:tc>
        <w:tc>
          <w:tcPr>
            <w:tcW w:w="0" w:type="auto"/>
            <w:vAlign w:val="center"/>
            <w:hideMark/>
          </w:tcPr>
          <w:p w:rsidR="005561E5" w:rsidRDefault="00B35D59">
            <w:r>
              <w:t>3</w:t>
            </w:r>
          </w:p>
        </w:tc>
      </w:tr>
      <w:tr w:rsidR="005561E5">
        <w:trPr>
          <w:tblCellSpacing w:w="15" w:type="dxa"/>
        </w:trPr>
        <w:tc>
          <w:tcPr>
            <w:tcW w:w="0" w:type="auto"/>
            <w:vAlign w:val="center"/>
            <w:hideMark/>
          </w:tcPr>
          <w:p w:rsidR="005561E5" w:rsidRDefault="00B35D59">
            <w:r>
              <w:t>Нефтепродукты</w:t>
            </w:r>
          </w:p>
        </w:tc>
        <w:tc>
          <w:tcPr>
            <w:tcW w:w="0" w:type="auto"/>
            <w:vAlign w:val="center"/>
            <w:hideMark/>
          </w:tcPr>
          <w:p w:rsidR="005561E5" w:rsidRDefault="00B35D59">
            <w:r>
              <w:t>19</w:t>
            </w:r>
          </w:p>
        </w:tc>
        <w:tc>
          <w:tcPr>
            <w:tcW w:w="0" w:type="auto"/>
            <w:vAlign w:val="center"/>
            <w:hideMark/>
          </w:tcPr>
          <w:p w:rsidR="005561E5" w:rsidRDefault="00B35D59">
            <w:r>
              <w:t>12</w:t>
            </w:r>
          </w:p>
        </w:tc>
        <w:tc>
          <w:tcPr>
            <w:tcW w:w="0" w:type="auto"/>
            <w:vAlign w:val="center"/>
            <w:hideMark/>
          </w:tcPr>
          <w:p w:rsidR="005561E5" w:rsidRDefault="00B35D59">
            <w:r>
              <w:t>18</w:t>
            </w:r>
          </w:p>
        </w:tc>
        <w:tc>
          <w:tcPr>
            <w:tcW w:w="0" w:type="auto"/>
            <w:vAlign w:val="center"/>
            <w:hideMark/>
          </w:tcPr>
          <w:p w:rsidR="005561E5" w:rsidRDefault="00B35D59">
            <w:r>
              <w:t>24</w:t>
            </w:r>
          </w:p>
        </w:tc>
        <w:tc>
          <w:tcPr>
            <w:tcW w:w="0" w:type="auto"/>
            <w:vAlign w:val="center"/>
            <w:hideMark/>
          </w:tcPr>
          <w:p w:rsidR="005561E5" w:rsidRDefault="00B35D59">
            <w:r>
              <w:t>0</w:t>
            </w:r>
          </w:p>
        </w:tc>
        <w:tc>
          <w:tcPr>
            <w:tcW w:w="0" w:type="auto"/>
            <w:vAlign w:val="center"/>
            <w:hideMark/>
          </w:tcPr>
          <w:p w:rsidR="005561E5" w:rsidRDefault="00B35D59">
            <w:r>
              <w:t>28</w:t>
            </w:r>
          </w:p>
        </w:tc>
      </w:tr>
      <w:tr w:rsidR="005561E5">
        <w:trPr>
          <w:tblCellSpacing w:w="15" w:type="dxa"/>
        </w:trPr>
        <w:tc>
          <w:tcPr>
            <w:tcW w:w="0" w:type="auto"/>
            <w:vAlign w:val="center"/>
            <w:hideMark/>
          </w:tcPr>
          <w:p w:rsidR="005561E5" w:rsidRDefault="00B35D59">
            <w:r>
              <w:t>Фториды</w:t>
            </w:r>
          </w:p>
        </w:tc>
        <w:tc>
          <w:tcPr>
            <w:tcW w:w="0" w:type="auto"/>
            <w:vAlign w:val="center"/>
            <w:hideMark/>
          </w:tcPr>
          <w:p w:rsidR="005561E5" w:rsidRDefault="00B35D59">
            <w:r>
              <w:t>0</w:t>
            </w:r>
          </w:p>
        </w:tc>
        <w:tc>
          <w:tcPr>
            <w:tcW w:w="0" w:type="auto"/>
            <w:vAlign w:val="center"/>
            <w:hideMark/>
          </w:tcPr>
          <w:p w:rsidR="005561E5" w:rsidRDefault="00B35D59">
            <w:r>
              <w:t>31</w:t>
            </w:r>
          </w:p>
        </w:tc>
        <w:tc>
          <w:tcPr>
            <w:tcW w:w="0" w:type="auto"/>
            <w:vAlign w:val="center"/>
            <w:hideMark/>
          </w:tcPr>
          <w:p w:rsidR="005561E5" w:rsidRDefault="00B35D59">
            <w:r>
              <w:t>40</w:t>
            </w:r>
          </w:p>
        </w:tc>
        <w:tc>
          <w:tcPr>
            <w:tcW w:w="0" w:type="auto"/>
            <w:vAlign w:val="center"/>
            <w:hideMark/>
          </w:tcPr>
          <w:p w:rsidR="005561E5" w:rsidRDefault="00B35D59">
            <w:r>
              <w:t>40</w:t>
            </w:r>
          </w:p>
        </w:tc>
        <w:tc>
          <w:tcPr>
            <w:tcW w:w="0" w:type="auto"/>
            <w:vAlign w:val="center"/>
            <w:hideMark/>
          </w:tcPr>
          <w:p w:rsidR="005561E5" w:rsidRDefault="00B35D59">
            <w:r>
              <w:t>0</w:t>
            </w:r>
          </w:p>
        </w:tc>
        <w:tc>
          <w:tcPr>
            <w:tcW w:w="0" w:type="auto"/>
            <w:vAlign w:val="center"/>
            <w:hideMark/>
          </w:tcPr>
          <w:p w:rsidR="005561E5" w:rsidRDefault="00B35D59">
            <w:r>
              <w:t>57</w:t>
            </w:r>
          </w:p>
        </w:tc>
      </w:tr>
    </w:tbl>
    <w:p w:rsidR="005561E5" w:rsidRPr="00B35D59" w:rsidRDefault="00B35D59">
      <w:pPr>
        <w:pStyle w:val="a3"/>
      </w:pPr>
      <w:r>
        <w:t>Река Селенга является крупнейшим притоком озера, объём её стока составляет 30 км³ в год, что превышает половину общего речного стока в Байкал.</w:t>
      </w:r>
    </w:p>
    <w:p w:rsidR="005561E5" w:rsidRDefault="00B35D59">
      <w:pPr>
        <w:pStyle w:val="a3"/>
      </w:pPr>
      <w:r>
        <w:t>На территории Монголии основными источниками поступления загрязняющих веществ в бассейн Селенги и в последующем — в Байкал являются город Улан-Батор, а также золотодобывающие предприятия в Заамаре и предприятия по добыче полезных ископаемых в верхнем течении рек Орхон и Хараа-Гол. Кроме того, значительным источником загрязнения являются стоки промышленных предприятий города Дархана, крупного индустриального центра северной Монголии, в котором функционируют строительные комбинаты, фабрика по выделке кож, сталелитейный завод, предприятия пищевой промышленности.</w:t>
      </w:r>
    </w:p>
    <w:p w:rsidR="005561E5" w:rsidRDefault="00B35D59">
      <w:pPr>
        <w:pStyle w:val="a3"/>
      </w:pPr>
      <w:r>
        <w:t>На территории России основным загрязнителем Селенги является город Улан-Удэ, очистные сооружения которого не справляются с очисткой до нормативного уровня сточных вод промышленности и жилищно-коммунального хозяйства. Большинство очистных сооружений в небольших населённых пунктах бассейна озера Байкал на территории Республики Бурятии находится в аварийном состоянии, а в ряде населённых пунктов очистные сооружения канализации или сами системы канализации вообще отсутствуют.</w:t>
      </w:r>
    </w:p>
    <w:p w:rsidR="005561E5" w:rsidRDefault="00B35D59">
      <w:pPr>
        <w:pStyle w:val="a3"/>
      </w:pPr>
      <w:r>
        <w:t>Долгое время остаётся нерешённой проблема загрязнения реки Селенги нефтепродуктами в районе посёлка Стеклозавод. Часть загрязнения вод озера Байкал поступает из Забайкальского края по рекам Чикой и Хилок, являющимся главными притоками Селенги.</w:t>
      </w:r>
    </w:p>
    <w:p w:rsidR="005561E5" w:rsidRDefault="00B35D59">
      <w:pPr>
        <w:pStyle w:val="a3"/>
      </w:pPr>
      <w:r>
        <w:t>Серьёзную угрозу экологической безопасности озера Байкал представляют производственные и бытовые отходы. Лишь небольшая часть накапливающихся отходов производства подвергается утилизации. Одним из примеров экологических последствий деятельности ликвидированных предприятий являются отходы, накопленные в 1934 - 2001 годах, в период деятельности Джидинского вольфрам-молибденового комбината, в результате чего около одной третьей территории города Закаменска подверглось повышенному загрязнению, а в озеро Байкал до сих пор попадают различные химические элементы высокого класса опасности. В результате сбросов загрязняющих веществ река Модонкуль в районе Закаменска по гидрохимическим показателям до сих пор характеризуется как самая загрязнённая река на Байкальской природной территории.</w:t>
      </w:r>
    </w:p>
    <w:p w:rsidR="005561E5" w:rsidRDefault="00B35D59">
      <w:pPr>
        <w:pStyle w:val="a3"/>
      </w:pPr>
      <w:r>
        <w:t>Целлюлозно-бумажный комбинат</w:t>
      </w:r>
    </w:p>
    <w:p w:rsidR="005561E5" w:rsidRDefault="00B35D59">
      <w:pPr>
        <w:pStyle w:val="a3"/>
      </w:pPr>
      <w:r>
        <w:t>В 1966 г. началось производство на Байкальском целлюлозно-бумажном комбинате (БЦБК), в результате чего начали деградировать прилегающие донные территории озера. Пылегазовые выбросы негативно влияют на тайгу вокруг БЦБК, отмечается суховершинность и усыхание леса. В сентябре 2008 г. на комбинате введена замкнутая система водооборота, предназначенная для уменьшения сброса промывных вод. Согласно источнику, система оказалась неработоспособной и менее чем через месяц после её запуска комбинат пришлось остановить.</w:t>
      </w:r>
    </w:p>
    <w:p w:rsidR="005561E5" w:rsidRDefault="00B35D59">
      <w:pPr>
        <w:pStyle w:val="a3"/>
      </w:pPr>
      <w:r>
        <w:t>По постановлению Правительства Российской Федерации от 13 января 2010 года ликвидирован запрет на «производство целлюлозы, бумаги, картона и изделий из них без использования бессточных систем водопользования на производственные нужды» без каких-либо ограничений по срокам, объёмам или концентрациям веществ. Оно также кардинально изменяет ещё два пункта, касающихся складирования, захоронения и сжигания опасных отходов на берегу озера Байкал, внесённого в Список объектов Всемирного наследия ЮНЕСКО.</w:t>
      </w:r>
    </w:p>
    <w:p w:rsidR="005561E5" w:rsidRDefault="00B35D59">
      <w:pPr>
        <w:pStyle w:val="a3"/>
      </w:pPr>
      <w:r>
        <w:t>Несмотря на многочисленные протесты активистов, БЦБК вновь начал выпускать белёную целлюлозу в промышленных масштабах 8 июля 2010 г.</w:t>
      </w:r>
    </w:p>
    <w:p w:rsidR="005561E5" w:rsidRDefault="00B35D59">
      <w:pPr>
        <w:pStyle w:val="a3"/>
      </w:pPr>
      <w:r>
        <w:t>По результатам проб, взятых при погружении аппаратов «Мир» в июле 2010 г., выяснилось, что в донных отложениях в районе сброса стоков БЦБК, обнаружено высокое содержимое диоксинов, являющихся опасным ядом для любых живых организмов. В районе ЦБК диоксиновое загрязнение в 40—50 превышает таковое в северной и центральной частях озера. Пробы брались на разных глубинах, и в абсолютном большинстве зарегистрировано превышение нормы диоксинов в 3—8 раз.</w:t>
      </w:r>
    </w:p>
    <w:p w:rsidR="005561E5" w:rsidRDefault="00B35D59">
      <w:pPr>
        <w:pStyle w:val="a3"/>
      </w:pPr>
      <w:r>
        <w:t>Байкал как водохранилище</w:t>
      </w:r>
    </w:p>
    <w:p w:rsidR="005561E5" w:rsidRDefault="00B35D59">
      <w:pPr>
        <w:pStyle w:val="a3"/>
      </w:pPr>
      <w:r>
        <w:t>С 1956 года озеро используется в гидроэлектроэнергетике — оно стало составной частью Иркутского водохранилища, в результате чего уровень воды поднялся почти на 1 м.</w:t>
      </w:r>
    </w:p>
    <w:p w:rsidR="005561E5" w:rsidRDefault="00B35D59">
      <w:pPr>
        <w:pStyle w:val="a3"/>
      </w:pPr>
      <w:r>
        <w:t>Восточный нефтепровод</w:t>
      </w:r>
    </w:p>
    <w:p w:rsidR="005561E5" w:rsidRDefault="00B35D59">
      <w:pPr>
        <w:pStyle w:val="a3"/>
      </w:pPr>
      <w:r>
        <w:t>Компания «Транснефть» ведёт строительство нефтепровода «Восточная Сибирь — Тихий океан», проходящего в районе Байкала. Изначально планировалось, что трасса трубопровода пройдёт в непосредственной близости от берега озера, и тогда в случае разлива нефти Байкал оказался бы под угрозой экологической катастрофы. Прошли многочисленные акции протеста, в том числе многотысячный митинг протеста, состоявшийся в Иркутске 18 марта 2006 года. 26 апреля 2006 года в ходе совещания с сибирскими губернаторами в Томске В. В. Путин заявил о необходимости пересмотреть проект с целью провести нефтепровод не ближе 40 километров от северного побережья Байкала. В итоге «Транснефть» отказалась от первоначального плана и перенесла маршрут нефтепровода за пределы зоны водосбора Байкала так, чтобы его нитка пролегала не ближе чем в 350—400 км от озера.</w:t>
      </w:r>
    </w:p>
    <w:p w:rsidR="005561E5" w:rsidRDefault="00B35D59">
      <w:pPr>
        <w:pStyle w:val="a3"/>
      </w:pPr>
      <w:r>
        <w:t>В общем плане, можно сказать, что основные дискуссии по поводу экологии региона разворачиваются вокруг наиболее нашумевших проблем, таких, как загрязнение озера Байкал, загрязнение окружающей среды около города Норильск. Очень часто такие споры имеют своих спонсоров, которым было бы выгодно закрытие данных предприятий. На самом деле, установка более дорогих очистных систем сильно удорожит выпускаемую продукцию. Это может привести к сокращению заработных плат, сокращениям, а в крайнем случае и к закрытию предприятий из-за нерентабельности. Если взять Норильск, закрытие металлургического комбината равносильно исчезновению города из-за отсутствия в нём другой работы.</w:t>
      </w:r>
      <w:bookmarkStart w:id="0" w:name="_GoBack"/>
      <w:bookmarkEnd w:id="0"/>
    </w:p>
    <w:sectPr w:rsidR="005561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D59"/>
    <w:rsid w:val="005561E5"/>
    <w:rsid w:val="00B35D59"/>
    <w:rsid w:val="00D90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3EF6EEE-6682-4358-B5CA-0724B67A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Words>
  <Characters>14000</Characters>
  <Application>Microsoft Office Word</Application>
  <DocSecurity>0</DocSecurity>
  <Lines>116</Lines>
  <Paragraphs>32</Paragraphs>
  <ScaleCrop>false</ScaleCrop>
  <Company>diakov.net</Company>
  <LinksUpToDate>false</LinksUpToDate>
  <CharactersWithSpaces>16424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проблемы Сибирского Федерального Округа</dc:title>
  <dc:subject/>
  <dc:creator>Irina</dc:creator>
  <cp:keywords/>
  <dc:description/>
  <cp:lastModifiedBy>Irina</cp:lastModifiedBy>
  <cp:revision>2</cp:revision>
  <dcterms:created xsi:type="dcterms:W3CDTF">2014-07-19T04:13:00Z</dcterms:created>
  <dcterms:modified xsi:type="dcterms:W3CDTF">2014-07-19T04:13:00Z</dcterms:modified>
</cp:coreProperties>
</file>