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83" w:rsidRPr="00573283" w:rsidRDefault="00573283" w:rsidP="00573283">
      <w:pPr>
        <w:spacing w:before="120"/>
        <w:jc w:val="center"/>
        <w:rPr>
          <w:b/>
          <w:bCs/>
          <w:sz w:val="32"/>
          <w:szCs w:val="32"/>
        </w:rPr>
      </w:pPr>
      <w:r w:rsidRPr="00573283">
        <w:rPr>
          <w:b/>
          <w:bCs/>
          <w:sz w:val="32"/>
          <w:szCs w:val="32"/>
        </w:rPr>
        <w:t>Расчет адгезионных характеристик металлов в модели обобщенного потенциала Хейне-Абаренкова</w:t>
      </w:r>
    </w:p>
    <w:p w:rsidR="00573283" w:rsidRPr="00573283" w:rsidRDefault="00573283" w:rsidP="00573283">
      <w:pPr>
        <w:spacing w:before="120"/>
        <w:jc w:val="center"/>
        <w:rPr>
          <w:sz w:val="28"/>
          <w:szCs w:val="28"/>
        </w:rPr>
      </w:pPr>
      <w:r w:rsidRPr="00573283">
        <w:rPr>
          <w:sz w:val="28"/>
          <w:szCs w:val="28"/>
        </w:rPr>
        <w:t>М.В. Мамонова, Р.В. Потерин, В.В. Прудников, Омский государственный университет, кафедра теоретической физики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Явление возникновения связи между поверхностными слоями разнородных конденсированных тел, приведенных в соприкосновение, получило название адгезии. С физической точки зрения, адгезия определяется силами межмолекулярного взаимодействия, наличием ионной, ковалентной, металлической и других типов связи. Возникает необходимость определения характеристик адгезионного взаимодействия различных материалов как с точки зрения прикладной, так и фундаментальной науки о поверхностных явлениях.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В предлагаемой работе в рамках метода функционала плотности проведен расчет адгезионных характеристик для ряда металлов. Исследованы влияния различных приближений, учитывающих дискретность кристаллической структуры и неоднородность электронного газа в межфазной области раздела. Для расчета влияния электрон-ионного взаимодействия на адгезионные характеристики металлов нами был впервые использован обобщенный псевдопотенциал Хейне-Абаренкова. Проведен сравнительный анализ результатов, полученных с его использованием, с результатами, полученными с привлечением иных моделей, в частности, псевдопотенциала Ашкрофта.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Метод функционала плотности состоит в решении вариационной задачи о нахождении минимума энергии системы электронов, рассматриваемой на фоне заданного положительного заряда. В качестве пробных функций электронного распределения, как правило, выбирают решения формально линеаризованного уравнения Томаса-Ферми, а вариационным параметром считают обратную длину экранирования </w:t>
      </w:r>
      <w:r w:rsidR="00AD45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7.5pt;height:12.75pt">
            <v:imagedata r:id="rId4" o:title=""/>
          </v:shape>
        </w:pict>
      </w:r>
      <w:r w:rsidRPr="002F4EC7">
        <w:t xml:space="preserve">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Рассмотрим два полуограниченных металла, занимающих области z&lt;-D и z&gt;D. Пусть положительный заряд фона распределен в соответствии с формулой </w: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076" type="#_x0000_t75" style="width:392.25pt;height:14.25pt">
            <v:imagedata r:id="rId5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  <w:r w:rsidR="00AD45E7">
        <w:pict>
          <v:shape id="_x0000_i1079" type="#_x0000_t75" style="width:9pt;height:6.75pt">
            <v:imagedata r:id="rId6" o:title=""/>
          </v:shape>
        </w:pict>
      </w:r>
      <w:r w:rsidRPr="002F4EC7">
        <w:t xml:space="preserve">и </w:t>
      </w:r>
      <w:r w:rsidR="00AD45E7">
        <w:pict>
          <v:shape id="_x0000_i1082" type="#_x0000_t75" style="width:9pt;height:6.75pt">
            <v:imagedata r:id="rId7" o:title=""/>
          </v:shape>
        </w:pict>
      </w:r>
      <w:r w:rsidRPr="002F4EC7">
        <w:t xml:space="preserve">- плотности заряда фона; </w:t>
      </w:r>
      <w:r w:rsidR="00AD45E7">
        <w:pict>
          <v:shape id="_x0000_i1085" type="#_x0000_t75" style="width:24pt;height:12.75pt">
            <v:imagedata r:id="rId8" o:title=""/>
          </v:shape>
        </w:pict>
      </w:r>
      <w:r w:rsidRPr="002F4EC7">
        <w:t xml:space="preserve">- ступенчатая функция. Решение линеаризованного уравнения Томаса-Ферми с использованием граничных условий, отражающих непрерывность электростатического потенциала </w:t>
      </w:r>
      <w:r w:rsidR="00AD45E7">
        <w:pict>
          <v:shape id="_x0000_i1088" type="#_x0000_t75" style="width:6pt;height:12.75pt">
            <v:imagedata r:id="rId9" o:title=""/>
          </v:shape>
        </w:pict>
      </w:r>
      <w:r w:rsidRPr="002F4EC7">
        <w:t>(z) и электрической индукции d</w:t>
      </w:r>
      <w:r w:rsidR="00AD45E7">
        <w:pict>
          <v:shape id="_x0000_i1091" type="#_x0000_t75" style="width:6pt;height:12.75pt">
            <v:imagedata r:id="rId9" o:title=""/>
          </v:shape>
        </w:pict>
      </w:r>
      <w:r w:rsidRPr="002F4EC7">
        <w:t>/dz при z=</w:t>
      </w:r>
      <w:r w:rsidR="00AD45E7">
        <w:pict>
          <v:shape id="_x0000_i1094" type="#_x0000_t75" style="width:8.25pt;height:9.75pt">
            <v:imagedata r:id="rId10" o:title=""/>
          </v:shape>
        </w:pict>
      </w:r>
      <w:r w:rsidRPr="002F4EC7">
        <w:t xml:space="preserve">D, а также конечность потенциала на бесконечности, позволяет при связи </w:t>
      </w:r>
      <w:r w:rsidR="00AD45E7">
        <w:pict>
          <v:shape id="_x0000_i1097" type="#_x0000_t75" style="width:4.5pt;height:10.5pt">
            <v:imagedata r:id="rId9" o:title=""/>
          </v:shape>
        </w:pict>
      </w:r>
      <w:r w:rsidRPr="002F4EC7">
        <w:t>(z)=-4</w:t>
      </w:r>
      <w:r w:rsidR="00AD45E7">
        <w:pict>
          <v:shape id="_x0000_i1100" type="#_x0000_t75" style="width:6.75pt;height:4.5pt">
            <v:imagedata r:id="rId11" o:title=""/>
          </v:shape>
        </w:pict>
      </w:r>
      <w:r w:rsidRPr="002F4EC7">
        <w:t>n(z)/</w:t>
      </w:r>
      <w:r w:rsidR="00AD45E7">
        <w:pict>
          <v:shape id="_x0000_i1103" type="#_x0000_t75" style="width:10.5pt;height:12.75pt">
            <v:imagedata r:id="rId12" o:title=""/>
          </v:shape>
        </w:pict>
      </w:r>
      <w:r w:rsidRPr="002F4EC7">
        <w:t xml:space="preserve"> получить следующее выражение для плотности электронного распределения n(z) в системе: </w: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106" type="#_x0000_t75" style="width:429pt;height:64.5pt">
            <v:imagedata r:id="rId13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  <w:r w:rsidR="00AD45E7">
        <w:pict>
          <v:shape id="_x0000_i1109" type="#_x0000_t75" style="width:168.75pt;height:12.75pt">
            <v:imagedata r:id="rId14" o:title=""/>
          </v:shape>
        </w:pict>
      </w:r>
      <w:r>
        <w:t xml:space="preserve"> </w:t>
      </w:r>
      <w:r w:rsidR="00AD45E7">
        <w:pict>
          <v:shape id="_x0000_i1112" type="#_x0000_t75" style="width:168.75pt;height:12.75pt">
            <v:imagedata r:id="rId15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Определим межфазную энергию взаимодействия контактирующих металлов, приходящуюся на единицу площади, как интеграл по z от объемной плотности энергии основного состояния электронного газа: </w: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115" type="#_x0000_t75" style="width:399pt;height:29.25pt">
            <v:imagedata r:id="rId16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В рамках модели "желе" объемная плотность энергии неоднородного электронного газа может быть представлена в виде градиентного разложения: </w: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118" type="#_x0000_t75" style="width:427.5pt;height:15.75pt">
            <v:imagedata r:id="rId17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21" type="#_x0000_t75" style="width:268.5pt;height:15pt">
            <v:imagedata r:id="rId18" o:title=""/>
          </v:shape>
        </w:pic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124" type="#_x0000_t75" style="width:411.75pt;height:34.5pt">
            <v:imagedata r:id="rId19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есть плотность энергии однородного электронного газа в атомных единицах, включающая последовательно электростатическую, кинетическую, обменную и корреляционную энергии, а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27" type="#_x0000_t75" style="width:419.25pt;height:21.75pt">
            <v:imagedata r:id="rId20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30" type="#_x0000_t75" style="width:207.75pt;height:36.75pt">
            <v:imagedata r:id="rId21" o:title=""/>
          </v:shape>
        </w:pict>
      </w:r>
    </w:p>
    <w:p w:rsidR="00573283" w:rsidRPr="002F4EC7" w:rsidRDefault="00AD45E7" w:rsidP="00573283">
      <w:pPr>
        <w:spacing w:before="120"/>
        <w:ind w:firstLine="567"/>
        <w:jc w:val="both"/>
      </w:pPr>
      <w:r>
        <w:pict>
          <v:shape id="_x0000_i1133" type="#_x0000_t75" style="width:86.25pt;height:15pt">
            <v:imagedata r:id="rId22" o:title=""/>
          </v:shape>
        </w:pict>
      </w:r>
      <w:r w:rsidR="00573283" w:rsidRPr="002F4EC7">
        <w:t xml:space="preserve">- фермиевский волновой вектор, </w:t>
      </w:r>
      <w:r w:rsidR="00573283">
        <w:t xml:space="preserve">  </w:t>
      </w:r>
      <w:r w:rsidR="00573283" w:rsidRPr="002F4EC7">
        <w:t xml:space="preserve">являются соответственно градиентными поправками второго порядка на неоднородность электронного газа для кинетической энергии в приближении Вейцзекера-Киржница и обменно-корреляционной энергии в приближении Вашишты-Сингви (VS) [1]. Приближение VS является наиболее употребимым для большинства металлов. Учет только поправки для кинетической энергии без рассмотрения влияния </w:t>
      </w:r>
      <w:r>
        <w:pict>
          <v:shape id="_x0000_i1136" type="#_x0000_t75" style="width:12.75pt;height:6.75pt">
            <v:imagedata r:id="rId23" o:title=""/>
          </v:shape>
        </w:pict>
      </w:r>
      <w:r w:rsidR="00573283" w:rsidRPr="002F4EC7">
        <w:t xml:space="preserve">соответствует приближению хаотических фаз (ПХФ).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Поправки к межфазной энергии, связанные с учетом дискретности распределения положительного заряда, вычисляются в рамках модели псевдопотенциала Хейне-Абаренкова: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39" type="#_x0000_t75" style="width:383.25pt;height:36.75pt">
            <v:imagedata r:id="rId24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усредненного по кристаллическим плоскостям, параллельным поверхности металлов, и будут характеризоваться параметрами </w:t>
      </w:r>
      <w:r w:rsidR="00AD45E7">
        <w:pict>
          <v:shape id="_x0000_i1142" type="#_x0000_t75" style="width:93pt;height:10.5pt">
            <v:imagedata r:id="rId25" o:title=""/>
          </v:shape>
        </w:pict>
      </w:r>
      <w:r w:rsidRPr="002F4EC7">
        <w:t xml:space="preserve">и межплоскостными расстояниями </w:t>
      </w:r>
      <w:r w:rsidR="00AD45E7">
        <w:pict>
          <v:shape id="_x0000_i1145" type="#_x0000_t75" style="width:34.5pt;height:12.75pt">
            <v:imagedata r:id="rId26" o:title=""/>
          </v:shape>
        </w:pict>
      </w:r>
      <w:r w:rsidRPr="002F4EC7">
        <w:t xml:space="preserve">. В результате поправка, связанная с электрон-ионным взаимодействием, принимает вид: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48" type="#_x0000_t75" style="width:250.5pt;height:36.75pt">
            <v:imagedata r:id="rId27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</w:p>
    <w:p w:rsidR="00573283" w:rsidRDefault="00AD45E7" w:rsidP="00573283">
      <w:pPr>
        <w:spacing w:before="120"/>
        <w:ind w:firstLine="567"/>
        <w:jc w:val="both"/>
      </w:pPr>
      <w:r>
        <w:pict>
          <v:shape id="_x0000_i1151" type="#_x0000_t75" style="width:189.75pt;height:39pt">
            <v:imagedata r:id="rId28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</w:p>
    <w:p w:rsidR="00573283" w:rsidRDefault="00AD45E7" w:rsidP="00573283">
      <w:pPr>
        <w:spacing w:before="120"/>
        <w:ind w:firstLine="567"/>
        <w:jc w:val="both"/>
      </w:pPr>
      <w:r>
        <w:pict>
          <v:shape id="_x0000_i1154" type="#_x0000_t75" style="width:364.5pt;height:21.75pt">
            <v:imagedata r:id="rId29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Для получения поправки к межфазной энергии, связанной с взаимодействием ионов металлов, мы воспользовались интерполяционной формулой, предложенной в [2]. Тогда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57" type="#_x0000_t75" style="width:402pt;height:56.25pt">
            <v:imagedata r:id="rId30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  <w:r w:rsidR="00AD45E7">
        <w:pict>
          <v:shape id="_x0000_i1160" type="#_x0000_t75" style="width:34.5pt;height:10.5pt">
            <v:imagedata r:id="rId31" o:title=""/>
          </v:shape>
        </w:pict>
      </w:r>
      <w:r w:rsidRPr="002F4EC7">
        <w:t xml:space="preserve">- валентности металлов; </w:t>
      </w:r>
      <w:r w:rsidR="00AD45E7">
        <w:pict>
          <v:shape id="_x0000_i1163" type="#_x0000_t75" style="width:30pt;height:9pt">
            <v:imagedata r:id="rId32" o:title=""/>
          </v:shape>
        </w:pict>
      </w:r>
      <w:r w:rsidRPr="002F4EC7">
        <w:t xml:space="preserve">- расстояния между ближайшими ионами в плоскостях, параллельных поверхностям металлов.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В соответствии с методом функционала плотности величина вариационного параметра </w:t>
      </w:r>
      <w:r w:rsidR="00AD45E7">
        <w:pict>
          <v:shape id="_x0000_i1166" type="#_x0000_t75" style="width:6.75pt;height:10.5pt">
            <v:imagedata r:id="rId4" o:title=""/>
          </v:shape>
        </w:pict>
      </w:r>
      <w:r w:rsidRPr="002F4EC7">
        <w:t xml:space="preserve">находится из требования минимальности полной межфазной энергии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69" type="#_x0000_t75" style="width:338.25pt;height:30pt">
            <v:imagedata r:id="rId33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где </w:t>
      </w:r>
      <w:r w:rsidR="00AD45E7">
        <w:pict>
          <v:shape id="_x0000_i1172" type="#_x0000_t75" style="width:226.5pt;height:12.75pt">
            <v:imagedata r:id="rId34" o:title=""/>
          </v:shape>
        </w:pict>
      </w:r>
      <w:r w:rsidRPr="002F4EC7">
        <w:t xml:space="preserve">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Решение уравнения (10) задает значения параметра </w:t>
      </w:r>
      <w:r w:rsidR="00AD45E7">
        <w:pict>
          <v:shape id="_x0000_i1175" type="#_x0000_t75" style="width:24pt;height:10.5pt">
            <v:imagedata r:id="rId35" o:title=""/>
          </v:shape>
        </w:pict>
      </w:r>
      <w:r w:rsidRPr="002F4EC7">
        <w:t xml:space="preserve">как функцию величины зазора 2D. Итогом решения вариационной задачи является полная межфазная энергия системы </w:t>
      </w:r>
      <w:r w:rsidR="00AD45E7">
        <w:pict>
          <v:shape id="_x0000_i1178" type="#_x0000_t75" style="width:60.75pt;height:12.75pt">
            <v:imagedata r:id="rId36" o:title=""/>
          </v:shape>
        </w:pict>
      </w:r>
      <w:r w:rsidRPr="002F4EC7">
        <w:t xml:space="preserve">. Зная ее, легко найти энергию адгезии системы как работу, необходимую для удаления металлов друг от друга на бесконечность, т.е. </w:t>
      </w:r>
      <w:r w:rsidR="00AD45E7">
        <w:pict>
          <v:shape id="_x0000_i1181" type="#_x0000_t75" style="width:129.75pt;height:12.75pt">
            <v:imagedata r:id="rId37" o:title=""/>
          </v:shape>
        </w:pict>
      </w:r>
      <w:r w:rsidRPr="002F4EC7">
        <w:t xml:space="preserve">. Тогда сила адгезионного взаимодействия системы определяется как производная по D от межфазной энергии </w:t>
      </w:r>
      <w:r w:rsidR="00AD45E7">
        <w:pict>
          <v:shape id="_x0000_i1184" type="#_x0000_t75" style="width:41.25pt;height:12.75pt">
            <v:imagedata r:id="rId38" o:title=""/>
          </v:shape>
        </w:pict>
      </w:r>
      <w:r w:rsidRPr="002F4EC7">
        <w:t xml:space="preserve">при </w:t>
      </w:r>
      <w:r w:rsidR="00AD45E7">
        <w:pict>
          <v:shape id="_x0000_i1187" type="#_x0000_t75" style="width:51.75pt;height:10.5pt">
            <v:imagedata r:id="rId39" o:title=""/>
          </v:shape>
        </w:pict>
      </w:r>
      <w:r w:rsidRPr="002F4EC7">
        <w:t xml:space="preserve">: </w:t>
      </w:r>
    </w:p>
    <w:p w:rsidR="00573283" w:rsidRDefault="00AD45E7" w:rsidP="00573283">
      <w:pPr>
        <w:spacing w:before="120"/>
        <w:ind w:firstLine="567"/>
        <w:jc w:val="both"/>
      </w:pPr>
      <w:r>
        <w:pict>
          <v:shape id="_x0000_i1190" type="#_x0000_t75" style="width:345.75pt;height:27.75pt">
            <v:imagedata r:id="rId40" o:title=""/>
          </v:shape>
        </w:pic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В соответствии с вышеизложенной методикой разработана программа численного интегрирования в (3) при одновременной минимизации в (10). Расчеты адгезионных характеристик были проведены для ряда простых и переходных металлов, полагая, что к межфазной границе раздела металлы направлены плотноупакованными гранями. Значения исходных параметров, использованные для расчета адгезионных характеристик металлов, приведены в следующей таблице: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52"/>
        <w:gridCol w:w="865"/>
        <w:gridCol w:w="1351"/>
        <w:gridCol w:w="1256"/>
        <w:gridCol w:w="1245"/>
        <w:gridCol w:w="1306"/>
        <w:gridCol w:w="1428"/>
        <w:gridCol w:w="1315"/>
      </w:tblGrid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Me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Z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AD45E7" w:rsidP="00573283">
            <w:r>
              <w:pict>
                <v:shape id="_x0000_i1193" type="#_x0000_t75" style="width:15pt;height:9pt">
                  <v:imagedata r:id="rId41" o:title=""/>
                </v:shape>
              </w:pict>
            </w:r>
            <w:r w:rsidR="00573283" w:rsidRPr="002F4EC7">
              <w:t>а.е.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d, а.е.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c, а.е.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rc, а.е.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Rm, а.е.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AD45E7" w:rsidP="00573283">
            <w:r>
              <w:pict>
                <v:shape id="_x0000_i1196" type="#_x0000_t75" style="width:12.75pt;height:10.5pt">
                  <v:imagedata r:id="rId42" o:title=""/>
                </v:shape>
              </w:pict>
            </w:r>
            <w:r w:rsidR="00573283" w:rsidRPr="002F4EC7">
              <w:t>а.е.</w:t>
            </w:r>
          </w:p>
        </w:tc>
      </w:tr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Al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3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0.027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4.29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5.25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0.96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1.15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0.28</w:t>
            </w:r>
          </w:p>
        </w:tc>
      </w:tr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Pb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0.019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5.38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6.59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1.46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1.36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-0.67</w:t>
            </w:r>
          </w:p>
        </w:tc>
      </w:tr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Cu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0.025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3.92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4.80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0.92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1.41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1.21</w:t>
            </w:r>
          </w:p>
        </w:tc>
      </w:tr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Fe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0.050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3.84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4.70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0.95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1.03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0.94</w:t>
            </w:r>
          </w:p>
        </w:tc>
      </w:tr>
      <w:tr w:rsidR="00573283" w:rsidRPr="002F4EC7" w:rsidTr="00573283">
        <w:trPr>
          <w:tblCellSpacing w:w="15" w:type="dxa"/>
          <w:jc w:val="center"/>
        </w:trPr>
        <w:tc>
          <w:tcPr>
            <w:tcW w:w="5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Cr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0.049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3.85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4.72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0.96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1.06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3283" w:rsidRPr="002F4EC7" w:rsidRDefault="00573283" w:rsidP="00573283">
            <w:r w:rsidRPr="002F4EC7">
              <w:t>1.02</w:t>
            </w:r>
          </w:p>
        </w:tc>
      </w:tr>
    </w:tbl>
    <w:p w:rsidR="00573283" w:rsidRDefault="00573283" w:rsidP="00573283">
      <w:pPr>
        <w:spacing w:before="120"/>
        <w:ind w:firstLine="567"/>
        <w:jc w:val="both"/>
      </w:pPr>
      <w:r w:rsidRPr="002F4EC7">
        <w:t xml:space="preserve">На рис.1 приведены графики рассчитанных в рамках модели обобщенного псевдопотенциала Хейне-Абаренкова значений силы адгезионного взаимодействия как функции величины зазора 2D для таких пар металлов, как Al-Pb, Fe-Cr, Fe-Pb, Fe-Al, Al-Cu. На рисунках видно, что на малых расстояниях </w:t>
      </w:r>
      <w:r w:rsidR="00AD45E7">
        <w:pict>
          <v:shape id="_x0000_i1199" type="#_x0000_t75" style="width:51.75pt;height:10.5pt">
            <v:imagedata r:id="rId43" o:title=""/>
          </v:shape>
        </w:pict>
      </w:r>
      <w:r w:rsidRPr="002F4EC7">
        <w:t xml:space="preserve">наблюдается притяжение металлических поверхностей. Последующий рост величины зазора сопровождается отталкиванием металлических поверхностей. При этом сила электростатического отталкивания характеризуется максимумом при </w:t>
      </w:r>
      <w:r w:rsidR="00AD45E7">
        <w:pict>
          <v:shape id="_x0000_i1202" type="#_x0000_t75" style="width:45pt;height:10.5pt">
            <v:imagedata r:id="rId44" o:title=""/>
          </v:shape>
        </w:pict>
      </w:r>
      <w:r w:rsidRPr="002F4EC7">
        <w:t xml:space="preserve">и сильным спадом при </w:t>
      </w:r>
      <w:r w:rsidR="00AD45E7">
        <w:pict>
          <v:shape id="_x0000_i1205" type="#_x0000_t75" style="width:56.25pt;height:10.5pt">
            <v:imagedata r:id="rId45" o:title=""/>
          </v:shape>
        </w:pict>
      </w:r>
      <w:r w:rsidRPr="002F4EC7">
        <w:t xml:space="preserve">. Физически смена характера электростатической силы адгезии связана с тем, что на малых расстояниях электронный "хвост" одного металла проникает в ионный остов противоположного и притягивается последним. При увеличении зазора электронный "хвост" выходит из зоны взаимодействия с ионным остовом, взаимодействуя с электронным "хвостом" противоположного металла. Это вызывает отталкивание металлических поверхностей. Из графиков также видно, что значения адгезионных характеристик для благородных и переходных металлов значительно выше, чем для простых металлов. </w:t>
      </w:r>
    </w:p>
    <w:p w:rsidR="00573283" w:rsidRPr="002F4EC7" w:rsidRDefault="00573283" w:rsidP="00B03591">
      <w:pPr>
        <w:spacing w:before="120"/>
        <w:ind w:firstLine="567"/>
        <w:jc w:val="both"/>
      </w:pPr>
      <w:r w:rsidRPr="002F4EC7">
        <w:t xml:space="preserve">Рис. 1 Сила адгезионного взаимодействия как функция величины зазора для пар металлов: </w:t>
      </w:r>
      <w:r>
        <w:t xml:space="preserve"> </w:t>
      </w:r>
      <w:r w:rsidRPr="002F4EC7">
        <w:t>1-Fe-Cr, 2-Fe-Al, 3-Fe-Pb, 4-Al-Cu, 5-Al-Pb</w:t>
      </w:r>
    </w:p>
    <w:p w:rsidR="00573283" w:rsidRPr="002F4EC7" w:rsidRDefault="00AD45E7" w:rsidP="00B03591">
      <w:pPr>
        <w:spacing w:before="120"/>
        <w:ind w:firstLine="567"/>
        <w:jc w:val="both"/>
      </w:pPr>
      <w:r>
        <w:pict>
          <v:shape id="_x0000_i1208" type="#_x0000_t75" style="width:196.5pt;height:172.5pt">
            <v:imagedata r:id="rId46" o:title=""/>
          </v:shape>
        </w:pict>
      </w:r>
    </w:p>
    <w:p w:rsidR="00573283" w:rsidRDefault="00573283" w:rsidP="00573283">
      <w:pPr>
        <w:spacing w:before="120"/>
        <w:ind w:firstLine="567"/>
        <w:jc w:val="both"/>
      </w:pPr>
      <w:r w:rsidRPr="002F4EC7">
        <w:t>На рис.2 приведены сравнительные адгезионные характеристики для пары простых металлов Al-Pb, вычисленные как с использованием псевдопотенциала Хейне-Абаренкова с обменно-корреляционной поправкой в приближении VS, так и псевдопотенциала Ашкрофта (псевдопотенциал Хейне-Абаренкова переходит в выражение для псевдопотенциала Ашкрофта при V0</w:t>
      </w:r>
      <w:r>
        <w:t xml:space="preserve"> </w:t>
      </w:r>
      <w:r w:rsidRPr="002F4EC7">
        <w:t>=</w:t>
      </w:r>
      <w:r>
        <w:t xml:space="preserve"> </w:t>
      </w:r>
      <w:r w:rsidRPr="002F4EC7">
        <w:t xml:space="preserve">0) с обменно-корреляционной поправкой в приближении VS и в приближении ПХФ. Последнее обусловлено тем, что в модели псевдопотенциала Ашкрофта поверхностная энергия алюминия наиболее удачно описывается обменно-корреляционной поправкой VS, а поверхностная энергия свинца - ПХФ [3]. Но методика расчета адгезионных характеристик требует использования единой обменно-корреляционной поправки для обоих контактирующих металлов. Это требование наиболее полно реализуется, как показано в данной работе, при использовании для различных металлов псевдопотенциала Хейне-Абаренкова с обменно-корреляционной поправкой в приближении VS. Вычисления, проведенные в приближении псевдопотенциала Хейне-Абаренкова, значительно уточняют соответствующие расчеты, проведенные в рамках модели Ашкрофта, и могут быть распространены для описания адгезии как простых, так и переходных металлов. </w:t>
      </w:r>
    </w:p>
    <w:p w:rsidR="00573283" w:rsidRPr="002F4EC7" w:rsidRDefault="00573283" w:rsidP="00573283">
      <w:pPr>
        <w:spacing w:before="120"/>
        <w:ind w:firstLine="567"/>
        <w:jc w:val="both"/>
      </w:pPr>
      <w:r w:rsidRPr="002F4EC7">
        <w:t xml:space="preserve"> </w:t>
      </w:r>
    </w:p>
    <w:p w:rsidR="00573283" w:rsidRPr="002F4EC7" w:rsidRDefault="00573283" w:rsidP="00B03591">
      <w:pPr>
        <w:spacing w:before="120"/>
        <w:ind w:firstLine="567"/>
        <w:jc w:val="both"/>
      </w:pPr>
      <w:r w:rsidRPr="002F4EC7">
        <w:t xml:space="preserve">Рис. 2 Сила адгезионного взаимодействия как функция величины зазора для пары Al-Pb: </w:t>
      </w:r>
      <w:r>
        <w:t xml:space="preserve"> </w:t>
      </w:r>
      <w:r w:rsidRPr="002F4EC7">
        <w:t xml:space="preserve">1 - модель Ашкрофта, приближение VS; </w:t>
      </w:r>
      <w:r>
        <w:t xml:space="preserve"> </w:t>
      </w:r>
      <w:r w:rsidRPr="002F4EC7">
        <w:t xml:space="preserve">2 - модель Хейне-Абаренкова, приближение VS; </w:t>
      </w:r>
      <w:r>
        <w:t xml:space="preserve"> </w:t>
      </w:r>
      <w:r w:rsidRPr="002F4EC7">
        <w:t xml:space="preserve">3 - модель Ашкрофта, приближение ПХФ. </w:t>
      </w:r>
    </w:p>
    <w:p w:rsidR="00573283" w:rsidRPr="002F4EC7" w:rsidRDefault="00AD45E7" w:rsidP="00B03591">
      <w:pPr>
        <w:spacing w:before="120"/>
        <w:ind w:firstLine="567"/>
        <w:jc w:val="both"/>
      </w:pPr>
      <w:r>
        <w:pict>
          <v:shape id="_x0000_i1211" type="#_x0000_t75" style="width:196.5pt;height:179.25pt">
            <v:imagedata r:id="rId47" o:title=""/>
          </v:shape>
        </w:pict>
      </w:r>
    </w:p>
    <w:p w:rsidR="00573283" w:rsidRPr="00573283" w:rsidRDefault="00573283" w:rsidP="00573283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573283">
        <w:rPr>
          <w:b/>
          <w:bCs/>
          <w:sz w:val="28"/>
          <w:szCs w:val="28"/>
        </w:rPr>
        <w:t>Список</w:t>
      </w:r>
      <w:r w:rsidRPr="00573283">
        <w:rPr>
          <w:b/>
          <w:bCs/>
          <w:sz w:val="28"/>
          <w:szCs w:val="28"/>
          <w:lang w:val="en-US"/>
        </w:rPr>
        <w:t xml:space="preserve"> </w:t>
      </w:r>
      <w:r w:rsidRPr="00573283">
        <w:rPr>
          <w:b/>
          <w:bCs/>
          <w:sz w:val="28"/>
          <w:szCs w:val="28"/>
        </w:rPr>
        <w:t>литературы</w:t>
      </w:r>
    </w:p>
    <w:p w:rsidR="00573283" w:rsidRPr="00573283" w:rsidRDefault="00573283" w:rsidP="00B03591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Vashishta P., Singwi K.S. Electron correlations at metallic densities // Phys.Rev. 1972. </w:t>
      </w:r>
      <w:r w:rsidRPr="00573283">
        <w:rPr>
          <w:lang w:val="en-US"/>
        </w:rPr>
        <w:t xml:space="preserve">B6. ò3. P.875-887. </w:t>
      </w:r>
    </w:p>
    <w:p w:rsidR="00573283" w:rsidRPr="00573283" w:rsidRDefault="00573283" w:rsidP="00B03591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Ferrante J., Smith J.R. A theory of adhesional bimetallic interfaceoverlap effects // Surface Science. </w:t>
      </w:r>
      <w:r w:rsidRPr="00573283">
        <w:rPr>
          <w:lang w:val="en-US"/>
        </w:rPr>
        <w:t xml:space="preserve">1973. 38. ò1. P.77-92. </w:t>
      </w:r>
    </w:p>
    <w:p w:rsidR="00573283" w:rsidRPr="002F4EC7" w:rsidRDefault="00573283" w:rsidP="00B03591">
      <w:pPr>
        <w:spacing w:before="120"/>
        <w:ind w:firstLine="567"/>
        <w:jc w:val="both"/>
      </w:pPr>
      <w:r w:rsidRPr="002F4EC7">
        <w:t xml:space="preserve">Вакилов А.Н.,Прудников В.В.,Прудникова М.В. Расчет решеточной релаксации металлических поверхностей с учетом влияния градиентных поправок на неоднородность электронной системы // ФММ. 1993. 76. ò6. С.38-48.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283"/>
    <w:rsid w:val="00095BA6"/>
    <w:rsid w:val="002F4EC7"/>
    <w:rsid w:val="0031418A"/>
    <w:rsid w:val="00573283"/>
    <w:rsid w:val="005A2562"/>
    <w:rsid w:val="008A0A4A"/>
    <w:rsid w:val="00A44D32"/>
    <w:rsid w:val="00AA4432"/>
    <w:rsid w:val="00AD45E7"/>
    <w:rsid w:val="00B0359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docId w15:val="{4BAA9286-9378-4BBE-A277-97909431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73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fontTable" Target="fontTable.xml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7026</Characters>
  <Application>Microsoft Office Word</Application>
  <DocSecurity>0</DocSecurity>
  <Lines>58</Lines>
  <Paragraphs>16</Paragraphs>
  <ScaleCrop>false</ScaleCrop>
  <Company>Home</Company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адгезионных характеристик металлов в модели обобщенного потенциала Хейне-Абаренкова</dc:title>
  <dc:subject/>
  <dc:creator>Alena</dc:creator>
  <cp:keywords/>
  <dc:description/>
  <cp:lastModifiedBy>admin</cp:lastModifiedBy>
  <cp:revision>2</cp:revision>
  <dcterms:created xsi:type="dcterms:W3CDTF">2014-02-16T18:06:00Z</dcterms:created>
  <dcterms:modified xsi:type="dcterms:W3CDTF">2014-02-16T18:06:00Z</dcterms:modified>
</cp:coreProperties>
</file>