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2A" w:rsidRDefault="00C0232A">
      <w:pPr>
        <w:jc w:val="center"/>
        <w:rPr>
          <w:rFonts w:ascii="Courier New" w:hAnsi="Courier New"/>
          <w:sz w:val="22"/>
          <w:lang w:val="en-US"/>
        </w:rPr>
      </w:pPr>
    </w:p>
    <w:p w:rsidR="00C0232A" w:rsidRDefault="00C0232A">
      <w:pPr>
        <w:rPr>
          <w:rFonts w:ascii="Courier New" w:hAnsi="Courier New"/>
          <w:sz w:val="22"/>
          <w:lang w:val="en-US"/>
        </w:rPr>
      </w:pP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ЛЕКЦИЯ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ТЕМА: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 xml:space="preserve"> - ДЕФИЦИТНАЯ АНЕМИЯ.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- дефицитная анемия относится к группе мегалобластных анемий.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Мегалобластные анемии - группы заболеваний, характеризующихся ослаблением синтеза ДНК, в результате чего нарушается деление всех быстропролиферирующих клеток (гемопоэтических клеток, клеток кожи, клеток ЖКТ, слизистых оболочек). Кроветворные клетки относятся к наиболее быстро размножающимся элементам, поэтому анемия, а также нередко нейтропения и тромбоцитопения выходят на первый план в клинике. Основной причиной мегалобластной анемии является дефицит цианкобаламина или фолиевой кислоты.</w:t>
      </w:r>
    </w:p>
    <w:p w:rsidR="00C0232A" w:rsidRDefault="00C0232A">
      <w:pPr>
        <w:rPr>
          <w:rFonts w:ascii="Courier New" w:hAnsi="Courier New"/>
          <w:sz w:val="22"/>
        </w:rPr>
      </w:pPr>
    </w:p>
    <w:p w:rsidR="00C0232A" w:rsidRDefault="00CC4FCF">
      <w:pPr>
        <w:rPr>
          <w:rFonts w:ascii="Courier New" w:hAnsi="Courier New"/>
          <w:b/>
          <w:i/>
          <w:sz w:val="22"/>
        </w:rPr>
      </w:pPr>
      <w:r>
        <w:rPr>
          <w:rFonts w:ascii="Courier New" w:hAnsi="Courier New"/>
          <w:b/>
          <w:i/>
          <w:sz w:val="22"/>
        </w:rPr>
        <w:t xml:space="preserve"> Этиология и патогенез.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Роль цианкобаламина и фолиевой кислоты в развитии мегалобластной анемии связана с их участием в широком спектре обменных процессов и обменных реакций в организме. Фолиевая кислота в форме 5,10 - метилентетрагидрофолата участвует в метилировании дезоксиуридина, необходимого для синтеза тимидина, при этом образуется 5-метилтетрагидрофолат.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Цианокобаламин является кофактором метилтрасферазной каталитической реакции, осуществляющей ресинтез метионина и одновременно регенерацию 5-метилтетрагидрофолата в тетрагидрофолат и 5,10 метилентетрагидрофолат.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При недостаточности фолатов и (или) цианкобаламина нарушается процесс включения уридина в ДНК развивающихся гемопоэтичеких клеток и образования тимидина, что обуславливает </w:t>
      </w:r>
      <w:r>
        <w:rPr>
          <w:rFonts w:ascii="Courier New" w:hAnsi="Courier New"/>
          <w:sz w:val="22"/>
          <w:u w:val="single"/>
        </w:rPr>
        <w:t>фрагментацию ДНК</w:t>
      </w:r>
      <w:r>
        <w:rPr>
          <w:rFonts w:ascii="Courier New" w:hAnsi="Courier New"/>
          <w:sz w:val="22"/>
        </w:rPr>
        <w:t xml:space="preserve"> (блокирование ее синтеза и нарушение клеточного деления). При этом возникает</w:t>
      </w:r>
      <w:r>
        <w:rPr>
          <w:rFonts w:ascii="Courier New" w:hAnsi="Courier New"/>
          <w:sz w:val="22"/>
          <w:u w:val="single"/>
        </w:rPr>
        <w:t xml:space="preserve"> мегалобластоз</w:t>
      </w:r>
      <w:r>
        <w:rPr>
          <w:rFonts w:ascii="Courier New" w:hAnsi="Courier New"/>
          <w:sz w:val="22"/>
        </w:rPr>
        <w:t xml:space="preserve">   , происходит накопление больших форм лейкоцитов и тромбоцитов, их раннее внутрикостномозговое разрушение и укорочение жизни циркулирующих клеток крови. В результате гемопоэз оказывается неэффективным, развивается анемия, сочетающаяся с тромбоцитопенией и лейкопенией.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Кроме того, цианкобаламин является коферментом в реакции превращения метилмалонил-КоА в сукцинил-КоА. Эта реакция необходима для метаболизма миелина в нервной системе, в связи с чем при дефиците цианкобаламина наряду с мегалобластной анемией отмечается поражение нервной системы, в то время как при недостаточности фолатов наблюдается только развитие мегалобластной анемии.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Цианкобаламин содержится в пищевых продуктах животного происхождения - печени, почках, яйцах, молоке. Запасы его в организме взрослого человека (главным образом в печени) велики - около 5 мг, и если учесть, что суточная потеря витамина составляет 5 мкг, то полное истощение запасов при отсутствии поступления (нарушение всасывания, при вегетарианской диете) наступает только через 1000 дней. Цианкобаламин в желудке связывается (на фоне кислой реакции среды) с внутренним фактором - гликопротеином, продуцируемым париетальными клетками желудка, или другими связывающими белками - </w:t>
      </w:r>
      <w:r>
        <w:rPr>
          <w:rFonts w:ascii="Courier New" w:hAnsi="Courier New"/>
          <w:sz w:val="22"/>
          <w:lang w:val="en-US"/>
        </w:rPr>
        <w:t>R</w:t>
      </w:r>
      <w:r>
        <w:rPr>
          <w:rFonts w:ascii="Courier New" w:hAnsi="Courier New"/>
          <w:sz w:val="22"/>
        </w:rPr>
        <w:t xml:space="preserve">-факторами, присуствующими в слюне и желудочном соке. Эти комплексы предохраняют цианкобаламин от разрушения при транспорте по ЖКТ. В тонкой кишке при щелочном значении рН под влиянием протеиназ панкреатического сока цианкобаламин отщепляется от </w:t>
      </w:r>
      <w:r>
        <w:rPr>
          <w:rFonts w:ascii="Courier New" w:hAnsi="Courier New"/>
          <w:sz w:val="22"/>
          <w:lang w:val="en-US"/>
        </w:rPr>
        <w:t>R</w:t>
      </w:r>
      <w:r>
        <w:rPr>
          <w:rFonts w:ascii="Courier New" w:hAnsi="Courier New"/>
          <w:sz w:val="22"/>
        </w:rPr>
        <w:t>-протеинов и соединяется с внутренним фактором. В пдовздошной кишке комплекс внутреннего фактора с цианкобаламином связывается со специфическими рецепторами на поверхности эпителиальных клеток, освобождение цианкобаламина из клеток кишечного эпителия и транспорт к тканям происходит с помощью особых белков плазмы крови - транскобаламинов 1,2,3, причем транспорт цианкобаламина к гемопоэтическим клеткам осуществляется преимущественно транскобаламином 2.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Фолиевая кислота содержится в зеленых листьях растений, фруктах, печени, почках. Запасы фолатов составляют 5-10 мг, минимальная потребность - 50 мкг в день. Мегалобластная анемия может развиться через 4 месяца полного отсутствия поступления фолатов с пищей.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Различные этиологические факторы могут вызывать дефицит цианкобаламина или фолиевой кислоты (реже комбинированную недостаточность обоих) и развитие мегалобластной анемии.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Дефицит цианкобаламина могут обусловить следующие причины: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низкое содержание в рационе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вегетарианство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низкая абсорбция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дефицит внутреннего фактора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пернициозная анемия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гастрэктомия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поверждение эпителия желудка химическими вещества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инфильтративные изменения желудка (лимфома или карцинома)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болезнь Крона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целиакия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резекция подвздошной кишки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атрофические процессы в желудке и кишке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повышенная утилизация витамина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 xml:space="preserve"> бактериями при их избыточном росте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состояние после наложения желудочно-кишечного анастомоза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дивертикулы тощей кишки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кишечный стаз или обструкция, обусловленная стриктурами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глистная инвазия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лентец широкий (</w:t>
      </w:r>
      <w:r>
        <w:rPr>
          <w:rFonts w:ascii="Courier New" w:hAnsi="Courier New"/>
          <w:sz w:val="22"/>
          <w:lang w:val="en-US"/>
        </w:rPr>
        <w:t>Diphyllobotrium latum)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патология абсорбирующего участка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туберкулез подвздошной кишки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лимфома тонкой кишки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спру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регионарный энтерит</w:t>
      </w:r>
    </w:p>
    <w:p w:rsidR="00C0232A" w:rsidRDefault="00CC4FCF">
      <w:pPr>
        <w:numPr>
          <w:ilvl w:val="0"/>
          <w:numId w:val="1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другие причины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врожденное отсутствие транскобаламина 2 (редко)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злоупотребление закисью азота (инактивирует витамин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 xml:space="preserve"> окисляя кобальт).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нарушение всасывания, обусловленное применением неомицина, колхицина</w:t>
      </w:r>
    </w:p>
    <w:p w:rsidR="00C0232A" w:rsidRDefault="00C0232A">
      <w:pPr>
        <w:rPr>
          <w:rFonts w:ascii="Courier New" w:hAnsi="Courier New"/>
          <w:sz w:val="22"/>
        </w:rPr>
      </w:pP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Причинами дефицита фолатов могут быть:</w:t>
      </w:r>
    </w:p>
    <w:p w:rsidR="00C0232A" w:rsidRDefault="00CC4FCF">
      <w:pPr>
        <w:numPr>
          <w:ilvl w:val="0"/>
          <w:numId w:val="2"/>
        </w:numPr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Недостаточное поступление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скудный рацион</w:t>
      </w:r>
      <w:r>
        <w:rPr>
          <w:rFonts w:ascii="Courier New" w:hAnsi="Courier New"/>
          <w:sz w:val="22"/>
        </w:rPr>
        <w:tab/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алкоголизм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нервно-психическая анорексия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парентеральное питание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несбалансированное питание у пожилых</w:t>
      </w:r>
    </w:p>
    <w:p w:rsidR="00C0232A" w:rsidRDefault="00CC4FCF">
      <w:pPr>
        <w:numPr>
          <w:ilvl w:val="0"/>
          <w:numId w:val="3"/>
        </w:numPr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Нарушение всасывания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мальабсорбция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изменения слизистой оболочки кишечника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целиакия и спру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болезнь Крона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регионарный илеит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лимфома кишечника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уменьшение реабсорбирующей поверхности после резекции тощей кишки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прием антиконвульсантов</w:t>
      </w:r>
    </w:p>
    <w:p w:rsidR="00C0232A" w:rsidRDefault="00CC4FCF">
      <w:pPr>
        <w:numPr>
          <w:ilvl w:val="0"/>
          <w:numId w:val="3"/>
        </w:numPr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Увеличение потребности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беременность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гемолитическая анемия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эксфолиативный дерматит и псориаз</w:t>
      </w:r>
    </w:p>
    <w:p w:rsidR="00C0232A" w:rsidRDefault="00CC4FCF">
      <w:pPr>
        <w:numPr>
          <w:ilvl w:val="0"/>
          <w:numId w:val="3"/>
        </w:numPr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Нарушение утилизации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алкоголизм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антагонисты фолатов: триметоприм и метотрексат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врожденные нарушения метаболизма фолатов</w:t>
      </w:r>
    </w:p>
    <w:p w:rsidR="00C0232A" w:rsidRDefault="00C0232A">
      <w:pPr>
        <w:rPr>
          <w:rFonts w:ascii="Courier New" w:hAnsi="Courier New"/>
          <w:sz w:val="22"/>
        </w:rPr>
      </w:pP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Классическим примером мегалобластной анемии является пернициозная (В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-дефицитная анемия) анемия. Чаще этой анемией болеют лица старше 40-50 лет.</w:t>
      </w: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Клиническая картина: анемия развивается относительно медленно и может быть малосимптомной. Клинические признаки анемии неспецифичны: слабость, быстрая утомляемость, одышка, головокружение, сердцебиение. Больные бледны, субиктеричны. Есть  признаки глоссита - с участками воспаления и атрофии сосочков, лакированный язык, может быть увеличение селезенки и печени. Желудочная секреция резко снижения. При фиброгастроскопии выявляется атрофия слизистой оболочки желудка, которая подтверждается и гистологически. Наблюдаются и симптомы поражения нервной системы (фуникулярный миелоз), которые не всегда коррелируют с вырженностью анемии. В основне неврологических проявлений лежит демиелинизация нервных волокон. Отмечается дистальные парестезии, периферическая полиневропатия, расстройства чувствительности, повышение сухожильных рефлексов. Таким образом для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-дефицитной анемии характерна триада: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поражение крови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поражение ЖКТ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поражение нервной системы</w:t>
      </w:r>
    </w:p>
    <w:p w:rsidR="00C0232A" w:rsidRDefault="00C0232A">
      <w:pPr>
        <w:rPr>
          <w:rFonts w:ascii="Courier New" w:hAnsi="Courier New"/>
          <w:sz w:val="22"/>
        </w:rPr>
      </w:pPr>
    </w:p>
    <w:p w:rsidR="00C0232A" w:rsidRDefault="00CC4FCF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Диагностика:</w:t>
      </w:r>
    </w:p>
    <w:p w:rsidR="00C0232A" w:rsidRDefault="00CC4FCF">
      <w:pPr>
        <w:numPr>
          <w:ilvl w:val="0"/>
          <w:numId w:val="4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Клинический анализ крови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снижение количества эритроцитов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снижение гемоглобина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повышение цветного показателя (выше 1.05)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макроцитоз (относится к группе макроцитарных анемий)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базофильная пунктация эритроцитов, наличие в них телец Жолл и колец Кебота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появление ортохромных мегалобластов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снижение ретикулоцитов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лейкопения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тромбоцитопения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снижение моноцитов</w:t>
      </w:r>
    </w:p>
    <w:p w:rsidR="00C0232A" w:rsidRDefault="00CC4FCF">
      <w:pPr>
        <w:numPr>
          <w:ilvl w:val="0"/>
          <w:numId w:val="1"/>
        </w:numPr>
        <w:ind w:left="1003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анэозинфилия</w:t>
      </w:r>
    </w:p>
    <w:p w:rsidR="00C0232A" w:rsidRDefault="00CC4FCF">
      <w:pPr>
        <w:numPr>
          <w:ilvl w:val="0"/>
          <w:numId w:val="5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окрашенных мазках - типичная картина: наряду с характерными овальными макроцитами встречаются эритроциты нормального размера, микроциты и шизоциты - пойкило- и анизоцитоз.</w:t>
      </w:r>
    </w:p>
    <w:p w:rsidR="00C0232A" w:rsidRDefault="00CC4FCF">
      <w:pPr>
        <w:numPr>
          <w:ilvl w:val="0"/>
          <w:numId w:val="5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Уровень билирубина в сыворотке повышен за счет непрямой фракции</w:t>
      </w:r>
    </w:p>
    <w:p w:rsidR="00C0232A" w:rsidRDefault="00CC4FCF">
      <w:pPr>
        <w:numPr>
          <w:ilvl w:val="0"/>
          <w:numId w:val="5"/>
        </w:num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Обязательна пункция костного мозга так как такая картина на периферии может быть при лейкозе, гемолитической анемии, апластических и гипопластических состояниях (однако, необходимо отметить, что гиперхромия характерна именно для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-дефицитной анемии). Костный мозг клеточный, число ядросодержащих эритроидных элементов увеличено в 2-3 раза противо нормы, однако эритропоэз неэффективный, о чем свидетельствует снижение числа ретикулоцитов и эритроцитов на периферии и укорочение их продолжительности жизни (в норме эритроцит живет 120-140 дней). Находят типичные мегалобласты - главный критерий постановки диагноза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-дефицитная анемия. Это клетки с "ядерно-цитоплазматической диссоциацией" (при зрелой гемоглобинизированной цитоплазме нежное, сетчатого строения ядро с нуклеолами); также обнаруживаются клетки гранулоцитарного ряда большого размера и гигантские мегакариоциты.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Лечение.</w:t>
      </w:r>
    </w:p>
    <w:p w:rsidR="00C0232A" w:rsidRDefault="00CC4FCF">
      <w:pPr>
        <w:numPr>
          <w:ilvl w:val="0"/>
          <w:numId w:val="1"/>
        </w:num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диета: ограничить жиры, так как они являются тормозом для кроветворения в костном мозге. Повысить содержание белков в пище, а также витаминов и минеральных веществ</w:t>
      </w:r>
    </w:p>
    <w:p w:rsidR="00C0232A" w:rsidRDefault="00CC4FCF">
      <w:pPr>
        <w:numPr>
          <w:ilvl w:val="0"/>
          <w:numId w:val="1"/>
        </w:num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витамин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 xml:space="preserve"> в виде цианкобаламина и оксикобаламина. Эти препараты отличаются по усвояемости. Цианкобаламин усваивается быстро. Оксикобаламин - более медленно.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Принципы терапии:</w:t>
      </w:r>
    </w:p>
    <w:p w:rsidR="00C0232A" w:rsidRDefault="00CC4FCF">
      <w:pPr>
        <w:numPr>
          <w:ilvl w:val="0"/>
          <w:numId w:val="1"/>
        </w:numPr>
        <w:ind w:left="1003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насытить организм витамином</w:t>
      </w:r>
    </w:p>
    <w:p w:rsidR="00C0232A" w:rsidRDefault="00CC4FCF">
      <w:pPr>
        <w:numPr>
          <w:ilvl w:val="0"/>
          <w:numId w:val="1"/>
        </w:numPr>
        <w:ind w:left="1003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поддерживающая терапия</w:t>
      </w:r>
    </w:p>
    <w:p w:rsidR="00C0232A" w:rsidRDefault="00CC4FCF">
      <w:pPr>
        <w:numPr>
          <w:ilvl w:val="0"/>
          <w:numId w:val="1"/>
        </w:numPr>
        <w:ind w:left="1003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предупреждение возможного развития анемии</w:t>
      </w: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Чаще пользуются цианкобаламином в дозах 200-300 микрограмм (гамм). Данная доза применяется если нет осложнений (фуникулярный миелоз, кома). Сейчас применяют  500 микрограмм ежедневно. Вводят 1-2 раза в день. При наличии осложнений 1000 микрограмм. Через 10 дней доза уменьшается. Инъекции продолжаются 10 дней. Затем, в течение 3 месяцев еженедельно вводят 300 микрограмм. После этого, в течение 6 месяцев делается 1 инъекция в 2 недели.</w:t>
      </w: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Если причиной анемии явилось нарушение выработки внутреннего фактора, то назначают глюкокортикоиды.</w:t>
      </w: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Если причиной анемии явилась глистная инвазия, то дают фенасал.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C4F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До постановки диагноз (периферическая кровь, стернальная пункция) нельзя вводить витамин В</w:t>
      </w:r>
      <w:r>
        <w:rPr>
          <w:rFonts w:ascii="Courier New" w:hAnsi="Courier New"/>
          <w:sz w:val="22"/>
          <w:vertAlign w:val="subscript"/>
        </w:rPr>
        <w:t>12</w:t>
      </w:r>
      <w:r>
        <w:rPr>
          <w:rFonts w:ascii="Courier New" w:hAnsi="Courier New"/>
          <w:sz w:val="22"/>
        </w:rPr>
        <w:t>, так как сразу отреагирует периферическая кровь и костный мозг и диагностика будет трудна.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b/>
          <w:sz w:val="22"/>
        </w:rPr>
        <w:t>Критерии оценки эффективности терапии</w:t>
      </w:r>
      <w:r>
        <w:rPr>
          <w:rFonts w:ascii="Courier New" w:hAnsi="Courier New"/>
          <w:sz w:val="22"/>
        </w:rPr>
        <w:t>:</w:t>
      </w:r>
    </w:p>
    <w:p w:rsidR="00C0232A" w:rsidRDefault="00CC4FCF">
      <w:pPr>
        <w:numPr>
          <w:ilvl w:val="0"/>
          <w:numId w:val="1"/>
        </w:num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резкий ретикулоцитоз через 5-6 инъекций, если его нет то имеется ошибка диагностики</w:t>
      </w:r>
    </w:p>
    <w:p w:rsidR="00C0232A" w:rsidRDefault="00CC4FCF">
      <w:pPr>
        <w:numPr>
          <w:ilvl w:val="0"/>
          <w:numId w:val="1"/>
        </w:num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полное восстановление показателей крови происходит через 1.5 - 2 месяца, а ликвидация неврологических нарушений  в течение полугода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C4FCF">
      <w:pPr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Диагноз фолиеводефицитной анемии подтверждается определением содержания фолиевой кислоты в сыворотке крови и эритроцитах при использовании микробиологических методов. Лечение осуществляется препаратами фолиевой кислоты в дозе 5-10 мг/сут. Профилактика фолиеводефицитной анемии должна проводиться у беременных женщин, имеющих риск развития этого дефицита в дозе не более 5 мг в сутки.</w:t>
      </w:r>
    </w:p>
    <w:p w:rsidR="00C0232A" w:rsidRDefault="00C0232A">
      <w:pPr>
        <w:jc w:val="both"/>
        <w:rPr>
          <w:rFonts w:ascii="Courier New" w:hAnsi="Courier New"/>
          <w:sz w:val="22"/>
        </w:rPr>
      </w:pPr>
    </w:p>
    <w:p w:rsidR="00C0232A" w:rsidRDefault="00C0232A">
      <w:pPr>
        <w:rPr>
          <w:rFonts w:ascii="Courier New" w:hAnsi="Courier New"/>
          <w:sz w:val="22"/>
        </w:rPr>
      </w:pPr>
    </w:p>
    <w:p w:rsidR="00C0232A" w:rsidRDefault="00C0232A">
      <w:bookmarkStart w:id="0" w:name="_GoBack"/>
      <w:bookmarkEnd w:id="0"/>
    </w:p>
    <w:sectPr w:rsidR="00C0232A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FA7ADD"/>
    <w:multiLevelType w:val="singleLevel"/>
    <w:tmpl w:val="6C3484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700962BD"/>
    <w:multiLevelType w:val="singleLevel"/>
    <w:tmpl w:val="5AA4B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FCF"/>
    <w:rsid w:val="002D1BCC"/>
    <w:rsid w:val="00C0232A"/>
    <w:rsid w:val="00C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9BC70-6BDE-4350-A21E-C3D8D871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subject/>
  <dc:creator>pazufu</dc:creator>
  <cp:keywords/>
  <cp:lastModifiedBy>Irina</cp:lastModifiedBy>
  <cp:revision>2</cp:revision>
  <dcterms:created xsi:type="dcterms:W3CDTF">2014-07-19T15:46:00Z</dcterms:created>
  <dcterms:modified xsi:type="dcterms:W3CDTF">2014-07-19T15:46:00Z</dcterms:modified>
</cp:coreProperties>
</file>