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565" w:rsidRDefault="00EC5565">
      <w:pPr>
        <w:jc w:val="center"/>
        <w:rPr>
          <w:rFonts w:cs="Arial"/>
        </w:rPr>
      </w:pPr>
      <w:r>
        <w:rPr>
          <w:rFonts w:cs="Arial"/>
        </w:rPr>
        <w:t xml:space="preserve">Graduate School of </w:t>
      </w:r>
      <w:r>
        <w:rPr>
          <w:rFonts w:cs="Arial" w:hint="eastAsia"/>
        </w:rPr>
        <w:t xml:space="preserve">International Corporate </w:t>
      </w:r>
      <w:r>
        <w:rPr>
          <w:rFonts w:cs="Arial"/>
        </w:rPr>
        <w:t>Strategy</w:t>
      </w:r>
      <w:r>
        <w:rPr>
          <w:rFonts w:cs="Arial" w:hint="eastAsia"/>
        </w:rPr>
        <w:t>, Hitotsubashi University</w:t>
      </w:r>
    </w:p>
    <w:p w:rsidR="00EC5565" w:rsidRDefault="00EC5565">
      <w:pPr>
        <w:jc w:val="center"/>
        <w:rPr>
          <w:rFonts w:cs="Arial"/>
        </w:rPr>
      </w:pPr>
      <w:r>
        <w:rPr>
          <w:rFonts w:cs="Arial" w:hint="eastAsia"/>
        </w:rPr>
        <w:t>Asian Tax and Public Policy Program</w:t>
      </w:r>
    </w:p>
    <w:p w:rsidR="00EC5565" w:rsidRDefault="00EC5565">
      <w:pPr>
        <w:jc w:val="center"/>
        <w:rPr>
          <w:rFonts w:cs="Arial"/>
        </w:rPr>
      </w:pPr>
    </w:p>
    <w:p w:rsidR="00EC5565" w:rsidRDefault="00EC5565">
      <w:pPr>
        <w:jc w:val="center"/>
        <w:rPr>
          <w:rFonts w:cs="Arial"/>
        </w:rPr>
      </w:pPr>
    </w:p>
    <w:p w:rsidR="00EC5565" w:rsidRDefault="00EC5565">
      <w:pPr>
        <w:pStyle w:val="4"/>
        <w:rPr>
          <w:rFonts w:cs="Arial"/>
          <w:sz w:val="28"/>
        </w:rPr>
      </w:pPr>
      <w:r>
        <w:rPr>
          <w:sz w:val="28"/>
        </w:rPr>
        <w:t>Economic Analysis of Regulation and Public Enterprise</w:t>
      </w:r>
    </w:p>
    <w:p w:rsidR="00EC5565" w:rsidRDefault="00EC5565">
      <w:pPr>
        <w:jc w:val="center"/>
        <w:rPr>
          <w:rFonts w:cs="Arial"/>
        </w:rPr>
      </w:pPr>
    </w:p>
    <w:p w:rsidR="00EC5565" w:rsidRDefault="00EC5565">
      <w:pPr>
        <w:jc w:val="center"/>
        <w:rPr>
          <w:rFonts w:cs="Arial"/>
        </w:rPr>
      </w:pPr>
    </w:p>
    <w:p w:rsidR="00EC5565" w:rsidRDefault="00EC5565">
      <w:pPr>
        <w:pStyle w:val="1"/>
      </w:pPr>
      <w:r>
        <w:rPr>
          <w:rFonts w:hint="eastAsia"/>
        </w:rPr>
        <w:t xml:space="preserve">REGULATION IN </w:t>
      </w:r>
    </w:p>
    <w:p w:rsidR="00EC5565" w:rsidRDefault="00EC5565">
      <w:pPr>
        <w:pStyle w:val="1"/>
      </w:pPr>
      <w:r>
        <w:rPr>
          <w:rFonts w:hint="eastAsia"/>
        </w:rPr>
        <w:t>TELECOMMUNICATIONS INDUSTRIES:</w:t>
      </w:r>
    </w:p>
    <w:p w:rsidR="00EC5565" w:rsidRDefault="00EC5565">
      <w:pPr>
        <w:jc w:val="center"/>
        <w:rPr>
          <w:b/>
          <w:bCs/>
          <w:i/>
          <w:iCs/>
          <w:sz w:val="32"/>
        </w:rPr>
      </w:pPr>
      <w:r>
        <w:rPr>
          <w:rFonts w:hint="eastAsia"/>
          <w:b/>
          <w:bCs/>
          <w:i/>
          <w:iCs/>
          <w:sz w:val="32"/>
        </w:rPr>
        <w:t>Why, What and How to Regulate?</w:t>
      </w:r>
    </w:p>
    <w:p w:rsidR="00EC5565" w:rsidRDefault="00EC5565">
      <w:pPr>
        <w:pStyle w:val="2"/>
        <w:jc w:val="center"/>
        <w:rPr>
          <w:b w:val="0"/>
          <w:bCs w:val="0"/>
          <w:i/>
          <w:iCs/>
        </w:rPr>
      </w:pPr>
    </w:p>
    <w:p w:rsidR="00EC5565" w:rsidRDefault="00EC5565">
      <w:pPr>
        <w:rPr>
          <w:rFonts w:cs="Arial"/>
        </w:rPr>
      </w:pPr>
    </w:p>
    <w:p w:rsidR="00EC5565" w:rsidRDefault="00EC5565">
      <w:pPr>
        <w:rPr>
          <w:rFonts w:cs="Arial"/>
        </w:rPr>
      </w:pPr>
    </w:p>
    <w:p w:rsidR="00EC5565" w:rsidRDefault="00EC5565">
      <w:pPr>
        <w:rPr>
          <w:rFonts w:cs="Arial"/>
        </w:rPr>
      </w:pPr>
      <w:r>
        <w:rPr>
          <w:rFonts w:cs="Arial" w:hint="eastAsia"/>
        </w:rPr>
        <w:tab/>
      </w:r>
      <w:r>
        <w:rPr>
          <w:rFonts w:cs="Arial" w:hint="eastAsia"/>
        </w:rPr>
        <w:tab/>
      </w:r>
      <w:r>
        <w:rPr>
          <w:rFonts w:cs="Arial" w:hint="eastAsia"/>
        </w:rPr>
        <w:tab/>
      </w:r>
      <w:r>
        <w:rPr>
          <w:rFonts w:cs="Arial" w:hint="eastAsia"/>
        </w:rPr>
        <w:tab/>
      </w:r>
      <w:r>
        <w:rPr>
          <w:rFonts w:cs="Arial" w:hint="eastAsia"/>
        </w:rPr>
        <w:tab/>
      </w:r>
      <w:r>
        <w:rPr>
          <w:rFonts w:cs="Arial" w:hint="eastAsia"/>
        </w:rPr>
        <w:tab/>
        <w:t>Bakhodir Mardonov IM0313</w:t>
      </w:r>
    </w:p>
    <w:p w:rsidR="00EC5565" w:rsidRDefault="00EC5565">
      <w:pPr>
        <w:rPr>
          <w:rFonts w:cs="Arial"/>
        </w:rPr>
      </w:pPr>
    </w:p>
    <w:p w:rsidR="00EC5565" w:rsidRDefault="00EC5565">
      <w:pPr>
        <w:rPr>
          <w:rFonts w:cs="Arial"/>
        </w:rPr>
      </w:pPr>
    </w:p>
    <w:p w:rsidR="00EC5565" w:rsidRDefault="00EC5565">
      <w:pPr>
        <w:rPr>
          <w:rFonts w:cs="Arial"/>
        </w:rPr>
      </w:pPr>
    </w:p>
    <w:p w:rsidR="00EC5565" w:rsidRDefault="00EC5565">
      <w:pPr>
        <w:rPr>
          <w:rFonts w:cs="Arial"/>
        </w:rPr>
      </w:pPr>
    </w:p>
    <w:p w:rsidR="00EC5565" w:rsidRDefault="00EC5565">
      <w:pPr>
        <w:pStyle w:val="a3"/>
        <w:jc w:val="center"/>
      </w:pPr>
      <w:r>
        <w:t>February</w:t>
      </w:r>
      <w:r>
        <w:rPr>
          <w:rFonts w:hint="eastAsia"/>
        </w:rPr>
        <w:t xml:space="preserve"> 20, 2001</w:t>
      </w:r>
    </w:p>
    <w:p w:rsidR="00EC5565" w:rsidRDefault="00EC5565">
      <w:pPr>
        <w:rPr>
          <w:rFonts w:cs="Arial"/>
        </w:rPr>
        <w:sectPr w:rsidR="00EC5565">
          <w:pgSz w:w="11906" w:h="16838" w:code="9"/>
          <w:pgMar w:top="1134" w:right="851" w:bottom="851" w:left="1418" w:header="397" w:footer="397" w:gutter="0"/>
          <w:cols w:space="425"/>
          <w:docGrid w:type="lines" w:linePitch="360"/>
        </w:sectPr>
      </w:pPr>
    </w:p>
    <w:p w:rsidR="00EC5565" w:rsidRDefault="00EC5565">
      <w:pPr>
        <w:spacing w:after="360"/>
      </w:pPr>
      <w:r>
        <w:rPr>
          <w:rFonts w:hint="eastAsia"/>
        </w:rPr>
        <w:t>R</w:t>
      </w:r>
      <w:r>
        <w:t xml:space="preserve">ecent </w:t>
      </w:r>
      <w:r>
        <w:rPr>
          <w:rFonts w:hint="eastAsia"/>
        </w:rPr>
        <w:t xml:space="preserve">empirical studies have showed that </w:t>
      </w:r>
      <w:r>
        <w:t>national indicators correspond closely to the degree of competition in telecommunications markets. Greater competition</w:t>
      </w:r>
      <w:r>
        <w:rPr>
          <w:rFonts w:hint="eastAsia"/>
        </w:rPr>
        <w:t xml:space="preserve"> has</w:t>
      </w:r>
      <w:r>
        <w:t xml:space="preserve"> generated greater innovation, investment and spin-offs for the economy as a whole.</w:t>
      </w:r>
      <w:r>
        <w:rPr>
          <w:rFonts w:hint="eastAsia"/>
        </w:rPr>
        <w:t xml:space="preserve"> However, many governments have found that competition in telecommunications can bear good results only if appropriate regulatory institutions are functioning effectively. Consideration of advantages and disadvantages of specific regulatory policies </w:t>
      </w:r>
      <w:r>
        <w:t>raise</w:t>
      </w:r>
      <w:r>
        <w:rPr>
          <w:rFonts w:hint="eastAsia"/>
        </w:rPr>
        <w:t>s questions on why regulate, what to regulate and how to regulate.</w:t>
      </w:r>
    </w:p>
    <w:p w:rsidR="00EC5565" w:rsidRDefault="00EC5565">
      <w:pPr>
        <w:pStyle w:val="5"/>
        <w:spacing w:after="360"/>
      </w:pPr>
      <w:r>
        <w:rPr>
          <w:rFonts w:hint="eastAsia"/>
        </w:rPr>
        <w:t>Why Regulate Telecommunications?</w:t>
      </w:r>
    </w:p>
    <w:p w:rsidR="00EC5565" w:rsidRDefault="00EC5565">
      <w:pPr>
        <w:spacing w:after="360"/>
      </w:pPr>
      <w:r>
        <w:rPr>
          <w:rFonts w:hint="eastAsia"/>
        </w:rPr>
        <w:t xml:space="preserve">There are different approaches trying to answer this question, but basically they are split into two views: </w:t>
      </w:r>
      <w:r>
        <w:t>whether</w:t>
      </w:r>
      <w:r>
        <w:rPr>
          <w:rFonts w:hint="eastAsia"/>
        </w:rPr>
        <w:t xml:space="preserve"> government should regulate actively or intervene only in case of </w:t>
      </w:r>
      <w:r>
        <w:t>“</w:t>
      </w:r>
      <w:r>
        <w:rPr>
          <w:rFonts w:hint="eastAsia"/>
        </w:rPr>
        <w:t>market failure</w:t>
      </w:r>
      <w:r>
        <w:t>”</w:t>
      </w:r>
      <w:r>
        <w:rPr>
          <w:rFonts w:hint="eastAsia"/>
        </w:rPr>
        <w:t>.</w:t>
      </w:r>
    </w:p>
    <w:p w:rsidR="00EC5565" w:rsidRDefault="00EC5565">
      <w:pPr>
        <w:spacing w:after="360"/>
      </w:pPr>
      <w:r>
        <w:rPr>
          <w:rFonts w:hint="eastAsia"/>
          <w:i/>
          <w:iCs/>
        </w:rPr>
        <w:t>Public policy goals:</w:t>
      </w:r>
      <w:r>
        <w:rPr>
          <w:rFonts w:hint="eastAsia"/>
        </w:rPr>
        <w:t xml:space="preserve"> Even though the ultimate goals are the same, the relative priority given to different goals may vary. For example, in developing countries with a </w:t>
      </w:r>
      <w:r>
        <w:t>limited</w:t>
      </w:r>
      <w:r>
        <w:rPr>
          <w:rFonts w:hint="eastAsia"/>
        </w:rPr>
        <w:t xml:space="preserve"> access to </w:t>
      </w:r>
      <w:r>
        <w:t>telecommunications</w:t>
      </w:r>
      <w:r>
        <w:rPr>
          <w:rFonts w:hint="eastAsia"/>
        </w:rPr>
        <w:t xml:space="preserve"> </w:t>
      </w:r>
      <w:r>
        <w:t>services</w:t>
      </w:r>
      <w:r>
        <w:rPr>
          <w:rFonts w:hint="eastAsia"/>
        </w:rPr>
        <w:t>, the policy goal to make them universally accessible is especially important. While, in developed countries, the priority goals may be to raise the efficiency of telecommunications and maintain a basic telephone service.</w:t>
      </w:r>
    </w:p>
    <w:p w:rsidR="00EC5565" w:rsidRDefault="00EC5565">
      <w:pPr>
        <w:spacing w:after="360"/>
      </w:pPr>
      <w:r>
        <w:rPr>
          <w:rFonts w:hint="eastAsia"/>
          <w:i/>
          <w:iCs/>
        </w:rPr>
        <w:t>Market failure:</w:t>
      </w:r>
      <w:r>
        <w:rPr>
          <w:rFonts w:hint="eastAsia"/>
        </w:rPr>
        <w:t xml:space="preserve"> General goals such as </w:t>
      </w:r>
      <w:r>
        <w:t>“</w:t>
      </w:r>
      <w:r>
        <w:rPr>
          <w:rFonts w:hint="eastAsia"/>
        </w:rPr>
        <w:t>universal accessibility</w:t>
      </w:r>
      <w:r>
        <w:t>”</w:t>
      </w:r>
      <w:r>
        <w:rPr>
          <w:rFonts w:hint="eastAsia"/>
        </w:rPr>
        <w:t xml:space="preserve"> cannot be enough to justify regulatory intervention when the prevailing view relies on market forces to promote efficiency and innovations. In this case, the strongest justification takes the form of </w:t>
      </w:r>
      <w:r>
        <w:t>“</w:t>
      </w:r>
      <w:r>
        <w:rPr>
          <w:rFonts w:hint="eastAsia"/>
        </w:rPr>
        <w:t>market failures</w:t>
      </w:r>
      <w:r>
        <w:t>”</w:t>
      </w:r>
      <w:r>
        <w:rPr>
          <w:rFonts w:hint="eastAsia"/>
        </w:rPr>
        <w:t xml:space="preserve"> and the regulator may intervene in order to facilitate competitive entry, combat abuse of market power and redistribute benefit.</w:t>
      </w:r>
    </w:p>
    <w:p w:rsidR="00EC5565" w:rsidRDefault="00EC5565">
      <w:pPr>
        <w:spacing w:after="360"/>
      </w:pPr>
      <w:r>
        <w:rPr>
          <w:rFonts w:hint="eastAsia"/>
        </w:rPr>
        <w:t>Actually, t</w:t>
      </w:r>
      <w:r>
        <w:t xml:space="preserve">he nature of the problems </w:t>
      </w:r>
      <w:r>
        <w:rPr>
          <w:rFonts w:hint="eastAsia"/>
        </w:rPr>
        <w:t xml:space="preserve">addressed </w:t>
      </w:r>
      <w:r>
        <w:t>depends on the structure of the telecom services industry, the general economic, political and social situation and the prevailing set of fundamental telecommunications policies, particularly those concerning the roles of monopoly and competition.</w:t>
      </w:r>
      <w:r>
        <w:rPr>
          <w:rFonts w:hint="eastAsia"/>
        </w:rPr>
        <w:t xml:space="preserve"> Accordingly, we may consider </w:t>
      </w:r>
      <w:r>
        <w:t xml:space="preserve">three </w:t>
      </w:r>
      <w:r>
        <w:rPr>
          <w:rFonts w:hint="eastAsia"/>
        </w:rPr>
        <w:t>groups</w:t>
      </w:r>
      <w:r>
        <w:t xml:space="preserve"> of countries: </w:t>
      </w:r>
      <w:r>
        <w:rPr>
          <w:rFonts w:hint="eastAsia"/>
        </w:rPr>
        <w:t xml:space="preserve">(i) full monopoly, (ii) partial monopoly and (ii) full market system. </w:t>
      </w:r>
    </w:p>
    <w:p w:rsidR="00EC5565" w:rsidRDefault="00EC5565">
      <w:pPr>
        <w:spacing w:after="360"/>
      </w:pPr>
      <w:r>
        <w:t>As some countries have moved from one of these groups into another, the major problems to be solved by regulators have changed. For example, as Mexico introduced competition in cellular services and privatised its former state telephone monopoly, Telmex, it has faced controversial issues concerning the interconnection of different carriers' networks.</w:t>
      </w:r>
      <w:r>
        <w:rPr>
          <w:rFonts w:hint="eastAsia"/>
        </w:rPr>
        <w:t xml:space="preserve"> In the United States, t</w:t>
      </w:r>
      <w:r>
        <w:t xml:space="preserve">he evolution of the telecommunication industry since the 1950s illustrates a </w:t>
      </w:r>
      <w:r>
        <w:rPr>
          <w:rFonts w:hint="eastAsia"/>
        </w:rPr>
        <w:t xml:space="preserve">gradual </w:t>
      </w:r>
      <w:r>
        <w:t xml:space="preserve">transition from </w:t>
      </w:r>
      <w:r>
        <w:rPr>
          <w:rFonts w:hint="eastAsia"/>
        </w:rPr>
        <w:t>the first g</w:t>
      </w:r>
      <w:r>
        <w:t>roup</w:t>
      </w:r>
      <w:r>
        <w:rPr>
          <w:rFonts w:hint="eastAsia"/>
        </w:rPr>
        <w:t xml:space="preserve"> via second</w:t>
      </w:r>
      <w:r>
        <w:t xml:space="preserve"> to </w:t>
      </w:r>
      <w:r>
        <w:rPr>
          <w:rFonts w:hint="eastAsia"/>
        </w:rPr>
        <w:t xml:space="preserve">the last one: if in the </w:t>
      </w:r>
      <w:r>
        <w:t>beginning</w:t>
      </w:r>
      <w:r>
        <w:rPr>
          <w:rFonts w:hint="eastAsia"/>
        </w:rPr>
        <w:t xml:space="preserve">, the regulatory policy concern was to assure the universal availability of telecommunications services with reasonable rates, over the years, as competition has developed, regulators become more confident about the provision of </w:t>
      </w:r>
      <w:r>
        <w:t>different</w:t>
      </w:r>
      <w:r>
        <w:rPr>
          <w:rFonts w:hint="eastAsia"/>
        </w:rPr>
        <w:t xml:space="preserve"> telecommunications services. Thus, a gradual relaxation and </w:t>
      </w:r>
      <w:r>
        <w:t>withdrawal of some forms of regulation (notably controls on the pricing of services to end-users)</w:t>
      </w:r>
      <w:r>
        <w:rPr>
          <w:rFonts w:hint="eastAsia"/>
        </w:rPr>
        <w:t xml:space="preserve"> has been introduced</w:t>
      </w:r>
      <w:r>
        <w:t>. At the same time, new forms of regulation have arisen from the need to solve new kinds of problems, concerning for example, the terms of interconnection between different carriers' networks, or control of the numbering plan in a multi-carrier environment.</w:t>
      </w:r>
    </w:p>
    <w:p w:rsidR="00EC5565" w:rsidRDefault="00EC5565">
      <w:r>
        <w:rPr>
          <w:rFonts w:hint="eastAsia"/>
        </w:rPr>
        <w:t>In spite of variations of the regulator</w:t>
      </w:r>
      <w:r>
        <w:t>’</w:t>
      </w:r>
      <w:r>
        <w:rPr>
          <w:rFonts w:hint="eastAsia"/>
        </w:rPr>
        <w:t>s mandate across each group of countries, some of his basic missions can be defined as following:</w:t>
      </w:r>
    </w:p>
    <w:p w:rsidR="00EC5565" w:rsidRDefault="00EC5565">
      <w:pPr>
        <w:numPr>
          <w:ilvl w:val="0"/>
          <w:numId w:val="2"/>
        </w:numPr>
      </w:pPr>
      <w:r>
        <w:rPr>
          <w:rFonts w:hint="eastAsia"/>
          <w:i/>
          <w:iCs/>
        </w:rPr>
        <w:t xml:space="preserve">Promotion of </w:t>
      </w:r>
      <w:r>
        <w:rPr>
          <w:i/>
          <w:iCs/>
        </w:rPr>
        <w:t>“</w:t>
      </w:r>
      <w:r>
        <w:rPr>
          <w:rFonts w:hint="eastAsia"/>
          <w:i/>
          <w:iCs/>
        </w:rPr>
        <w:t>universal service</w:t>
      </w:r>
      <w:r>
        <w:rPr>
          <w:i/>
          <w:iCs/>
        </w:rPr>
        <w:t>”</w:t>
      </w:r>
      <w:r>
        <w:rPr>
          <w:rFonts w:hint="eastAsia"/>
        </w:rPr>
        <w:t xml:space="preserve"> targeting low-income households, users in remote geographical areas, or disabled persons. For example, in Argentina, this was done through setting goals for the expansion of PTO networks; in the United Kingdom and U.S., through imposing </w:t>
      </w:r>
      <w:r>
        <w:t>“</w:t>
      </w:r>
      <w:r>
        <w:rPr>
          <w:rFonts w:hint="eastAsia"/>
        </w:rPr>
        <w:t>lifeline</w:t>
      </w:r>
      <w:r>
        <w:t>”</w:t>
      </w:r>
      <w:r>
        <w:rPr>
          <w:rFonts w:hint="eastAsia"/>
        </w:rPr>
        <w:t xml:space="preserve"> tariffs for low-income users.</w:t>
      </w:r>
    </w:p>
    <w:p w:rsidR="00EC5565" w:rsidRDefault="00EC5565">
      <w:pPr>
        <w:numPr>
          <w:ilvl w:val="0"/>
          <w:numId w:val="2"/>
        </w:numPr>
      </w:pPr>
      <w:r>
        <w:rPr>
          <w:rFonts w:hint="eastAsia"/>
          <w:i/>
          <w:iCs/>
        </w:rPr>
        <w:t>Protection of user interests</w:t>
      </w:r>
      <w:r>
        <w:rPr>
          <w:rFonts w:hint="eastAsia"/>
        </w:rPr>
        <w:t>.</w:t>
      </w:r>
    </w:p>
    <w:p w:rsidR="00EC5565" w:rsidRDefault="00EC5565">
      <w:pPr>
        <w:numPr>
          <w:ilvl w:val="0"/>
          <w:numId w:val="2"/>
        </w:numPr>
      </w:pPr>
      <w:r>
        <w:rPr>
          <w:rFonts w:hint="eastAsia"/>
          <w:i/>
          <w:iCs/>
        </w:rPr>
        <w:t>Change in the industry structure.</w:t>
      </w:r>
      <w:r>
        <w:rPr>
          <w:rFonts w:hint="eastAsia"/>
        </w:rPr>
        <w:t xml:space="preserve"> T</w:t>
      </w:r>
      <w:r>
        <w:t>he desired change is</w:t>
      </w:r>
      <w:r>
        <w:rPr>
          <w:rFonts w:hint="eastAsia"/>
        </w:rPr>
        <w:t xml:space="preserve"> usually</w:t>
      </w:r>
      <w:r>
        <w:t xml:space="preserve"> towards a more competitive industry structure</w:t>
      </w:r>
      <w:r>
        <w:rPr>
          <w:rFonts w:hint="eastAsia"/>
        </w:rPr>
        <w:t>, but</w:t>
      </w:r>
      <w:r>
        <w:t xml:space="preserve"> this </w:t>
      </w:r>
      <w:r>
        <w:rPr>
          <w:rFonts w:hint="eastAsia"/>
        </w:rPr>
        <w:t xml:space="preserve">mission </w:t>
      </w:r>
      <w:r>
        <w:t>can be far from "deregulation"</w:t>
      </w:r>
      <w:r>
        <w:rPr>
          <w:rFonts w:hint="eastAsia"/>
        </w:rPr>
        <w:t>. For example, in Japan, t</w:t>
      </w:r>
      <w:r>
        <w:t>he Ministry of Posts and Telecommunications caused NTT to maintain high charges between Tokyo, Osaka and some other major locations for the initial period of competitive entry, to help new entrants gain a foothold.</w:t>
      </w:r>
    </w:p>
    <w:p w:rsidR="00EC5565" w:rsidRDefault="00EC5565">
      <w:pPr>
        <w:numPr>
          <w:ilvl w:val="0"/>
          <w:numId w:val="2"/>
        </w:numPr>
      </w:pPr>
      <w:r>
        <w:rPr>
          <w:rFonts w:hint="eastAsia"/>
          <w:i/>
          <w:iCs/>
        </w:rPr>
        <w:t xml:space="preserve">Movement towards a </w:t>
      </w:r>
      <w:r>
        <w:rPr>
          <w:i/>
          <w:iCs/>
        </w:rPr>
        <w:t>“</w:t>
      </w:r>
      <w:r>
        <w:rPr>
          <w:rFonts w:hint="eastAsia"/>
          <w:i/>
          <w:iCs/>
        </w:rPr>
        <w:t>no discrimination policy</w:t>
      </w:r>
      <w:r>
        <w:rPr>
          <w:i/>
          <w:iCs/>
        </w:rPr>
        <w:t>”</w:t>
      </w:r>
      <w:r>
        <w:rPr>
          <w:rFonts w:hint="eastAsia"/>
          <w:i/>
          <w:iCs/>
        </w:rPr>
        <w:t xml:space="preserve"> or </w:t>
      </w:r>
      <w:r>
        <w:rPr>
          <w:i/>
          <w:iCs/>
        </w:rPr>
        <w:t>“</w:t>
      </w:r>
      <w:r>
        <w:rPr>
          <w:rFonts w:hint="eastAsia"/>
          <w:i/>
          <w:iCs/>
        </w:rPr>
        <w:t xml:space="preserve">level </w:t>
      </w:r>
      <w:r>
        <w:rPr>
          <w:i/>
          <w:iCs/>
        </w:rPr>
        <w:t>playing</w:t>
      </w:r>
      <w:r>
        <w:rPr>
          <w:rFonts w:hint="eastAsia"/>
          <w:i/>
          <w:iCs/>
        </w:rPr>
        <w:t xml:space="preserve"> field</w:t>
      </w:r>
      <w:r>
        <w:rPr>
          <w:i/>
          <w:iCs/>
        </w:rPr>
        <w:t>”</w:t>
      </w:r>
      <w:r>
        <w:rPr>
          <w:rFonts w:hint="eastAsia"/>
          <w:i/>
          <w:iCs/>
        </w:rPr>
        <w:t>.</w:t>
      </w:r>
      <w:r>
        <w:rPr>
          <w:rFonts w:hint="eastAsia"/>
        </w:rPr>
        <w:t xml:space="preserve"> However, in this case, the concern on the need to discriminate in </w:t>
      </w:r>
      <w:r>
        <w:t>favor</w:t>
      </w:r>
      <w:r>
        <w:rPr>
          <w:rFonts w:hint="eastAsia"/>
        </w:rPr>
        <w:t xml:space="preserve"> of new entrants has to be addressed (mission 3).</w:t>
      </w:r>
    </w:p>
    <w:p w:rsidR="00EC5565" w:rsidRDefault="00EC5565">
      <w:pPr>
        <w:numPr>
          <w:ilvl w:val="0"/>
          <w:numId w:val="2"/>
        </w:numPr>
      </w:pPr>
      <w:r>
        <w:rPr>
          <w:rFonts w:hint="eastAsia"/>
          <w:i/>
          <w:iCs/>
        </w:rPr>
        <w:t xml:space="preserve">Supervision of the dominant PTO </w:t>
      </w:r>
      <w:r>
        <w:rPr>
          <w:rFonts w:hint="eastAsia"/>
        </w:rPr>
        <w:t xml:space="preserve">in case of </w:t>
      </w:r>
      <w:r>
        <w:t>limit</w:t>
      </w:r>
      <w:r>
        <w:rPr>
          <w:rFonts w:hint="eastAsia"/>
        </w:rPr>
        <w:t xml:space="preserve">ed or absent competition. This can be done, for example, through applying </w:t>
      </w:r>
      <w:r>
        <w:t>price-cap regulation</w:t>
      </w:r>
      <w:r>
        <w:rPr>
          <w:rFonts w:hint="eastAsia"/>
        </w:rPr>
        <w:t xml:space="preserve"> like in Mexico</w:t>
      </w:r>
      <w:r>
        <w:t>.</w:t>
      </w:r>
    </w:p>
    <w:p w:rsidR="00EC5565" w:rsidRDefault="00EC5565">
      <w:pPr>
        <w:numPr>
          <w:ilvl w:val="0"/>
          <w:numId w:val="2"/>
        </w:numPr>
      </w:pPr>
      <w:r>
        <w:rPr>
          <w:rFonts w:hint="eastAsia"/>
          <w:i/>
          <w:iCs/>
        </w:rPr>
        <w:t>Stimulation of innovations</w:t>
      </w:r>
      <w:r>
        <w:rPr>
          <w:rFonts w:hint="eastAsia"/>
        </w:rPr>
        <w:t xml:space="preserve">. </w:t>
      </w:r>
      <w:r>
        <w:t xml:space="preserve">In many countries, the regulator is seen </w:t>
      </w:r>
      <w:r>
        <w:rPr>
          <w:rFonts w:hint="eastAsia"/>
        </w:rPr>
        <w:t xml:space="preserve">to </w:t>
      </w:r>
      <w:r>
        <w:t>anticipat</w:t>
      </w:r>
      <w:r>
        <w:rPr>
          <w:rFonts w:hint="eastAsia"/>
        </w:rPr>
        <w:t>e</w:t>
      </w:r>
      <w:r>
        <w:t xml:space="preserve"> opportunities for innovations and creating </w:t>
      </w:r>
      <w:r>
        <w:rPr>
          <w:rFonts w:hint="eastAsia"/>
        </w:rPr>
        <w:t>a</w:t>
      </w:r>
      <w:r>
        <w:t xml:space="preserve"> favourable </w:t>
      </w:r>
      <w:r>
        <w:rPr>
          <w:rFonts w:hint="eastAsia"/>
        </w:rPr>
        <w:t xml:space="preserve">environment </w:t>
      </w:r>
      <w:r>
        <w:t xml:space="preserve">for their timely exploitation. </w:t>
      </w:r>
      <w:r>
        <w:rPr>
          <w:rFonts w:hint="eastAsia"/>
        </w:rPr>
        <w:t xml:space="preserve">For example, in the United Kingdom </w:t>
      </w:r>
      <w:r>
        <w:t xml:space="preserve">the pioneering action of OFTEL in granting licenses for the Personal Communications Network (PCN) and Telepoint (CT2); in </w:t>
      </w:r>
      <w:r>
        <w:rPr>
          <w:rFonts w:hint="eastAsia"/>
        </w:rPr>
        <w:t>F</w:t>
      </w:r>
      <w:r>
        <w:t>rance</w:t>
      </w:r>
      <w:r>
        <w:rPr>
          <w:rFonts w:hint="eastAsia"/>
        </w:rPr>
        <w:t>,</w:t>
      </w:r>
      <w:r>
        <w:t xml:space="preserve"> current activity by DRG on PCN licensing; </w:t>
      </w:r>
      <w:r>
        <w:rPr>
          <w:rFonts w:hint="eastAsia"/>
        </w:rPr>
        <w:t xml:space="preserve">in </w:t>
      </w:r>
      <w:r>
        <w:t>the U</w:t>
      </w:r>
      <w:r>
        <w:rPr>
          <w:rFonts w:hint="eastAsia"/>
        </w:rPr>
        <w:t>.</w:t>
      </w:r>
      <w:r>
        <w:t>S</w:t>
      </w:r>
      <w:r>
        <w:rPr>
          <w:rFonts w:hint="eastAsia"/>
        </w:rPr>
        <w:t>.,</w:t>
      </w:r>
      <w:r>
        <w:t xml:space="preserve"> policy of granting "pioneer's preference" in the licensing of radio frequencies to companies pioneering new service concepts and technologies.</w:t>
      </w:r>
    </w:p>
    <w:p w:rsidR="00EC5565" w:rsidRDefault="00EC5565">
      <w:pPr>
        <w:numPr>
          <w:ilvl w:val="0"/>
          <w:numId w:val="2"/>
        </w:numPr>
      </w:pPr>
      <w:r>
        <w:rPr>
          <w:rFonts w:hint="eastAsia"/>
          <w:i/>
          <w:iCs/>
        </w:rPr>
        <w:t>Management of common resources effectively.</w:t>
      </w:r>
      <w:r>
        <w:rPr>
          <w:rFonts w:hint="eastAsia"/>
        </w:rPr>
        <w:t xml:space="preserve"> </w:t>
      </w:r>
    </w:p>
    <w:p w:rsidR="00EC5565" w:rsidRDefault="00EC5565">
      <w:pPr>
        <w:numPr>
          <w:ilvl w:val="0"/>
          <w:numId w:val="2"/>
        </w:numPr>
      </w:pPr>
      <w:r>
        <w:rPr>
          <w:rFonts w:hint="eastAsia"/>
          <w:i/>
          <w:iCs/>
        </w:rPr>
        <w:t>Stimulation of investments in the public network.</w:t>
      </w:r>
    </w:p>
    <w:p w:rsidR="00EC5565" w:rsidRDefault="00EC5565">
      <w:pPr>
        <w:numPr>
          <w:ilvl w:val="0"/>
          <w:numId w:val="2"/>
        </w:numPr>
        <w:spacing w:after="360"/>
      </w:pPr>
      <w:r>
        <w:rPr>
          <w:rFonts w:hint="eastAsia"/>
          <w:i/>
          <w:iCs/>
        </w:rPr>
        <w:t xml:space="preserve">Network interconnection. </w:t>
      </w:r>
      <w:r>
        <w:rPr>
          <w:rFonts w:hint="eastAsia"/>
        </w:rPr>
        <w:t xml:space="preserve">Open entry requires interconnection. It is important to create </w:t>
      </w:r>
      <w:r>
        <w:t>favo</w:t>
      </w:r>
      <w:r>
        <w:rPr>
          <w:rFonts w:hint="eastAsia"/>
        </w:rPr>
        <w:t>u</w:t>
      </w:r>
      <w:r>
        <w:t>rable</w:t>
      </w:r>
      <w:r>
        <w:rPr>
          <w:rFonts w:hint="eastAsia"/>
        </w:rPr>
        <w:t xml:space="preserve"> environment for </w:t>
      </w:r>
      <w:r>
        <w:t>interconnection</w:t>
      </w:r>
      <w:r>
        <w:rPr>
          <w:rFonts w:hint="eastAsia"/>
        </w:rPr>
        <w:t xml:space="preserve"> of new network operators and other providers of telecom services. However, t</w:t>
      </w:r>
      <w:r>
        <w:t xml:space="preserve">he more innovative the services </w:t>
      </w:r>
      <w:r>
        <w:rPr>
          <w:rFonts w:hint="eastAsia"/>
        </w:rPr>
        <w:t>of</w:t>
      </w:r>
      <w:r>
        <w:t xml:space="preserve"> the new entrant, the tougher the problem may become for the dominant carrier. This subject requires considerable study and analysis, since it lies at the heart of the challenge of finding economically efficient means of facilitating entry and promoting competition. </w:t>
      </w:r>
    </w:p>
    <w:p w:rsidR="00EC5565" w:rsidRDefault="00EC5565">
      <w:r>
        <w:rPr>
          <w:rFonts w:hint="eastAsia"/>
        </w:rPr>
        <w:t>In practice, the regulator</w:t>
      </w:r>
      <w:r>
        <w:t>’</w:t>
      </w:r>
      <w:r>
        <w:rPr>
          <w:rFonts w:hint="eastAsia"/>
        </w:rPr>
        <w:t xml:space="preserve">s mandate </w:t>
      </w:r>
      <w:r>
        <w:t xml:space="preserve">represents a mixture of these different concepts. Not only does the "mix" vary from country to country, it also evolves over time. </w:t>
      </w:r>
      <w:r>
        <w:rPr>
          <w:rFonts w:hint="eastAsia"/>
        </w:rPr>
        <w:t xml:space="preserve">For example, </w:t>
      </w:r>
      <w:r>
        <w:t>in Canada</w:t>
      </w:r>
      <w:r>
        <w:rPr>
          <w:rFonts w:hint="eastAsia"/>
        </w:rPr>
        <w:t xml:space="preserve">, telecom regulation </w:t>
      </w:r>
      <w:r>
        <w:t>has</w:t>
      </w:r>
      <w:r>
        <w:rPr>
          <w:rFonts w:hint="eastAsia"/>
        </w:rPr>
        <w:t xml:space="preserve"> traditionally</w:t>
      </w:r>
      <w:r>
        <w:t xml:space="preserve"> followed </w:t>
      </w:r>
      <w:r>
        <w:rPr>
          <w:rFonts w:hint="eastAsia"/>
        </w:rPr>
        <w:t xml:space="preserve">the mission of </w:t>
      </w:r>
      <w:r>
        <w:rPr>
          <w:i/>
          <w:iCs/>
        </w:rPr>
        <w:t>supervising the dominant PTO</w:t>
      </w:r>
      <w:r>
        <w:t xml:space="preserve">. </w:t>
      </w:r>
      <w:r>
        <w:rPr>
          <w:rFonts w:hint="eastAsia"/>
        </w:rPr>
        <w:t>More recently, the m</w:t>
      </w:r>
      <w:r>
        <w:t xml:space="preserve">ission </w:t>
      </w:r>
      <w:r>
        <w:rPr>
          <w:rFonts w:hint="eastAsia"/>
        </w:rPr>
        <w:t xml:space="preserve">of </w:t>
      </w:r>
      <w:r>
        <w:rPr>
          <w:i/>
          <w:iCs/>
        </w:rPr>
        <w:t>changing the industry structure</w:t>
      </w:r>
      <w:r>
        <w:t xml:space="preserve"> has emerged as a major thrust of </w:t>
      </w:r>
      <w:r>
        <w:rPr>
          <w:rFonts w:hint="eastAsia"/>
        </w:rPr>
        <w:t>Canadian telecom regulation</w:t>
      </w:r>
      <w:r>
        <w:t xml:space="preserve"> policies. A cellular duopoly was established and a second long-distance carrier</w:t>
      </w:r>
      <w:r>
        <w:rPr>
          <w:rFonts w:hint="eastAsia"/>
        </w:rPr>
        <w:t>,</w:t>
      </w:r>
      <w:r>
        <w:t xml:space="preserve"> now known as Unitel</w:t>
      </w:r>
      <w:r>
        <w:rPr>
          <w:rFonts w:hint="eastAsia"/>
        </w:rPr>
        <w:t>,</w:t>
      </w:r>
      <w:r>
        <w:t xml:space="preserve"> was granted operating and interconnection rights to the local telephone companies' networks. This consent was initially given only for leased-line and packet-switched service, and not for switched telephony, but Unitel is now licensed to provide a full range of long-distance services, including voice services.</w:t>
      </w:r>
    </w:p>
    <w:p w:rsidR="00EC5565" w:rsidRDefault="00EC5565">
      <w:pPr>
        <w:pStyle w:val="5"/>
        <w:spacing w:after="360"/>
        <w:rPr>
          <w:b/>
          <w:bCs/>
        </w:rPr>
      </w:pPr>
      <w:r>
        <w:br w:type="page"/>
        <w:t>What to regulate?</w:t>
      </w:r>
    </w:p>
    <w:p w:rsidR="00EC5565" w:rsidRDefault="00EC5565">
      <w:r>
        <w:t xml:space="preserve">The provision and use of telecommunications services may be regulated in the following ways: </w:t>
      </w:r>
    </w:p>
    <w:p w:rsidR="00EC5565" w:rsidRDefault="00EC5565">
      <w:pPr>
        <w:numPr>
          <w:ilvl w:val="0"/>
          <w:numId w:val="18"/>
        </w:numPr>
      </w:pPr>
      <w:r>
        <w:t xml:space="preserve">licensing carriers; </w:t>
      </w:r>
    </w:p>
    <w:p w:rsidR="00EC5565" w:rsidRDefault="00EC5565">
      <w:pPr>
        <w:numPr>
          <w:ilvl w:val="0"/>
          <w:numId w:val="18"/>
        </w:numPr>
      </w:pPr>
      <w:r>
        <w:t xml:space="preserve">establishing and supervising technical and operational standards and practices for network operations by carriers; </w:t>
      </w:r>
    </w:p>
    <w:p w:rsidR="00EC5565" w:rsidRDefault="00EC5565">
      <w:pPr>
        <w:numPr>
          <w:ilvl w:val="0"/>
          <w:numId w:val="18"/>
        </w:numPr>
      </w:pPr>
      <w:r>
        <w:t xml:space="preserve">overseeing the quality of service provided by carriers; </w:t>
      </w:r>
    </w:p>
    <w:p w:rsidR="00EC5565" w:rsidRDefault="00EC5565">
      <w:pPr>
        <w:numPr>
          <w:ilvl w:val="0"/>
          <w:numId w:val="18"/>
        </w:numPr>
      </w:pPr>
      <w:r>
        <w:t xml:space="preserve">regulating the pricing of telecom services, either by controlling telecom operators' rates (tariffs) in detail or by applying some more general form of control such as a price-cap; </w:t>
      </w:r>
    </w:p>
    <w:p w:rsidR="00EC5565" w:rsidRDefault="00EC5565">
      <w:pPr>
        <w:numPr>
          <w:ilvl w:val="0"/>
          <w:numId w:val="18"/>
        </w:numPr>
      </w:pPr>
      <w:r>
        <w:t xml:space="preserve">setting the terms (administrative, financial and technical) for the interconnection of different carriers' networks, including the "access" pricing charged by one carrier to another, where there are multiple carriers and one carrier needs to interconnect with another's network; </w:t>
      </w:r>
    </w:p>
    <w:p w:rsidR="00EC5565" w:rsidRDefault="00EC5565">
      <w:pPr>
        <w:numPr>
          <w:ilvl w:val="0"/>
          <w:numId w:val="18"/>
        </w:numPr>
      </w:pPr>
      <w:r>
        <w:t xml:space="preserve">controlling type approval of customer premises equipment (CPE) and its attachment to the public network; </w:t>
      </w:r>
    </w:p>
    <w:p w:rsidR="00EC5565" w:rsidRDefault="00EC5565">
      <w:pPr>
        <w:numPr>
          <w:ilvl w:val="0"/>
          <w:numId w:val="18"/>
        </w:numPr>
        <w:spacing w:after="360"/>
      </w:pPr>
      <w:r>
        <w:t xml:space="preserve">controlling the numbering plan and related matters. </w:t>
      </w:r>
    </w:p>
    <w:p w:rsidR="00EC5565" w:rsidRDefault="00EC5565">
      <w:r>
        <w:t xml:space="preserve">The decision on "what to regulate" has substantially </w:t>
      </w:r>
      <w:r>
        <w:rPr>
          <w:rFonts w:hint="eastAsia"/>
        </w:rPr>
        <w:t>varied</w:t>
      </w:r>
      <w:r>
        <w:t xml:space="preserve"> in </w:t>
      </w:r>
      <w:r>
        <w:rPr>
          <w:rFonts w:hint="eastAsia"/>
        </w:rPr>
        <w:t>various</w:t>
      </w:r>
      <w:r>
        <w:t xml:space="preserve"> countries</w:t>
      </w:r>
      <w:r>
        <w:rPr>
          <w:rFonts w:hint="eastAsia"/>
        </w:rPr>
        <w:t xml:space="preserve"> since it </w:t>
      </w:r>
      <w:r>
        <w:t>depend</w:t>
      </w:r>
      <w:r>
        <w:rPr>
          <w:rFonts w:hint="eastAsia"/>
        </w:rPr>
        <w:t>s</w:t>
      </w:r>
      <w:r>
        <w:t xml:space="preserve"> on what outcomes </w:t>
      </w:r>
      <w:r>
        <w:rPr>
          <w:rFonts w:hint="eastAsia"/>
        </w:rPr>
        <w:t>are</w:t>
      </w:r>
      <w:r>
        <w:t xml:space="preserve"> to</w:t>
      </w:r>
      <w:r>
        <w:rPr>
          <w:rFonts w:hint="eastAsia"/>
        </w:rPr>
        <w:t xml:space="preserve"> be</w:t>
      </w:r>
      <w:r>
        <w:t xml:space="preserve"> achieve</w:t>
      </w:r>
      <w:r>
        <w:rPr>
          <w:rFonts w:hint="eastAsia"/>
        </w:rPr>
        <w:t>d</w:t>
      </w:r>
      <w:r>
        <w:t xml:space="preserve">. </w:t>
      </w:r>
      <w:r>
        <w:rPr>
          <w:rFonts w:hint="eastAsia"/>
        </w:rPr>
        <w:t>For example, i</w:t>
      </w:r>
      <w:r>
        <w:t>n “</w:t>
      </w:r>
      <w:r>
        <w:rPr>
          <w:rFonts w:hint="eastAsia"/>
        </w:rPr>
        <w:t>full monopoly</w:t>
      </w:r>
      <w:r>
        <w:t xml:space="preserve"> </w:t>
      </w:r>
      <w:r>
        <w:rPr>
          <w:rFonts w:hint="eastAsia"/>
        </w:rPr>
        <w:t>g</w:t>
      </w:r>
      <w:r>
        <w:t>roup” countries</w:t>
      </w:r>
      <w:r>
        <w:rPr>
          <w:rFonts w:hint="eastAsia"/>
        </w:rPr>
        <w:t xml:space="preserve"> (e.g. </w:t>
      </w:r>
      <w:r>
        <w:t>Spain, Italy and the majority of developing countries</w:t>
      </w:r>
      <w:r>
        <w:rPr>
          <w:rFonts w:hint="eastAsia"/>
        </w:rPr>
        <w:t>)</w:t>
      </w:r>
      <w:r>
        <w:t xml:space="preserve">, the regulator's goals will </w:t>
      </w:r>
      <w:r>
        <w:rPr>
          <w:rFonts w:hint="eastAsia"/>
        </w:rPr>
        <w:t>i</w:t>
      </w:r>
      <w:r>
        <w:t>mply</w:t>
      </w:r>
      <w:r>
        <w:rPr>
          <w:rFonts w:hint="eastAsia"/>
        </w:rPr>
        <w:t xml:space="preserve"> that</w:t>
      </w:r>
      <w:r>
        <w:t>:</w:t>
      </w:r>
    </w:p>
    <w:p w:rsidR="00EC5565" w:rsidRDefault="00EC5565">
      <w:pPr>
        <w:numPr>
          <w:ilvl w:val="0"/>
          <w:numId w:val="21"/>
        </w:numPr>
      </w:pPr>
      <w:r>
        <w:t xml:space="preserve">supervision of the monopoly PTO's technical standards and practices may be unnecessary; </w:t>
      </w:r>
    </w:p>
    <w:p w:rsidR="00EC5565" w:rsidRDefault="00EC5565">
      <w:pPr>
        <w:numPr>
          <w:ilvl w:val="0"/>
          <w:numId w:val="21"/>
        </w:numPr>
      </w:pPr>
      <w:r>
        <w:t xml:space="preserve">price regulation will be necessary and important; </w:t>
      </w:r>
    </w:p>
    <w:p w:rsidR="00EC5565" w:rsidRDefault="00EC5565">
      <w:pPr>
        <w:numPr>
          <w:ilvl w:val="0"/>
          <w:numId w:val="21"/>
        </w:numPr>
      </w:pPr>
      <w:r>
        <w:t xml:space="preserve">licensing new carriers and regulation of network interconnection is not relevant. </w:t>
      </w:r>
    </w:p>
    <w:p w:rsidR="00EC5565" w:rsidRDefault="00EC5565">
      <w:r>
        <w:t xml:space="preserve">At the other extreme, in a highly competitive </w:t>
      </w:r>
      <w:r>
        <w:rPr>
          <w:rFonts w:hint="eastAsia"/>
        </w:rPr>
        <w:t>g</w:t>
      </w:r>
      <w:r>
        <w:t xml:space="preserve">roup </w:t>
      </w:r>
      <w:r>
        <w:rPr>
          <w:rFonts w:hint="eastAsia"/>
        </w:rPr>
        <w:t xml:space="preserve">countries </w:t>
      </w:r>
      <w:r>
        <w:t>(</w:t>
      </w:r>
      <w:r>
        <w:rPr>
          <w:rFonts w:hint="eastAsia"/>
        </w:rPr>
        <w:t xml:space="preserve">e.g. U.S. </w:t>
      </w:r>
      <w:r>
        <w:t>long-distance telephone service</w:t>
      </w:r>
      <w:r>
        <w:rPr>
          <w:rFonts w:hint="eastAsia"/>
        </w:rPr>
        <w:t>), the regulator</w:t>
      </w:r>
      <w:r>
        <w:t>’</w:t>
      </w:r>
      <w:r>
        <w:rPr>
          <w:rFonts w:hint="eastAsia"/>
        </w:rPr>
        <w:t>s goals will imply:</w:t>
      </w:r>
      <w:r>
        <w:t xml:space="preserve"> </w:t>
      </w:r>
    </w:p>
    <w:p w:rsidR="00EC5565" w:rsidRDefault="00EC5565">
      <w:pPr>
        <w:numPr>
          <w:ilvl w:val="0"/>
          <w:numId w:val="22"/>
        </w:numPr>
      </w:pPr>
      <w:r>
        <w:t xml:space="preserve">regulatory control of some technical and operational matters </w:t>
      </w:r>
      <w:r>
        <w:rPr>
          <w:rFonts w:hint="eastAsia"/>
        </w:rPr>
        <w:t>is</w:t>
      </w:r>
      <w:r>
        <w:t xml:space="preserve"> essential since effective competition requires extensive interconnection of different carriers' networks; </w:t>
      </w:r>
    </w:p>
    <w:p w:rsidR="00EC5565" w:rsidRDefault="00EC5565">
      <w:pPr>
        <w:numPr>
          <w:ilvl w:val="0"/>
          <w:numId w:val="22"/>
        </w:numPr>
      </w:pPr>
      <w:r>
        <w:t xml:space="preserve">price regulation may become unnecessary, at least in some segments of the industry; </w:t>
      </w:r>
    </w:p>
    <w:p w:rsidR="00EC5565" w:rsidRDefault="00EC5565">
      <w:pPr>
        <w:numPr>
          <w:ilvl w:val="0"/>
          <w:numId w:val="22"/>
        </w:numPr>
      </w:pPr>
      <w:r>
        <w:t xml:space="preserve">licensing function may be unnecessary or minimal; </w:t>
      </w:r>
    </w:p>
    <w:p w:rsidR="00EC5565" w:rsidRDefault="00EC5565">
      <w:pPr>
        <w:numPr>
          <w:ilvl w:val="0"/>
          <w:numId w:val="22"/>
        </w:numPr>
        <w:spacing w:after="360"/>
      </w:pPr>
      <w:r>
        <w:t xml:space="preserve">rules concerning the interconnection of different carriers' networks are of critical importance. </w:t>
      </w:r>
    </w:p>
    <w:p w:rsidR="00EC5565" w:rsidRDefault="00EC5565">
      <w:pPr>
        <w:spacing w:after="360"/>
      </w:pPr>
      <w:r>
        <w:rPr>
          <w:rFonts w:hint="eastAsia"/>
        </w:rPr>
        <w:t>But what if a g</w:t>
      </w:r>
      <w:r>
        <w:t>overnment cho</w:t>
      </w:r>
      <w:r>
        <w:rPr>
          <w:rFonts w:hint="eastAsia"/>
        </w:rPr>
        <w:t>o</w:t>
      </w:r>
      <w:r>
        <w:t>se</w:t>
      </w:r>
      <w:r>
        <w:rPr>
          <w:rFonts w:hint="eastAsia"/>
        </w:rPr>
        <w:t>s</w:t>
      </w:r>
      <w:r>
        <w:t xml:space="preserve"> not to regulat</w:t>
      </w:r>
      <w:r>
        <w:rPr>
          <w:rFonts w:hint="eastAsia"/>
        </w:rPr>
        <w:t>e</w:t>
      </w:r>
      <w:r>
        <w:t xml:space="preserve"> at all</w:t>
      </w:r>
      <w:r>
        <w:rPr>
          <w:rFonts w:hint="eastAsia"/>
        </w:rPr>
        <w:t xml:space="preserve">? Experience </w:t>
      </w:r>
      <w:r>
        <w:t xml:space="preserve">suggests that </w:t>
      </w:r>
      <w:r>
        <w:rPr>
          <w:rFonts w:hint="eastAsia"/>
        </w:rPr>
        <w:t>this decision</w:t>
      </w:r>
      <w:r>
        <w:t xml:space="preserve"> is </w:t>
      </w:r>
      <w:r>
        <w:rPr>
          <w:rFonts w:hint="eastAsia"/>
        </w:rPr>
        <w:t>too</w:t>
      </w:r>
      <w:r>
        <w:t xml:space="preserve"> illusory</w:t>
      </w:r>
      <w:r>
        <w:rPr>
          <w:rFonts w:hint="eastAsia"/>
        </w:rPr>
        <w:t>: i</w:t>
      </w:r>
      <w:r>
        <w:t>n the unregulated or self-regulated monopoly, someone must determine whether or not the monopoly is acting in the public interest, and intervene if it is not.</w:t>
      </w:r>
    </w:p>
    <w:p w:rsidR="00EC5565" w:rsidRDefault="00EC5565">
      <w:pPr>
        <w:spacing w:after="360"/>
      </w:pPr>
      <w:r>
        <w:t>These considerations, among others, have led the countries of the European Community to collectively enact EC legislation requiring the establishment in each country of an explicit regulatory process for telecommunications and a regulatory body to implement that process which is separate from operational PTO organisations, even in those countries where national legislators have chosen to maintain a monopoly of basic fixed voice services.</w:t>
      </w:r>
    </w:p>
    <w:p w:rsidR="00EC5565" w:rsidRDefault="00EC5565">
      <w:pPr>
        <w:pStyle w:val="5"/>
        <w:spacing w:after="360"/>
      </w:pPr>
      <w:r>
        <w:br w:type="page"/>
        <w:t>How to regulate</w:t>
      </w:r>
      <w:r>
        <w:rPr>
          <w:rFonts w:hint="eastAsia"/>
        </w:rPr>
        <w:t>?</w:t>
      </w:r>
    </w:p>
    <w:p w:rsidR="00EC5565" w:rsidRDefault="00EC5565">
      <w:r>
        <w:rPr>
          <w:rFonts w:hint="eastAsia"/>
        </w:rPr>
        <w:t>R</w:t>
      </w:r>
      <w:r>
        <w:t xml:space="preserve">egulator </w:t>
      </w:r>
      <w:r>
        <w:rPr>
          <w:rFonts w:hint="eastAsia"/>
        </w:rPr>
        <w:t xml:space="preserve">with a defined mission </w:t>
      </w:r>
      <w:r>
        <w:t xml:space="preserve">can fulfil </w:t>
      </w:r>
      <w:r>
        <w:rPr>
          <w:rFonts w:hint="eastAsia"/>
        </w:rPr>
        <w:t>it</w:t>
      </w:r>
      <w:r>
        <w:t xml:space="preserve"> using widely differing regulatory approaches.</w:t>
      </w:r>
      <w:r>
        <w:rPr>
          <w:rFonts w:hint="eastAsia"/>
        </w:rPr>
        <w:t xml:space="preserve"> Actually, there are basically </w:t>
      </w:r>
      <w:r>
        <w:t>two kinds of choices that must be made</w:t>
      </w:r>
      <w:r>
        <w:rPr>
          <w:rFonts w:hint="eastAsia"/>
        </w:rPr>
        <w:t xml:space="preserve"> to define regulatory approaches</w:t>
      </w:r>
      <w:r>
        <w:t xml:space="preserve">: </w:t>
      </w:r>
    </w:p>
    <w:p w:rsidR="00EC5565" w:rsidRDefault="00EC5565">
      <w:pPr>
        <w:numPr>
          <w:ilvl w:val="0"/>
          <w:numId w:val="23"/>
        </w:numPr>
      </w:pPr>
      <w:r>
        <w:rPr>
          <w:u w:val="single"/>
        </w:rPr>
        <w:t>How far the regulator will exercise control, and how far the regulator will act "by exception."</w:t>
      </w:r>
      <w:r>
        <w:t xml:space="preserve"> To what extent will certain matters (</w:t>
      </w:r>
      <w:r>
        <w:rPr>
          <w:rFonts w:hint="eastAsia"/>
        </w:rPr>
        <w:t xml:space="preserve">e.g. </w:t>
      </w:r>
      <w:r>
        <w:t>"access charges" for interconnecting</w:t>
      </w:r>
      <w:r>
        <w:rPr>
          <w:rFonts w:hint="eastAsia"/>
        </w:rPr>
        <w:t>)</w:t>
      </w:r>
      <w:r>
        <w:t xml:space="preserve"> be controlled by the regulator, or will the regulator only intervene "by exception" when a particular regulatory case requires this? In the case of access charges, for example, U.S. practice involves continuous and mandatory control of access charges for fixed-service carriers. In the United Kingdom, by contrast, the regulator does not automatically exercise control over these charges, but may exercise the power to determine the charges if the various carriers fail to reach agreement. </w:t>
      </w:r>
    </w:p>
    <w:p w:rsidR="00EC5565" w:rsidRDefault="00EC5565">
      <w:pPr>
        <w:numPr>
          <w:ilvl w:val="0"/>
          <w:numId w:val="23"/>
        </w:numPr>
        <w:spacing w:after="360"/>
        <w:ind w:left="418" w:hanging="418"/>
      </w:pPr>
      <w:r>
        <w:rPr>
          <w:u w:val="single"/>
        </w:rPr>
        <w:t>How far the regulator controls outcomes directly, or indirectly.</w:t>
      </w:r>
      <w:r>
        <w:t xml:space="preserve"> For example, if one goal of regulation is low prices for service, will the regulator control prices directly, or seek to influence prices indirectly by promoting an industry structure that is considered to be favourable to achieving low prices? Or, to take another example, will the regulator directly impose particular targets for network expansion and modernisation, or rely on the effect of a general framework of incentives designed to encourage carriers to pursue these goals?</w:t>
      </w:r>
    </w:p>
    <w:p w:rsidR="00EC5565" w:rsidRDefault="00EC5565">
      <w:r>
        <w:t>In this context, l</w:t>
      </w:r>
      <w:r>
        <w:rPr>
          <w:rFonts w:hint="eastAsia"/>
        </w:rPr>
        <w:t>et</w:t>
      </w:r>
      <w:r>
        <w:t>’</w:t>
      </w:r>
      <w:r>
        <w:rPr>
          <w:rFonts w:hint="eastAsia"/>
        </w:rPr>
        <w:t xml:space="preserve">s consider </w:t>
      </w:r>
      <w:r>
        <w:t xml:space="preserve">one of </w:t>
      </w:r>
      <w:r>
        <w:rPr>
          <w:rFonts w:hint="eastAsia"/>
        </w:rPr>
        <w:t>t</w:t>
      </w:r>
      <w:r>
        <w:t xml:space="preserve">he most fundamental issues </w:t>
      </w:r>
      <w:r>
        <w:rPr>
          <w:rFonts w:hint="eastAsia"/>
        </w:rPr>
        <w:t>about</w:t>
      </w:r>
      <w:r>
        <w:t xml:space="preserve"> whether or not the regulator should intervene to promote innovation. There are three different views on this matter:</w:t>
      </w:r>
    </w:p>
    <w:p w:rsidR="00EC5565" w:rsidRDefault="00EC5565">
      <w:pPr>
        <w:numPr>
          <w:ilvl w:val="1"/>
          <w:numId w:val="23"/>
        </w:numPr>
      </w:pPr>
      <w:r>
        <w:rPr>
          <w:i/>
          <w:iCs/>
        </w:rPr>
        <w:t>“Regulator as Patron”</w:t>
      </w:r>
      <w:r>
        <w:t>: the regulator identifies the promising innovation, and takes steps to ensure that the organisation most likely to implement it is not only authorised, but have priority access to the resources necessary to implement the innovation.</w:t>
      </w:r>
    </w:p>
    <w:p w:rsidR="00EC5565" w:rsidRDefault="00EC5565">
      <w:pPr>
        <w:numPr>
          <w:ilvl w:val="1"/>
          <w:numId w:val="23"/>
        </w:numPr>
      </w:pPr>
      <w:r>
        <w:rPr>
          <w:i/>
          <w:iCs/>
        </w:rPr>
        <w:t>"Pro-active Removing of Obstacles":</w:t>
      </w:r>
      <w:r>
        <w:t xml:space="preserve"> the regulator does not "pick winners" in this way, but nevertheless actively seeks to ensure that regulation itself does not impede promising innovations and to act pro-actively to provide an environment that is favourable for innovation. </w:t>
      </w:r>
    </w:p>
    <w:p w:rsidR="00EC5565" w:rsidRDefault="00EC5565">
      <w:pPr>
        <w:numPr>
          <w:ilvl w:val="1"/>
          <w:numId w:val="23"/>
        </w:numPr>
        <w:spacing w:after="360"/>
      </w:pPr>
      <w:r>
        <w:rPr>
          <w:i/>
          <w:iCs/>
        </w:rPr>
        <w:t>“Arm's Length Approach”:</w:t>
      </w:r>
      <w:r>
        <w:t xml:space="preserve"> the regulator’s role is minimised in decision-making about innovation, and the regulator will respond to innovation initiatives from the PTO or other interested parties (e.g. telecommunications users, resellers or providers of value-added services). This may occur if the innovation needs the regulator to take specific actions before it can proceed. </w:t>
      </w:r>
    </w:p>
    <w:p w:rsidR="00EC5565" w:rsidRDefault="00EC5565">
      <w:pPr>
        <w:spacing w:after="360"/>
      </w:pPr>
      <w:r>
        <w:t xml:space="preserve">Although these approaches are different, they are not clear-cut alternatives. There are many intermediate approaches between them. In table 1, the main advantages and disadvantages of these tree alternatives are presented. </w:t>
      </w:r>
    </w:p>
    <w:p w:rsidR="00EC5565" w:rsidRDefault="00EC5565">
      <w:pPr>
        <w:pStyle w:val="a3"/>
        <w:spacing w:after="360"/>
      </w:pPr>
      <w:r>
        <w:t>Concluding all above, we can say that establishing proper regulatory institutions is an important precondition for successfully restructuring the telecommunications sector and increasing the involvement of private initiatives and market forces. Three basic questions are to be addressed at the outset - why, what and how to regulate – in order to settle the main two principal issues: how to ensure a proper interface between the regulated and competitive parts of the telecommunications, and how to encourage the innovative forces in the sector.</w:t>
      </w:r>
    </w:p>
    <w:p w:rsidR="00EC5565" w:rsidRDefault="00EC5565">
      <w:pPr>
        <w:pStyle w:val="3"/>
        <w:sectPr w:rsidR="00EC5565">
          <w:headerReference w:type="default" r:id="rId7"/>
          <w:pgSz w:w="11906" w:h="16838" w:code="9"/>
          <w:pgMar w:top="1134" w:right="851" w:bottom="851" w:left="1418" w:header="567" w:footer="397" w:gutter="0"/>
          <w:pgNumType w:start="1"/>
          <w:cols w:space="425"/>
          <w:docGrid w:type="lines" w:linePitch="360"/>
        </w:sectPr>
      </w:pPr>
    </w:p>
    <w:p w:rsidR="00EC5565" w:rsidRDefault="00EC5565">
      <w:pPr>
        <w:pStyle w:val="6"/>
      </w:pPr>
    </w:p>
    <w:p w:rsidR="00EC5565" w:rsidRDefault="00EC5565">
      <w:pPr>
        <w:pStyle w:val="6"/>
      </w:pPr>
      <w:r>
        <w:t>Table 1   Advantages and Disadvantages of the Broad Regulatory Alternatives Concerning Innovation</w:t>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5580"/>
        <w:gridCol w:w="5580"/>
      </w:tblGrid>
      <w:tr w:rsidR="00EC5565">
        <w:tc>
          <w:tcPr>
            <w:tcW w:w="2448" w:type="dxa"/>
          </w:tcPr>
          <w:p w:rsidR="00EC5565" w:rsidRDefault="00EC5565">
            <w:pPr>
              <w:spacing w:line="360" w:lineRule="auto"/>
              <w:jc w:val="left"/>
            </w:pPr>
          </w:p>
        </w:tc>
        <w:tc>
          <w:tcPr>
            <w:tcW w:w="5580" w:type="dxa"/>
          </w:tcPr>
          <w:p w:rsidR="00EC5565" w:rsidRDefault="00EC5565">
            <w:pPr>
              <w:pStyle w:val="7"/>
            </w:pPr>
            <w:r>
              <w:t>Advantages</w:t>
            </w:r>
          </w:p>
        </w:tc>
        <w:tc>
          <w:tcPr>
            <w:tcW w:w="5580" w:type="dxa"/>
          </w:tcPr>
          <w:p w:rsidR="00EC5565" w:rsidRDefault="00EC5565">
            <w:pPr>
              <w:spacing w:line="360" w:lineRule="auto"/>
              <w:jc w:val="center"/>
              <w:rPr>
                <w:b/>
                <w:bCs/>
              </w:rPr>
            </w:pPr>
            <w:r>
              <w:rPr>
                <w:b/>
                <w:bCs/>
              </w:rPr>
              <w:t>Disadvantages</w:t>
            </w:r>
          </w:p>
        </w:tc>
      </w:tr>
      <w:tr w:rsidR="00EC5565">
        <w:tc>
          <w:tcPr>
            <w:tcW w:w="2448" w:type="dxa"/>
          </w:tcPr>
          <w:p w:rsidR="00EC5565" w:rsidRDefault="00EC5565">
            <w:pPr>
              <w:pStyle w:val="a3"/>
              <w:spacing w:line="360" w:lineRule="auto"/>
              <w:jc w:val="left"/>
              <w:rPr>
                <w:i/>
                <w:iCs/>
              </w:rPr>
            </w:pPr>
            <w:r>
              <w:rPr>
                <w:i/>
                <w:iCs/>
              </w:rPr>
              <w:t>Regulator as Patron</w:t>
            </w:r>
          </w:p>
        </w:tc>
        <w:tc>
          <w:tcPr>
            <w:tcW w:w="5580" w:type="dxa"/>
          </w:tcPr>
          <w:p w:rsidR="00EC5565" w:rsidRDefault="00EC5565">
            <w:pPr>
              <w:pStyle w:val="a5"/>
              <w:widowControl w:val="0"/>
              <w:numPr>
                <w:ilvl w:val="0"/>
                <w:numId w:val="28"/>
              </w:numPr>
              <w:tabs>
                <w:tab w:val="clear" w:pos="432"/>
                <w:tab w:val="num" w:pos="252"/>
              </w:tabs>
              <w:overflowPunct/>
              <w:autoSpaceDE/>
              <w:autoSpaceDN/>
              <w:adjustRightInd/>
              <w:spacing w:line="360" w:lineRule="auto"/>
              <w:ind w:left="252" w:hanging="180"/>
              <w:textAlignment w:val="auto"/>
              <w:rPr>
                <w:rFonts w:ascii="Arial" w:hAnsi="Arial"/>
                <w:kern w:val="2"/>
                <w:sz w:val="22"/>
                <w:szCs w:val="24"/>
                <w:lang w:val="en-GB"/>
              </w:rPr>
            </w:pPr>
            <w:r>
              <w:rPr>
                <w:rFonts w:ascii="Arial" w:hAnsi="Arial"/>
                <w:kern w:val="2"/>
                <w:sz w:val="22"/>
                <w:szCs w:val="24"/>
                <w:lang w:val="en-GB"/>
              </w:rPr>
              <w:t>May stimulate important innovations not previously foreseen.</w:t>
            </w:r>
          </w:p>
          <w:p w:rsidR="00EC5565" w:rsidRDefault="00EC5565">
            <w:pPr>
              <w:pStyle w:val="a5"/>
              <w:widowControl w:val="0"/>
              <w:numPr>
                <w:ilvl w:val="0"/>
                <w:numId w:val="28"/>
              </w:numPr>
              <w:tabs>
                <w:tab w:val="clear" w:pos="432"/>
                <w:tab w:val="num" w:pos="252"/>
              </w:tabs>
              <w:overflowPunct/>
              <w:autoSpaceDE/>
              <w:autoSpaceDN/>
              <w:adjustRightInd/>
              <w:spacing w:line="360" w:lineRule="auto"/>
              <w:ind w:left="252" w:hanging="180"/>
              <w:textAlignment w:val="auto"/>
              <w:rPr>
                <w:rFonts w:ascii="Arial" w:hAnsi="Arial"/>
                <w:kern w:val="2"/>
                <w:sz w:val="22"/>
                <w:szCs w:val="24"/>
                <w:lang w:val="en-GB"/>
              </w:rPr>
            </w:pPr>
            <w:r>
              <w:rPr>
                <w:rFonts w:ascii="Arial" w:hAnsi="Arial"/>
                <w:kern w:val="2"/>
                <w:sz w:val="22"/>
                <w:szCs w:val="24"/>
                <w:lang w:val="en-GB"/>
              </w:rPr>
              <w:t>May significantly increase the rate of innovation.</w:t>
            </w:r>
          </w:p>
        </w:tc>
        <w:tc>
          <w:tcPr>
            <w:tcW w:w="5580" w:type="dxa"/>
          </w:tcPr>
          <w:p w:rsidR="00EC5565" w:rsidRDefault="00EC5565">
            <w:pPr>
              <w:pStyle w:val="a5"/>
              <w:widowControl w:val="0"/>
              <w:numPr>
                <w:ilvl w:val="0"/>
                <w:numId w:val="28"/>
              </w:numPr>
              <w:tabs>
                <w:tab w:val="clear" w:pos="432"/>
                <w:tab w:val="num" w:pos="252"/>
              </w:tabs>
              <w:overflowPunct/>
              <w:autoSpaceDE/>
              <w:autoSpaceDN/>
              <w:adjustRightInd/>
              <w:spacing w:line="360" w:lineRule="auto"/>
              <w:ind w:left="252" w:hanging="180"/>
              <w:textAlignment w:val="auto"/>
              <w:rPr>
                <w:rFonts w:ascii="Arial" w:hAnsi="Arial" w:cs="Arial"/>
                <w:kern w:val="2"/>
                <w:sz w:val="22"/>
                <w:szCs w:val="24"/>
                <w:lang w:val="en-GB"/>
              </w:rPr>
            </w:pPr>
            <w:r>
              <w:rPr>
                <w:rFonts w:ascii="Arial" w:hAnsi="Arial" w:cs="Arial"/>
                <w:kern w:val="2"/>
                <w:sz w:val="22"/>
                <w:szCs w:val="24"/>
                <w:lang w:val="en-GB"/>
              </w:rPr>
              <w:t>Regulatory complexity and cost.</w:t>
            </w:r>
          </w:p>
          <w:p w:rsidR="00EC5565" w:rsidRDefault="00EC5565">
            <w:pPr>
              <w:pStyle w:val="a5"/>
              <w:widowControl w:val="0"/>
              <w:numPr>
                <w:ilvl w:val="0"/>
                <w:numId w:val="28"/>
              </w:numPr>
              <w:tabs>
                <w:tab w:val="clear" w:pos="432"/>
                <w:tab w:val="num" w:pos="252"/>
              </w:tabs>
              <w:overflowPunct/>
              <w:autoSpaceDE/>
              <w:autoSpaceDN/>
              <w:adjustRightInd/>
              <w:spacing w:line="360" w:lineRule="auto"/>
              <w:ind w:left="252" w:hanging="180"/>
              <w:textAlignment w:val="auto"/>
              <w:rPr>
                <w:rFonts w:ascii="Arial" w:hAnsi="Arial" w:cs="Arial"/>
                <w:sz w:val="22"/>
              </w:rPr>
            </w:pPr>
            <w:r>
              <w:rPr>
                <w:rFonts w:ascii="Arial" w:hAnsi="Arial" w:cs="Arial"/>
                <w:kern w:val="2"/>
                <w:sz w:val="22"/>
              </w:rPr>
              <w:t>Blurs the line between regulatory and commercial decision-making.</w:t>
            </w:r>
          </w:p>
        </w:tc>
      </w:tr>
      <w:tr w:rsidR="00EC5565">
        <w:tc>
          <w:tcPr>
            <w:tcW w:w="2448" w:type="dxa"/>
          </w:tcPr>
          <w:p w:rsidR="00EC5565" w:rsidRDefault="00EC5565">
            <w:pPr>
              <w:spacing w:line="360" w:lineRule="auto"/>
              <w:jc w:val="left"/>
              <w:rPr>
                <w:i/>
                <w:iCs/>
              </w:rPr>
            </w:pPr>
            <w:r>
              <w:rPr>
                <w:i/>
                <w:iCs/>
              </w:rPr>
              <w:t>Pro-Active Removal of Obstacles</w:t>
            </w:r>
          </w:p>
        </w:tc>
        <w:tc>
          <w:tcPr>
            <w:tcW w:w="5580" w:type="dxa"/>
          </w:tcPr>
          <w:p w:rsidR="00EC5565" w:rsidRDefault="00EC5565">
            <w:pPr>
              <w:pStyle w:val="a5"/>
              <w:widowControl w:val="0"/>
              <w:numPr>
                <w:ilvl w:val="0"/>
                <w:numId w:val="28"/>
              </w:numPr>
              <w:tabs>
                <w:tab w:val="clear" w:pos="432"/>
                <w:tab w:val="num" w:pos="252"/>
              </w:tabs>
              <w:overflowPunct/>
              <w:autoSpaceDE/>
              <w:autoSpaceDN/>
              <w:adjustRightInd/>
              <w:spacing w:line="360" w:lineRule="auto"/>
              <w:ind w:left="252" w:hanging="180"/>
              <w:textAlignment w:val="auto"/>
              <w:rPr>
                <w:rFonts w:ascii="Arial" w:hAnsi="Arial"/>
                <w:kern w:val="2"/>
                <w:sz w:val="22"/>
                <w:szCs w:val="24"/>
                <w:lang w:val="en-GB"/>
              </w:rPr>
            </w:pPr>
            <w:r>
              <w:rPr>
                <w:rFonts w:ascii="Arial" w:hAnsi="Arial"/>
                <w:kern w:val="2"/>
                <w:sz w:val="22"/>
                <w:szCs w:val="24"/>
                <w:lang w:val="en-GB"/>
              </w:rPr>
              <w:t xml:space="preserve">Maintains dividing line between regulatory and commercial decision-making. </w:t>
            </w:r>
          </w:p>
          <w:p w:rsidR="00EC5565" w:rsidRDefault="00EC5565">
            <w:pPr>
              <w:pStyle w:val="a5"/>
              <w:widowControl w:val="0"/>
              <w:numPr>
                <w:ilvl w:val="0"/>
                <w:numId w:val="28"/>
              </w:numPr>
              <w:tabs>
                <w:tab w:val="clear" w:pos="432"/>
                <w:tab w:val="num" w:pos="252"/>
              </w:tabs>
              <w:overflowPunct/>
              <w:autoSpaceDE/>
              <w:autoSpaceDN/>
              <w:adjustRightInd/>
              <w:spacing w:line="360" w:lineRule="auto"/>
              <w:ind w:left="252" w:hanging="180"/>
              <w:textAlignment w:val="auto"/>
              <w:rPr>
                <w:rFonts w:ascii="Arial" w:hAnsi="Arial"/>
                <w:kern w:val="2"/>
                <w:sz w:val="22"/>
                <w:szCs w:val="24"/>
                <w:lang w:val="en-GB"/>
              </w:rPr>
            </w:pPr>
            <w:r>
              <w:rPr>
                <w:rFonts w:ascii="Arial" w:hAnsi="Arial"/>
                <w:kern w:val="2"/>
                <w:sz w:val="22"/>
                <w:szCs w:val="24"/>
                <w:lang w:val="en-GB"/>
              </w:rPr>
              <w:t>May still significantly increase the rate of innovation.</w:t>
            </w:r>
          </w:p>
        </w:tc>
        <w:tc>
          <w:tcPr>
            <w:tcW w:w="5580" w:type="dxa"/>
          </w:tcPr>
          <w:p w:rsidR="00EC5565" w:rsidRDefault="00EC5565">
            <w:pPr>
              <w:pStyle w:val="a5"/>
              <w:widowControl w:val="0"/>
              <w:numPr>
                <w:ilvl w:val="0"/>
                <w:numId w:val="28"/>
              </w:numPr>
              <w:tabs>
                <w:tab w:val="clear" w:pos="432"/>
                <w:tab w:val="num" w:pos="252"/>
              </w:tabs>
              <w:overflowPunct/>
              <w:autoSpaceDE/>
              <w:autoSpaceDN/>
              <w:adjustRightInd/>
              <w:spacing w:line="360" w:lineRule="auto"/>
              <w:ind w:left="252" w:hanging="180"/>
              <w:textAlignment w:val="auto"/>
              <w:rPr>
                <w:rFonts w:ascii="Arial" w:hAnsi="Arial" w:cs="Arial"/>
                <w:sz w:val="22"/>
              </w:rPr>
            </w:pPr>
            <w:r>
              <w:rPr>
                <w:rFonts w:ascii="Arial" w:hAnsi="Arial" w:cs="Arial"/>
                <w:kern w:val="2"/>
                <w:sz w:val="22"/>
                <w:szCs w:val="24"/>
                <w:lang w:val="en-GB"/>
              </w:rPr>
              <w:t>A country with this approach may in some cases become follower of a country with the “regulator as patron” model.</w:t>
            </w:r>
          </w:p>
        </w:tc>
      </w:tr>
      <w:tr w:rsidR="00EC5565">
        <w:tc>
          <w:tcPr>
            <w:tcW w:w="2448" w:type="dxa"/>
          </w:tcPr>
          <w:p w:rsidR="00EC5565" w:rsidRDefault="00EC5565">
            <w:pPr>
              <w:spacing w:line="360" w:lineRule="auto"/>
              <w:jc w:val="left"/>
              <w:rPr>
                <w:i/>
                <w:iCs/>
              </w:rPr>
            </w:pPr>
            <w:r>
              <w:rPr>
                <w:i/>
                <w:iCs/>
              </w:rPr>
              <w:t>Arm's Length Approach</w:t>
            </w:r>
          </w:p>
        </w:tc>
        <w:tc>
          <w:tcPr>
            <w:tcW w:w="5580" w:type="dxa"/>
          </w:tcPr>
          <w:p w:rsidR="00EC5565" w:rsidRDefault="00EC5565">
            <w:pPr>
              <w:pStyle w:val="a5"/>
              <w:widowControl w:val="0"/>
              <w:numPr>
                <w:ilvl w:val="0"/>
                <w:numId w:val="28"/>
              </w:numPr>
              <w:tabs>
                <w:tab w:val="clear" w:pos="432"/>
                <w:tab w:val="num" w:pos="252"/>
              </w:tabs>
              <w:overflowPunct/>
              <w:autoSpaceDE/>
              <w:autoSpaceDN/>
              <w:adjustRightInd/>
              <w:spacing w:line="360" w:lineRule="auto"/>
              <w:ind w:left="252" w:hanging="180"/>
              <w:textAlignment w:val="auto"/>
              <w:rPr>
                <w:rFonts w:ascii="Arial" w:hAnsi="Arial" w:cs="Arial"/>
                <w:sz w:val="22"/>
              </w:rPr>
            </w:pPr>
            <w:r>
              <w:rPr>
                <w:rFonts w:ascii="Arial" w:hAnsi="Arial" w:cs="Arial"/>
                <w:sz w:val="22"/>
              </w:rPr>
              <w:t>Simplicity and low cost for the regulator.</w:t>
            </w:r>
          </w:p>
          <w:p w:rsidR="00EC5565" w:rsidRDefault="00EC5565">
            <w:pPr>
              <w:pStyle w:val="a5"/>
              <w:widowControl w:val="0"/>
              <w:numPr>
                <w:ilvl w:val="0"/>
                <w:numId w:val="28"/>
              </w:numPr>
              <w:tabs>
                <w:tab w:val="clear" w:pos="432"/>
                <w:tab w:val="num" w:pos="252"/>
              </w:tabs>
              <w:overflowPunct/>
              <w:autoSpaceDE/>
              <w:autoSpaceDN/>
              <w:adjustRightInd/>
              <w:spacing w:line="360" w:lineRule="auto"/>
              <w:ind w:left="252" w:hanging="180"/>
              <w:textAlignment w:val="auto"/>
              <w:rPr>
                <w:rFonts w:ascii="Arial" w:hAnsi="Arial" w:cs="Arial"/>
                <w:sz w:val="22"/>
              </w:rPr>
            </w:pPr>
            <w:r>
              <w:rPr>
                <w:rFonts w:ascii="Arial" w:hAnsi="Arial" w:cs="Arial"/>
                <w:sz w:val="22"/>
              </w:rPr>
              <w:t xml:space="preserve">Maximises the clarity of the dividing line between regulatory and commercial decision-making. </w:t>
            </w:r>
          </w:p>
        </w:tc>
        <w:tc>
          <w:tcPr>
            <w:tcW w:w="5580" w:type="dxa"/>
          </w:tcPr>
          <w:p w:rsidR="00EC5565" w:rsidRDefault="00EC5565">
            <w:pPr>
              <w:pStyle w:val="a5"/>
              <w:widowControl w:val="0"/>
              <w:numPr>
                <w:ilvl w:val="0"/>
                <w:numId w:val="28"/>
              </w:numPr>
              <w:tabs>
                <w:tab w:val="clear" w:pos="432"/>
                <w:tab w:val="num" w:pos="252"/>
              </w:tabs>
              <w:overflowPunct/>
              <w:autoSpaceDE/>
              <w:autoSpaceDN/>
              <w:adjustRightInd/>
              <w:spacing w:line="360" w:lineRule="auto"/>
              <w:ind w:left="252" w:hanging="180"/>
              <w:textAlignment w:val="auto"/>
              <w:rPr>
                <w:rFonts w:ascii="Arial" w:hAnsi="Arial" w:cs="Arial"/>
                <w:kern w:val="2"/>
                <w:sz w:val="22"/>
                <w:szCs w:val="24"/>
                <w:lang w:val="en-GB"/>
              </w:rPr>
            </w:pPr>
            <w:r>
              <w:rPr>
                <w:rFonts w:ascii="Arial" w:hAnsi="Arial" w:cs="Arial"/>
                <w:kern w:val="2"/>
                <w:sz w:val="22"/>
                <w:szCs w:val="24"/>
                <w:lang w:val="en-GB"/>
              </w:rPr>
              <w:t>May result in slower rate of innovation.</w:t>
            </w:r>
          </w:p>
          <w:p w:rsidR="00EC5565" w:rsidRDefault="00EC5565">
            <w:pPr>
              <w:pStyle w:val="a5"/>
              <w:widowControl w:val="0"/>
              <w:numPr>
                <w:ilvl w:val="0"/>
                <w:numId w:val="28"/>
              </w:numPr>
              <w:tabs>
                <w:tab w:val="clear" w:pos="432"/>
                <w:tab w:val="num" w:pos="252"/>
              </w:tabs>
              <w:overflowPunct/>
              <w:autoSpaceDE/>
              <w:autoSpaceDN/>
              <w:adjustRightInd/>
              <w:spacing w:line="360" w:lineRule="auto"/>
              <w:ind w:left="252" w:hanging="180"/>
              <w:textAlignment w:val="auto"/>
              <w:rPr>
                <w:rFonts w:ascii="Arial" w:hAnsi="Arial" w:cs="Arial"/>
                <w:sz w:val="22"/>
              </w:rPr>
            </w:pPr>
            <w:r>
              <w:rPr>
                <w:rFonts w:ascii="Arial" w:hAnsi="Arial" w:cs="Arial"/>
                <w:kern w:val="2"/>
                <w:sz w:val="22"/>
              </w:rPr>
              <w:t>May entail significant delays since the regulator needs to undertake new policy development efforts, after initiatives are received, before he can respond.</w:t>
            </w:r>
          </w:p>
        </w:tc>
      </w:tr>
    </w:tbl>
    <w:p w:rsidR="00EC5565" w:rsidRDefault="00EC5565">
      <w:pPr>
        <w:pStyle w:val="3"/>
        <w:sectPr w:rsidR="00EC5565">
          <w:headerReference w:type="default" r:id="rId8"/>
          <w:pgSz w:w="16838" w:h="11906" w:orient="landscape" w:code="9"/>
          <w:pgMar w:top="1440" w:right="1714" w:bottom="1440" w:left="1728" w:header="432" w:footer="432" w:gutter="0"/>
          <w:cols w:space="425"/>
          <w:docGrid w:type="lines" w:linePitch="360"/>
        </w:sectPr>
      </w:pPr>
    </w:p>
    <w:p w:rsidR="00EC5565" w:rsidRDefault="00EC5565">
      <w:pPr>
        <w:pStyle w:val="a9"/>
      </w:pPr>
      <w:bookmarkStart w:id="0" w:name="_GoBack"/>
      <w:bookmarkEnd w:id="0"/>
    </w:p>
    <w:sectPr w:rsidR="00EC5565">
      <w:headerReference w:type="default" r:id="rId9"/>
      <w:pgSz w:w="11906" w:h="16838" w:code="9"/>
      <w:pgMar w:top="1134" w:right="851" w:bottom="851" w:left="1418" w:header="567"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565" w:rsidRDefault="00EC5565">
      <w:pPr>
        <w:spacing w:line="240" w:lineRule="auto"/>
      </w:pPr>
      <w:r>
        <w:separator/>
      </w:r>
    </w:p>
  </w:endnote>
  <w:endnote w:type="continuationSeparator" w:id="0">
    <w:p w:rsidR="00EC5565" w:rsidRDefault="00EC5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565" w:rsidRDefault="00EC5565">
      <w:pPr>
        <w:spacing w:line="240" w:lineRule="auto"/>
      </w:pPr>
      <w:r>
        <w:separator/>
      </w:r>
    </w:p>
  </w:footnote>
  <w:footnote w:type="continuationSeparator" w:id="0">
    <w:p w:rsidR="00EC5565" w:rsidRDefault="00EC55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CellMar>
        <w:left w:w="99" w:type="dxa"/>
        <w:right w:w="99" w:type="dxa"/>
      </w:tblCellMar>
      <w:tblLook w:val="0000" w:firstRow="0" w:lastRow="0" w:firstColumn="0" w:lastColumn="0" w:noHBand="0" w:noVBand="0"/>
    </w:tblPr>
    <w:tblGrid>
      <w:gridCol w:w="8919"/>
      <w:gridCol w:w="916"/>
    </w:tblGrid>
    <w:tr w:rsidR="00EC5565">
      <w:tc>
        <w:tcPr>
          <w:tcW w:w="8919" w:type="dxa"/>
        </w:tcPr>
        <w:p w:rsidR="00EC5565" w:rsidRDefault="00EC5565">
          <w:pPr>
            <w:pStyle w:val="a6"/>
            <w:spacing w:line="360" w:lineRule="auto"/>
            <w:rPr>
              <w:sz w:val="20"/>
            </w:rPr>
          </w:pPr>
          <w:r>
            <w:rPr>
              <w:rFonts w:hint="eastAsia"/>
              <w:sz w:val="20"/>
            </w:rPr>
            <w:t xml:space="preserve">Regulation in Telecommunications Industries: </w:t>
          </w:r>
          <w:r>
            <w:rPr>
              <w:rFonts w:hint="eastAsia"/>
              <w:i/>
              <w:iCs/>
              <w:sz w:val="20"/>
            </w:rPr>
            <w:t>Why, What and How to Regulate</w:t>
          </w:r>
          <w:r>
            <w:rPr>
              <w:i/>
              <w:iCs/>
              <w:sz w:val="20"/>
            </w:rPr>
            <w:t>?</w:t>
          </w:r>
        </w:p>
      </w:tc>
      <w:tc>
        <w:tcPr>
          <w:tcW w:w="916" w:type="dxa"/>
        </w:tcPr>
        <w:p w:rsidR="00EC5565" w:rsidRDefault="00EC5565">
          <w:pPr>
            <w:pStyle w:val="a6"/>
            <w:spacing w:line="360" w:lineRule="auto"/>
            <w:jc w:val="right"/>
          </w:pPr>
          <w:r>
            <w:rPr>
              <w:rStyle w:val="a8"/>
            </w:rPr>
            <w:fldChar w:fldCharType="begin"/>
          </w:r>
          <w:r>
            <w:rPr>
              <w:rStyle w:val="a8"/>
            </w:rPr>
            <w:instrText xml:space="preserve"> PAGE </w:instrText>
          </w:r>
          <w:r>
            <w:rPr>
              <w:rStyle w:val="a8"/>
            </w:rPr>
            <w:fldChar w:fldCharType="separate"/>
          </w:r>
          <w:r w:rsidR="000E3B95">
            <w:rPr>
              <w:rStyle w:val="a8"/>
              <w:noProof/>
            </w:rPr>
            <w:t>1</w:t>
          </w:r>
          <w:r>
            <w:rPr>
              <w:rStyle w:val="a8"/>
            </w:rPr>
            <w:fldChar w:fldCharType="end"/>
          </w:r>
        </w:p>
      </w:tc>
    </w:tr>
  </w:tbl>
  <w:p w:rsidR="00EC5565" w:rsidRDefault="00EC556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565" w:rsidRDefault="00EC556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565" w:rsidRDefault="00EC556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1111C"/>
    <w:multiLevelType w:val="hybridMultilevel"/>
    <w:tmpl w:val="CEE4A252"/>
    <w:lvl w:ilvl="0" w:tplc="382E85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30A25F6"/>
    <w:multiLevelType w:val="hybridMultilevel"/>
    <w:tmpl w:val="1DF4914C"/>
    <w:lvl w:ilvl="0" w:tplc="724C4184">
      <w:start w:val="1"/>
      <w:numFmt w:val="bullet"/>
      <w:lvlText w:val=""/>
      <w:lvlJc w:val="left"/>
      <w:pPr>
        <w:tabs>
          <w:tab w:val="num" w:pos="720"/>
        </w:tabs>
        <w:ind w:left="720" w:hanging="360"/>
      </w:pPr>
      <w:rPr>
        <w:rFonts w:ascii="Symbol" w:hAnsi="Symbol" w:hint="default"/>
        <w:sz w:val="20"/>
      </w:rPr>
    </w:lvl>
    <w:lvl w:ilvl="1" w:tplc="C2EA16D0" w:tentative="1">
      <w:start w:val="1"/>
      <w:numFmt w:val="bullet"/>
      <w:lvlText w:val="o"/>
      <w:lvlJc w:val="left"/>
      <w:pPr>
        <w:tabs>
          <w:tab w:val="num" w:pos="1440"/>
        </w:tabs>
        <w:ind w:left="1440" w:hanging="360"/>
      </w:pPr>
      <w:rPr>
        <w:rFonts w:ascii="Courier New" w:hAnsi="Courier New" w:hint="default"/>
        <w:sz w:val="20"/>
      </w:rPr>
    </w:lvl>
    <w:lvl w:ilvl="2" w:tplc="AED0F0EE" w:tentative="1">
      <w:start w:val="1"/>
      <w:numFmt w:val="bullet"/>
      <w:lvlText w:val=""/>
      <w:lvlJc w:val="left"/>
      <w:pPr>
        <w:tabs>
          <w:tab w:val="num" w:pos="2160"/>
        </w:tabs>
        <w:ind w:left="2160" w:hanging="360"/>
      </w:pPr>
      <w:rPr>
        <w:rFonts w:ascii="Wingdings" w:hAnsi="Wingdings" w:hint="default"/>
        <w:sz w:val="20"/>
      </w:rPr>
    </w:lvl>
    <w:lvl w:ilvl="3" w:tplc="90C41F54" w:tentative="1">
      <w:start w:val="1"/>
      <w:numFmt w:val="bullet"/>
      <w:lvlText w:val=""/>
      <w:lvlJc w:val="left"/>
      <w:pPr>
        <w:tabs>
          <w:tab w:val="num" w:pos="2880"/>
        </w:tabs>
        <w:ind w:left="2880" w:hanging="360"/>
      </w:pPr>
      <w:rPr>
        <w:rFonts w:ascii="Wingdings" w:hAnsi="Wingdings" w:hint="default"/>
        <w:sz w:val="20"/>
      </w:rPr>
    </w:lvl>
    <w:lvl w:ilvl="4" w:tplc="3D9AA1EE" w:tentative="1">
      <w:start w:val="1"/>
      <w:numFmt w:val="bullet"/>
      <w:lvlText w:val=""/>
      <w:lvlJc w:val="left"/>
      <w:pPr>
        <w:tabs>
          <w:tab w:val="num" w:pos="3600"/>
        </w:tabs>
        <w:ind w:left="3600" w:hanging="360"/>
      </w:pPr>
      <w:rPr>
        <w:rFonts w:ascii="Wingdings" w:hAnsi="Wingdings" w:hint="default"/>
        <w:sz w:val="20"/>
      </w:rPr>
    </w:lvl>
    <w:lvl w:ilvl="5" w:tplc="A8566CBE" w:tentative="1">
      <w:start w:val="1"/>
      <w:numFmt w:val="bullet"/>
      <w:lvlText w:val=""/>
      <w:lvlJc w:val="left"/>
      <w:pPr>
        <w:tabs>
          <w:tab w:val="num" w:pos="4320"/>
        </w:tabs>
        <w:ind w:left="4320" w:hanging="360"/>
      </w:pPr>
      <w:rPr>
        <w:rFonts w:ascii="Wingdings" w:hAnsi="Wingdings" w:hint="default"/>
        <w:sz w:val="20"/>
      </w:rPr>
    </w:lvl>
    <w:lvl w:ilvl="6" w:tplc="27C619E6" w:tentative="1">
      <w:start w:val="1"/>
      <w:numFmt w:val="bullet"/>
      <w:lvlText w:val=""/>
      <w:lvlJc w:val="left"/>
      <w:pPr>
        <w:tabs>
          <w:tab w:val="num" w:pos="5040"/>
        </w:tabs>
        <w:ind w:left="5040" w:hanging="360"/>
      </w:pPr>
      <w:rPr>
        <w:rFonts w:ascii="Wingdings" w:hAnsi="Wingdings" w:hint="default"/>
        <w:sz w:val="20"/>
      </w:rPr>
    </w:lvl>
    <w:lvl w:ilvl="7" w:tplc="EC9815C6" w:tentative="1">
      <w:start w:val="1"/>
      <w:numFmt w:val="bullet"/>
      <w:lvlText w:val=""/>
      <w:lvlJc w:val="left"/>
      <w:pPr>
        <w:tabs>
          <w:tab w:val="num" w:pos="5760"/>
        </w:tabs>
        <w:ind w:left="5760" w:hanging="360"/>
      </w:pPr>
      <w:rPr>
        <w:rFonts w:ascii="Wingdings" w:hAnsi="Wingdings" w:hint="default"/>
        <w:sz w:val="20"/>
      </w:rPr>
    </w:lvl>
    <w:lvl w:ilvl="8" w:tplc="9760ABBC" w:tentative="1">
      <w:start w:val="1"/>
      <w:numFmt w:val="bullet"/>
      <w:lvlText w:val=""/>
      <w:lvlJc w:val="left"/>
      <w:pPr>
        <w:tabs>
          <w:tab w:val="num" w:pos="6480"/>
        </w:tabs>
        <w:ind w:left="6480" w:hanging="360"/>
      </w:pPr>
      <w:rPr>
        <w:rFonts w:ascii="Wingdings" w:hAnsi="Wingdings" w:hint="default"/>
        <w:sz w:val="20"/>
      </w:rPr>
    </w:lvl>
  </w:abstractNum>
  <w:abstractNum w:abstractNumId="2">
    <w:nsid w:val="193D600B"/>
    <w:multiLevelType w:val="hybridMultilevel"/>
    <w:tmpl w:val="68C6FA56"/>
    <w:lvl w:ilvl="0" w:tplc="32927384">
      <w:start w:val="1"/>
      <w:numFmt w:val="bullet"/>
      <w:lvlText w:val=""/>
      <w:lvlJc w:val="left"/>
      <w:pPr>
        <w:tabs>
          <w:tab w:val="num" w:pos="432"/>
        </w:tabs>
        <w:ind w:left="28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E501FB"/>
    <w:multiLevelType w:val="hybridMultilevel"/>
    <w:tmpl w:val="50CC00DC"/>
    <w:lvl w:ilvl="0" w:tplc="6E7E52D4">
      <w:start w:val="1"/>
      <w:numFmt w:val="bullet"/>
      <w:lvlText w:val=""/>
      <w:lvlJc w:val="left"/>
      <w:pPr>
        <w:tabs>
          <w:tab w:val="num" w:pos="720"/>
        </w:tabs>
        <w:ind w:left="720" w:hanging="360"/>
      </w:pPr>
      <w:rPr>
        <w:rFonts w:ascii="Symbol" w:hAnsi="Symbol" w:hint="default"/>
        <w:sz w:val="20"/>
      </w:rPr>
    </w:lvl>
    <w:lvl w:ilvl="1" w:tplc="E3ACD074" w:tentative="1">
      <w:start w:val="1"/>
      <w:numFmt w:val="bullet"/>
      <w:lvlText w:val="o"/>
      <w:lvlJc w:val="left"/>
      <w:pPr>
        <w:tabs>
          <w:tab w:val="num" w:pos="1440"/>
        </w:tabs>
        <w:ind w:left="1440" w:hanging="360"/>
      </w:pPr>
      <w:rPr>
        <w:rFonts w:ascii="Courier New" w:hAnsi="Courier New" w:hint="default"/>
        <w:sz w:val="20"/>
      </w:rPr>
    </w:lvl>
    <w:lvl w:ilvl="2" w:tplc="77569B7E" w:tentative="1">
      <w:start w:val="1"/>
      <w:numFmt w:val="bullet"/>
      <w:lvlText w:val=""/>
      <w:lvlJc w:val="left"/>
      <w:pPr>
        <w:tabs>
          <w:tab w:val="num" w:pos="2160"/>
        </w:tabs>
        <w:ind w:left="2160" w:hanging="360"/>
      </w:pPr>
      <w:rPr>
        <w:rFonts w:ascii="Wingdings" w:hAnsi="Wingdings" w:hint="default"/>
        <w:sz w:val="20"/>
      </w:rPr>
    </w:lvl>
    <w:lvl w:ilvl="3" w:tplc="DCAEA46C" w:tentative="1">
      <w:start w:val="1"/>
      <w:numFmt w:val="bullet"/>
      <w:lvlText w:val=""/>
      <w:lvlJc w:val="left"/>
      <w:pPr>
        <w:tabs>
          <w:tab w:val="num" w:pos="2880"/>
        </w:tabs>
        <w:ind w:left="2880" w:hanging="360"/>
      </w:pPr>
      <w:rPr>
        <w:rFonts w:ascii="Wingdings" w:hAnsi="Wingdings" w:hint="default"/>
        <w:sz w:val="20"/>
      </w:rPr>
    </w:lvl>
    <w:lvl w:ilvl="4" w:tplc="4C302B54" w:tentative="1">
      <w:start w:val="1"/>
      <w:numFmt w:val="bullet"/>
      <w:lvlText w:val=""/>
      <w:lvlJc w:val="left"/>
      <w:pPr>
        <w:tabs>
          <w:tab w:val="num" w:pos="3600"/>
        </w:tabs>
        <w:ind w:left="3600" w:hanging="360"/>
      </w:pPr>
      <w:rPr>
        <w:rFonts w:ascii="Wingdings" w:hAnsi="Wingdings" w:hint="default"/>
        <w:sz w:val="20"/>
      </w:rPr>
    </w:lvl>
    <w:lvl w:ilvl="5" w:tplc="94D89730" w:tentative="1">
      <w:start w:val="1"/>
      <w:numFmt w:val="bullet"/>
      <w:lvlText w:val=""/>
      <w:lvlJc w:val="left"/>
      <w:pPr>
        <w:tabs>
          <w:tab w:val="num" w:pos="4320"/>
        </w:tabs>
        <w:ind w:left="4320" w:hanging="360"/>
      </w:pPr>
      <w:rPr>
        <w:rFonts w:ascii="Wingdings" w:hAnsi="Wingdings" w:hint="default"/>
        <w:sz w:val="20"/>
      </w:rPr>
    </w:lvl>
    <w:lvl w:ilvl="6" w:tplc="85D0E260" w:tentative="1">
      <w:start w:val="1"/>
      <w:numFmt w:val="bullet"/>
      <w:lvlText w:val=""/>
      <w:lvlJc w:val="left"/>
      <w:pPr>
        <w:tabs>
          <w:tab w:val="num" w:pos="5040"/>
        </w:tabs>
        <w:ind w:left="5040" w:hanging="360"/>
      </w:pPr>
      <w:rPr>
        <w:rFonts w:ascii="Wingdings" w:hAnsi="Wingdings" w:hint="default"/>
        <w:sz w:val="20"/>
      </w:rPr>
    </w:lvl>
    <w:lvl w:ilvl="7" w:tplc="2594FBB6" w:tentative="1">
      <w:start w:val="1"/>
      <w:numFmt w:val="bullet"/>
      <w:lvlText w:val=""/>
      <w:lvlJc w:val="left"/>
      <w:pPr>
        <w:tabs>
          <w:tab w:val="num" w:pos="5760"/>
        </w:tabs>
        <w:ind w:left="5760" w:hanging="360"/>
      </w:pPr>
      <w:rPr>
        <w:rFonts w:ascii="Wingdings" w:hAnsi="Wingdings" w:hint="default"/>
        <w:sz w:val="20"/>
      </w:rPr>
    </w:lvl>
    <w:lvl w:ilvl="8" w:tplc="13DC30A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30E30"/>
    <w:multiLevelType w:val="hybridMultilevel"/>
    <w:tmpl w:val="68C6FA56"/>
    <w:lvl w:ilvl="0" w:tplc="440A857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0B4C0F"/>
    <w:multiLevelType w:val="hybridMultilevel"/>
    <w:tmpl w:val="489053A8"/>
    <w:lvl w:ilvl="0" w:tplc="EACE6B48">
      <w:start w:val="1"/>
      <w:numFmt w:val="bullet"/>
      <w:lvlText w:val=""/>
      <w:lvlJc w:val="left"/>
      <w:pPr>
        <w:tabs>
          <w:tab w:val="num" w:pos="720"/>
        </w:tabs>
        <w:ind w:left="720" w:hanging="360"/>
      </w:pPr>
      <w:rPr>
        <w:rFonts w:ascii="Symbol" w:hAnsi="Symbol" w:hint="default"/>
        <w:sz w:val="20"/>
      </w:rPr>
    </w:lvl>
    <w:lvl w:ilvl="1" w:tplc="05922404" w:tentative="1">
      <w:start w:val="1"/>
      <w:numFmt w:val="bullet"/>
      <w:lvlText w:val="o"/>
      <w:lvlJc w:val="left"/>
      <w:pPr>
        <w:tabs>
          <w:tab w:val="num" w:pos="1440"/>
        </w:tabs>
        <w:ind w:left="1440" w:hanging="360"/>
      </w:pPr>
      <w:rPr>
        <w:rFonts w:ascii="Courier New" w:hAnsi="Courier New" w:hint="default"/>
        <w:sz w:val="20"/>
      </w:rPr>
    </w:lvl>
    <w:lvl w:ilvl="2" w:tplc="2F1CA266" w:tentative="1">
      <w:start w:val="1"/>
      <w:numFmt w:val="bullet"/>
      <w:lvlText w:val=""/>
      <w:lvlJc w:val="left"/>
      <w:pPr>
        <w:tabs>
          <w:tab w:val="num" w:pos="2160"/>
        </w:tabs>
        <w:ind w:left="2160" w:hanging="360"/>
      </w:pPr>
      <w:rPr>
        <w:rFonts w:ascii="Wingdings" w:hAnsi="Wingdings" w:hint="default"/>
        <w:sz w:val="20"/>
      </w:rPr>
    </w:lvl>
    <w:lvl w:ilvl="3" w:tplc="CA1060C0" w:tentative="1">
      <w:start w:val="1"/>
      <w:numFmt w:val="bullet"/>
      <w:lvlText w:val=""/>
      <w:lvlJc w:val="left"/>
      <w:pPr>
        <w:tabs>
          <w:tab w:val="num" w:pos="2880"/>
        </w:tabs>
        <w:ind w:left="2880" w:hanging="360"/>
      </w:pPr>
      <w:rPr>
        <w:rFonts w:ascii="Wingdings" w:hAnsi="Wingdings" w:hint="default"/>
        <w:sz w:val="20"/>
      </w:rPr>
    </w:lvl>
    <w:lvl w:ilvl="4" w:tplc="2336135C" w:tentative="1">
      <w:start w:val="1"/>
      <w:numFmt w:val="bullet"/>
      <w:lvlText w:val=""/>
      <w:lvlJc w:val="left"/>
      <w:pPr>
        <w:tabs>
          <w:tab w:val="num" w:pos="3600"/>
        </w:tabs>
        <w:ind w:left="3600" w:hanging="360"/>
      </w:pPr>
      <w:rPr>
        <w:rFonts w:ascii="Wingdings" w:hAnsi="Wingdings" w:hint="default"/>
        <w:sz w:val="20"/>
      </w:rPr>
    </w:lvl>
    <w:lvl w:ilvl="5" w:tplc="068808D4" w:tentative="1">
      <w:start w:val="1"/>
      <w:numFmt w:val="bullet"/>
      <w:lvlText w:val=""/>
      <w:lvlJc w:val="left"/>
      <w:pPr>
        <w:tabs>
          <w:tab w:val="num" w:pos="4320"/>
        </w:tabs>
        <w:ind w:left="4320" w:hanging="360"/>
      </w:pPr>
      <w:rPr>
        <w:rFonts w:ascii="Wingdings" w:hAnsi="Wingdings" w:hint="default"/>
        <w:sz w:val="20"/>
      </w:rPr>
    </w:lvl>
    <w:lvl w:ilvl="6" w:tplc="22126C74" w:tentative="1">
      <w:start w:val="1"/>
      <w:numFmt w:val="bullet"/>
      <w:lvlText w:val=""/>
      <w:lvlJc w:val="left"/>
      <w:pPr>
        <w:tabs>
          <w:tab w:val="num" w:pos="5040"/>
        </w:tabs>
        <w:ind w:left="5040" w:hanging="360"/>
      </w:pPr>
      <w:rPr>
        <w:rFonts w:ascii="Wingdings" w:hAnsi="Wingdings" w:hint="default"/>
        <w:sz w:val="20"/>
      </w:rPr>
    </w:lvl>
    <w:lvl w:ilvl="7" w:tplc="FFB8D54E" w:tentative="1">
      <w:start w:val="1"/>
      <w:numFmt w:val="bullet"/>
      <w:lvlText w:val=""/>
      <w:lvlJc w:val="left"/>
      <w:pPr>
        <w:tabs>
          <w:tab w:val="num" w:pos="5760"/>
        </w:tabs>
        <w:ind w:left="5760" w:hanging="360"/>
      </w:pPr>
      <w:rPr>
        <w:rFonts w:ascii="Wingdings" w:hAnsi="Wingdings" w:hint="default"/>
        <w:sz w:val="20"/>
      </w:rPr>
    </w:lvl>
    <w:lvl w:ilvl="8" w:tplc="CEECB03E" w:tentative="1">
      <w:start w:val="1"/>
      <w:numFmt w:val="bullet"/>
      <w:lvlText w:val=""/>
      <w:lvlJc w:val="left"/>
      <w:pPr>
        <w:tabs>
          <w:tab w:val="num" w:pos="6480"/>
        </w:tabs>
        <w:ind w:left="6480" w:hanging="360"/>
      </w:pPr>
      <w:rPr>
        <w:rFonts w:ascii="Wingdings" w:hAnsi="Wingdings" w:hint="default"/>
        <w:sz w:val="20"/>
      </w:rPr>
    </w:lvl>
  </w:abstractNum>
  <w:abstractNum w:abstractNumId="6">
    <w:nsid w:val="32151BC3"/>
    <w:multiLevelType w:val="hybridMultilevel"/>
    <w:tmpl w:val="5C48C0AE"/>
    <w:lvl w:ilvl="0" w:tplc="5D7CB9A8">
      <w:start w:val="1"/>
      <w:numFmt w:val="bullet"/>
      <w:lvlText w:val=""/>
      <w:lvlJc w:val="left"/>
      <w:pPr>
        <w:tabs>
          <w:tab w:val="num" w:pos="720"/>
        </w:tabs>
        <w:ind w:left="720" w:hanging="360"/>
      </w:pPr>
      <w:rPr>
        <w:rFonts w:ascii="Symbol" w:hAnsi="Symbol" w:hint="default"/>
        <w:sz w:val="20"/>
      </w:rPr>
    </w:lvl>
    <w:lvl w:ilvl="1" w:tplc="DCD44254" w:tentative="1">
      <w:start w:val="1"/>
      <w:numFmt w:val="bullet"/>
      <w:lvlText w:val="o"/>
      <w:lvlJc w:val="left"/>
      <w:pPr>
        <w:tabs>
          <w:tab w:val="num" w:pos="1440"/>
        </w:tabs>
        <w:ind w:left="1440" w:hanging="360"/>
      </w:pPr>
      <w:rPr>
        <w:rFonts w:ascii="Courier New" w:hAnsi="Courier New" w:hint="default"/>
        <w:sz w:val="20"/>
      </w:rPr>
    </w:lvl>
    <w:lvl w:ilvl="2" w:tplc="F74266B4" w:tentative="1">
      <w:start w:val="1"/>
      <w:numFmt w:val="bullet"/>
      <w:lvlText w:val=""/>
      <w:lvlJc w:val="left"/>
      <w:pPr>
        <w:tabs>
          <w:tab w:val="num" w:pos="2160"/>
        </w:tabs>
        <w:ind w:left="2160" w:hanging="360"/>
      </w:pPr>
      <w:rPr>
        <w:rFonts w:ascii="Wingdings" w:hAnsi="Wingdings" w:hint="default"/>
        <w:sz w:val="20"/>
      </w:rPr>
    </w:lvl>
    <w:lvl w:ilvl="3" w:tplc="7A1AACA0" w:tentative="1">
      <w:start w:val="1"/>
      <w:numFmt w:val="bullet"/>
      <w:lvlText w:val=""/>
      <w:lvlJc w:val="left"/>
      <w:pPr>
        <w:tabs>
          <w:tab w:val="num" w:pos="2880"/>
        </w:tabs>
        <w:ind w:left="2880" w:hanging="360"/>
      </w:pPr>
      <w:rPr>
        <w:rFonts w:ascii="Wingdings" w:hAnsi="Wingdings" w:hint="default"/>
        <w:sz w:val="20"/>
      </w:rPr>
    </w:lvl>
    <w:lvl w:ilvl="4" w:tplc="F2F893DC" w:tentative="1">
      <w:start w:val="1"/>
      <w:numFmt w:val="bullet"/>
      <w:lvlText w:val=""/>
      <w:lvlJc w:val="left"/>
      <w:pPr>
        <w:tabs>
          <w:tab w:val="num" w:pos="3600"/>
        </w:tabs>
        <w:ind w:left="3600" w:hanging="360"/>
      </w:pPr>
      <w:rPr>
        <w:rFonts w:ascii="Wingdings" w:hAnsi="Wingdings" w:hint="default"/>
        <w:sz w:val="20"/>
      </w:rPr>
    </w:lvl>
    <w:lvl w:ilvl="5" w:tplc="D3C82F38" w:tentative="1">
      <w:start w:val="1"/>
      <w:numFmt w:val="bullet"/>
      <w:lvlText w:val=""/>
      <w:lvlJc w:val="left"/>
      <w:pPr>
        <w:tabs>
          <w:tab w:val="num" w:pos="4320"/>
        </w:tabs>
        <w:ind w:left="4320" w:hanging="360"/>
      </w:pPr>
      <w:rPr>
        <w:rFonts w:ascii="Wingdings" w:hAnsi="Wingdings" w:hint="default"/>
        <w:sz w:val="20"/>
      </w:rPr>
    </w:lvl>
    <w:lvl w:ilvl="6" w:tplc="07F80472" w:tentative="1">
      <w:start w:val="1"/>
      <w:numFmt w:val="bullet"/>
      <w:lvlText w:val=""/>
      <w:lvlJc w:val="left"/>
      <w:pPr>
        <w:tabs>
          <w:tab w:val="num" w:pos="5040"/>
        </w:tabs>
        <w:ind w:left="5040" w:hanging="360"/>
      </w:pPr>
      <w:rPr>
        <w:rFonts w:ascii="Wingdings" w:hAnsi="Wingdings" w:hint="default"/>
        <w:sz w:val="20"/>
      </w:rPr>
    </w:lvl>
    <w:lvl w:ilvl="7" w:tplc="CDDC2D24" w:tentative="1">
      <w:start w:val="1"/>
      <w:numFmt w:val="bullet"/>
      <w:lvlText w:val=""/>
      <w:lvlJc w:val="left"/>
      <w:pPr>
        <w:tabs>
          <w:tab w:val="num" w:pos="5760"/>
        </w:tabs>
        <w:ind w:left="5760" w:hanging="360"/>
      </w:pPr>
      <w:rPr>
        <w:rFonts w:ascii="Wingdings" w:hAnsi="Wingdings" w:hint="default"/>
        <w:sz w:val="20"/>
      </w:rPr>
    </w:lvl>
    <w:lvl w:ilvl="8" w:tplc="277410EE" w:tentative="1">
      <w:start w:val="1"/>
      <w:numFmt w:val="bullet"/>
      <w:lvlText w:val=""/>
      <w:lvlJc w:val="left"/>
      <w:pPr>
        <w:tabs>
          <w:tab w:val="num" w:pos="6480"/>
        </w:tabs>
        <w:ind w:left="6480" w:hanging="360"/>
      </w:pPr>
      <w:rPr>
        <w:rFonts w:ascii="Wingdings" w:hAnsi="Wingdings" w:hint="default"/>
        <w:sz w:val="20"/>
      </w:rPr>
    </w:lvl>
  </w:abstractNum>
  <w:abstractNum w:abstractNumId="7">
    <w:nsid w:val="39A54111"/>
    <w:multiLevelType w:val="hybridMultilevel"/>
    <w:tmpl w:val="68C6FA56"/>
    <w:lvl w:ilvl="0" w:tplc="A50EB118">
      <w:start w:val="1"/>
      <w:numFmt w:val="bullet"/>
      <w:lvlText w:val=""/>
      <w:lvlJc w:val="left"/>
      <w:pPr>
        <w:tabs>
          <w:tab w:val="num" w:pos="432"/>
        </w:tabs>
        <w:ind w:left="144"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F042BE2"/>
    <w:multiLevelType w:val="hybridMultilevel"/>
    <w:tmpl w:val="9348A050"/>
    <w:lvl w:ilvl="0" w:tplc="88745444">
      <w:start w:val="1"/>
      <w:numFmt w:val="bullet"/>
      <w:lvlText w:val=""/>
      <w:lvlJc w:val="left"/>
      <w:pPr>
        <w:tabs>
          <w:tab w:val="num" w:pos="720"/>
        </w:tabs>
        <w:ind w:left="720" w:hanging="360"/>
      </w:pPr>
      <w:rPr>
        <w:rFonts w:ascii="Symbol" w:hAnsi="Symbol" w:hint="default"/>
        <w:sz w:val="20"/>
      </w:rPr>
    </w:lvl>
    <w:lvl w:ilvl="1" w:tplc="0DFE0852">
      <w:start w:val="1"/>
      <w:numFmt w:val="bullet"/>
      <w:lvlText w:val="o"/>
      <w:lvlJc w:val="left"/>
      <w:pPr>
        <w:tabs>
          <w:tab w:val="num" w:pos="1440"/>
        </w:tabs>
        <w:ind w:left="1440" w:hanging="360"/>
      </w:pPr>
      <w:rPr>
        <w:rFonts w:ascii="Courier New" w:hAnsi="Courier New" w:hint="default"/>
        <w:sz w:val="20"/>
      </w:rPr>
    </w:lvl>
    <w:lvl w:ilvl="2" w:tplc="B6CC687A" w:tentative="1">
      <w:start w:val="1"/>
      <w:numFmt w:val="bullet"/>
      <w:lvlText w:val=""/>
      <w:lvlJc w:val="left"/>
      <w:pPr>
        <w:tabs>
          <w:tab w:val="num" w:pos="2160"/>
        </w:tabs>
        <w:ind w:left="2160" w:hanging="360"/>
      </w:pPr>
      <w:rPr>
        <w:rFonts w:ascii="Wingdings" w:hAnsi="Wingdings" w:hint="default"/>
        <w:sz w:val="20"/>
      </w:rPr>
    </w:lvl>
    <w:lvl w:ilvl="3" w:tplc="B04498D8" w:tentative="1">
      <w:start w:val="1"/>
      <w:numFmt w:val="bullet"/>
      <w:lvlText w:val=""/>
      <w:lvlJc w:val="left"/>
      <w:pPr>
        <w:tabs>
          <w:tab w:val="num" w:pos="2880"/>
        </w:tabs>
        <w:ind w:left="2880" w:hanging="360"/>
      </w:pPr>
      <w:rPr>
        <w:rFonts w:ascii="Wingdings" w:hAnsi="Wingdings" w:hint="default"/>
        <w:sz w:val="20"/>
      </w:rPr>
    </w:lvl>
    <w:lvl w:ilvl="4" w:tplc="3392F12C" w:tentative="1">
      <w:start w:val="1"/>
      <w:numFmt w:val="bullet"/>
      <w:lvlText w:val=""/>
      <w:lvlJc w:val="left"/>
      <w:pPr>
        <w:tabs>
          <w:tab w:val="num" w:pos="3600"/>
        </w:tabs>
        <w:ind w:left="3600" w:hanging="360"/>
      </w:pPr>
      <w:rPr>
        <w:rFonts w:ascii="Wingdings" w:hAnsi="Wingdings" w:hint="default"/>
        <w:sz w:val="20"/>
      </w:rPr>
    </w:lvl>
    <w:lvl w:ilvl="5" w:tplc="A5B48E46" w:tentative="1">
      <w:start w:val="1"/>
      <w:numFmt w:val="bullet"/>
      <w:lvlText w:val=""/>
      <w:lvlJc w:val="left"/>
      <w:pPr>
        <w:tabs>
          <w:tab w:val="num" w:pos="4320"/>
        </w:tabs>
        <w:ind w:left="4320" w:hanging="360"/>
      </w:pPr>
      <w:rPr>
        <w:rFonts w:ascii="Wingdings" w:hAnsi="Wingdings" w:hint="default"/>
        <w:sz w:val="20"/>
      </w:rPr>
    </w:lvl>
    <w:lvl w:ilvl="6" w:tplc="7C566178" w:tentative="1">
      <w:start w:val="1"/>
      <w:numFmt w:val="bullet"/>
      <w:lvlText w:val=""/>
      <w:lvlJc w:val="left"/>
      <w:pPr>
        <w:tabs>
          <w:tab w:val="num" w:pos="5040"/>
        </w:tabs>
        <w:ind w:left="5040" w:hanging="360"/>
      </w:pPr>
      <w:rPr>
        <w:rFonts w:ascii="Wingdings" w:hAnsi="Wingdings" w:hint="default"/>
        <w:sz w:val="20"/>
      </w:rPr>
    </w:lvl>
    <w:lvl w:ilvl="7" w:tplc="A74A37A4" w:tentative="1">
      <w:start w:val="1"/>
      <w:numFmt w:val="bullet"/>
      <w:lvlText w:val=""/>
      <w:lvlJc w:val="left"/>
      <w:pPr>
        <w:tabs>
          <w:tab w:val="num" w:pos="5760"/>
        </w:tabs>
        <w:ind w:left="5760" w:hanging="360"/>
      </w:pPr>
      <w:rPr>
        <w:rFonts w:ascii="Wingdings" w:hAnsi="Wingdings" w:hint="default"/>
        <w:sz w:val="20"/>
      </w:rPr>
    </w:lvl>
    <w:lvl w:ilvl="8" w:tplc="E6E09D1A" w:tentative="1">
      <w:start w:val="1"/>
      <w:numFmt w:val="bullet"/>
      <w:lvlText w:val=""/>
      <w:lvlJc w:val="left"/>
      <w:pPr>
        <w:tabs>
          <w:tab w:val="num" w:pos="6480"/>
        </w:tabs>
        <w:ind w:left="6480" w:hanging="360"/>
      </w:pPr>
      <w:rPr>
        <w:rFonts w:ascii="Wingdings" w:hAnsi="Wingdings" w:hint="default"/>
        <w:sz w:val="20"/>
      </w:rPr>
    </w:lvl>
  </w:abstractNum>
  <w:abstractNum w:abstractNumId="9">
    <w:nsid w:val="41E64998"/>
    <w:multiLevelType w:val="hybridMultilevel"/>
    <w:tmpl w:val="2B0CD040"/>
    <w:lvl w:ilvl="0" w:tplc="9F32BB2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430B3D2B"/>
    <w:multiLevelType w:val="hybridMultilevel"/>
    <w:tmpl w:val="A09E48FE"/>
    <w:lvl w:ilvl="0" w:tplc="382E85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49B32A7B"/>
    <w:multiLevelType w:val="hybridMultilevel"/>
    <w:tmpl w:val="CEE81932"/>
    <w:lvl w:ilvl="0" w:tplc="0792A6BC">
      <w:start w:val="1"/>
      <w:numFmt w:val="bullet"/>
      <w:lvlText w:val=""/>
      <w:lvlJc w:val="left"/>
      <w:pPr>
        <w:tabs>
          <w:tab w:val="num" w:pos="720"/>
        </w:tabs>
        <w:ind w:left="720" w:hanging="360"/>
      </w:pPr>
      <w:rPr>
        <w:rFonts w:ascii="Symbol" w:hAnsi="Symbol" w:hint="default"/>
        <w:sz w:val="20"/>
      </w:rPr>
    </w:lvl>
    <w:lvl w:ilvl="1" w:tplc="F9062852" w:tentative="1">
      <w:start w:val="1"/>
      <w:numFmt w:val="bullet"/>
      <w:lvlText w:val="o"/>
      <w:lvlJc w:val="left"/>
      <w:pPr>
        <w:tabs>
          <w:tab w:val="num" w:pos="1440"/>
        </w:tabs>
        <w:ind w:left="1440" w:hanging="360"/>
      </w:pPr>
      <w:rPr>
        <w:rFonts w:ascii="Courier New" w:hAnsi="Courier New" w:hint="default"/>
        <w:sz w:val="20"/>
      </w:rPr>
    </w:lvl>
    <w:lvl w:ilvl="2" w:tplc="23B67BB8" w:tentative="1">
      <w:start w:val="1"/>
      <w:numFmt w:val="bullet"/>
      <w:lvlText w:val=""/>
      <w:lvlJc w:val="left"/>
      <w:pPr>
        <w:tabs>
          <w:tab w:val="num" w:pos="2160"/>
        </w:tabs>
        <w:ind w:left="2160" w:hanging="360"/>
      </w:pPr>
      <w:rPr>
        <w:rFonts w:ascii="Wingdings" w:hAnsi="Wingdings" w:hint="default"/>
        <w:sz w:val="20"/>
      </w:rPr>
    </w:lvl>
    <w:lvl w:ilvl="3" w:tplc="D4F6838C" w:tentative="1">
      <w:start w:val="1"/>
      <w:numFmt w:val="bullet"/>
      <w:lvlText w:val=""/>
      <w:lvlJc w:val="left"/>
      <w:pPr>
        <w:tabs>
          <w:tab w:val="num" w:pos="2880"/>
        </w:tabs>
        <w:ind w:left="2880" w:hanging="360"/>
      </w:pPr>
      <w:rPr>
        <w:rFonts w:ascii="Wingdings" w:hAnsi="Wingdings" w:hint="default"/>
        <w:sz w:val="20"/>
      </w:rPr>
    </w:lvl>
    <w:lvl w:ilvl="4" w:tplc="0010D9C8" w:tentative="1">
      <w:start w:val="1"/>
      <w:numFmt w:val="bullet"/>
      <w:lvlText w:val=""/>
      <w:lvlJc w:val="left"/>
      <w:pPr>
        <w:tabs>
          <w:tab w:val="num" w:pos="3600"/>
        </w:tabs>
        <w:ind w:left="3600" w:hanging="360"/>
      </w:pPr>
      <w:rPr>
        <w:rFonts w:ascii="Wingdings" w:hAnsi="Wingdings" w:hint="default"/>
        <w:sz w:val="20"/>
      </w:rPr>
    </w:lvl>
    <w:lvl w:ilvl="5" w:tplc="91945530" w:tentative="1">
      <w:start w:val="1"/>
      <w:numFmt w:val="bullet"/>
      <w:lvlText w:val=""/>
      <w:lvlJc w:val="left"/>
      <w:pPr>
        <w:tabs>
          <w:tab w:val="num" w:pos="4320"/>
        </w:tabs>
        <w:ind w:left="4320" w:hanging="360"/>
      </w:pPr>
      <w:rPr>
        <w:rFonts w:ascii="Wingdings" w:hAnsi="Wingdings" w:hint="default"/>
        <w:sz w:val="20"/>
      </w:rPr>
    </w:lvl>
    <w:lvl w:ilvl="6" w:tplc="8C8C46CC" w:tentative="1">
      <w:start w:val="1"/>
      <w:numFmt w:val="bullet"/>
      <w:lvlText w:val=""/>
      <w:lvlJc w:val="left"/>
      <w:pPr>
        <w:tabs>
          <w:tab w:val="num" w:pos="5040"/>
        </w:tabs>
        <w:ind w:left="5040" w:hanging="360"/>
      </w:pPr>
      <w:rPr>
        <w:rFonts w:ascii="Wingdings" w:hAnsi="Wingdings" w:hint="default"/>
        <w:sz w:val="20"/>
      </w:rPr>
    </w:lvl>
    <w:lvl w:ilvl="7" w:tplc="67E2DB6A" w:tentative="1">
      <w:start w:val="1"/>
      <w:numFmt w:val="bullet"/>
      <w:lvlText w:val=""/>
      <w:lvlJc w:val="left"/>
      <w:pPr>
        <w:tabs>
          <w:tab w:val="num" w:pos="5760"/>
        </w:tabs>
        <w:ind w:left="5760" w:hanging="360"/>
      </w:pPr>
      <w:rPr>
        <w:rFonts w:ascii="Wingdings" w:hAnsi="Wingdings" w:hint="default"/>
        <w:sz w:val="20"/>
      </w:rPr>
    </w:lvl>
    <w:lvl w:ilvl="8" w:tplc="1D62BE8A"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33428F"/>
    <w:multiLevelType w:val="hybridMultilevel"/>
    <w:tmpl w:val="68C6FA56"/>
    <w:lvl w:ilvl="0" w:tplc="E810476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B35637"/>
    <w:multiLevelType w:val="hybridMultilevel"/>
    <w:tmpl w:val="A134B300"/>
    <w:lvl w:ilvl="0" w:tplc="382E85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51B67DD1"/>
    <w:multiLevelType w:val="hybridMultilevel"/>
    <w:tmpl w:val="24BCB610"/>
    <w:lvl w:ilvl="0" w:tplc="09F452D0">
      <w:start w:val="1"/>
      <w:numFmt w:val="bullet"/>
      <w:lvlText w:val=""/>
      <w:lvlJc w:val="left"/>
      <w:pPr>
        <w:tabs>
          <w:tab w:val="num" w:pos="720"/>
        </w:tabs>
        <w:ind w:left="720" w:hanging="360"/>
      </w:pPr>
      <w:rPr>
        <w:rFonts w:ascii="Symbol" w:hAnsi="Symbol" w:hint="default"/>
        <w:sz w:val="20"/>
      </w:rPr>
    </w:lvl>
    <w:lvl w:ilvl="1" w:tplc="7D84D1D8">
      <w:start w:val="1"/>
      <w:numFmt w:val="bullet"/>
      <w:lvlText w:val="o"/>
      <w:lvlJc w:val="left"/>
      <w:pPr>
        <w:tabs>
          <w:tab w:val="num" w:pos="1440"/>
        </w:tabs>
        <w:ind w:left="1440" w:hanging="360"/>
      </w:pPr>
      <w:rPr>
        <w:rFonts w:ascii="Courier New" w:hAnsi="Courier New" w:hint="default"/>
        <w:sz w:val="20"/>
      </w:rPr>
    </w:lvl>
    <w:lvl w:ilvl="2" w:tplc="FAFACBC4" w:tentative="1">
      <w:start w:val="1"/>
      <w:numFmt w:val="bullet"/>
      <w:lvlText w:val=""/>
      <w:lvlJc w:val="left"/>
      <w:pPr>
        <w:tabs>
          <w:tab w:val="num" w:pos="2160"/>
        </w:tabs>
        <w:ind w:left="2160" w:hanging="360"/>
      </w:pPr>
      <w:rPr>
        <w:rFonts w:ascii="Wingdings" w:hAnsi="Wingdings" w:hint="default"/>
        <w:sz w:val="20"/>
      </w:rPr>
    </w:lvl>
    <w:lvl w:ilvl="3" w:tplc="B76ADFD6" w:tentative="1">
      <w:start w:val="1"/>
      <w:numFmt w:val="bullet"/>
      <w:lvlText w:val=""/>
      <w:lvlJc w:val="left"/>
      <w:pPr>
        <w:tabs>
          <w:tab w:val="num" w:pos="2880"/>
        </w:tabs>
        <w:ind w:left="2880" w:hanging="360"/>
      </w:pPr>
      <w:rPr>
        <w:rFonts w:ascii="Wingdings" w:hAnsi="Wingdings" w:hint="default"/>
        <w:sz w:val="20"/>
      </w:rPr>
    </w:lvl>
    <w:lvl w:ilvl="4" w:tplc="918899C4" w:tentative="1">
      <w:start w:val="1"/>
      <w:numFmt w:val="bullet"/>
      <w:lvlText w:val=""/>
      <w:lvlJc w:val="left"/>
      <w:pPr>
        <w:tabs>
          <w:tab w:val="num" w:pos="3600"/>
        </w:tabs>
        <w:ind w:left="3600" w:hanging="360"/>
      </w:pPr>
      <w:rPr>
        <w:rFonts w:ascii="Wingdings" w:hAnsi="Wingdings" w:hint="default"/>
        <w:sz w:val="20"/>
      </w:rPr>
    </w:lvl>
    <w:lvl w:ilvl="5" w:tplc="5B5EA5D4" w:tentative="1">
      <w:start w:val="1"/>
      <w:numFmt w:val="bullet"/>
      <w:lvlText w:val=""/>
      <w:lvlJc w:val="left"/>
      <w:pPr>
        <w:tabs>
          <w:tab w:val="num" w:pos="4320"/>
        </w:tabs>
        <w:ind w:left="4320" w:hanging="360"/>
      </w:pPr>
      <w:rPr>
        <w:rFonts w:ascii="Wingdings" w:hAnsi="Wingdings" w:hint="default"/>
        <w:sz w:val="20"/>
      </w:rPr>
    </w:lvl>
    <w:lvl w:ilvl="6" w:tplc="63C26B50" w:tentative="1">
      <w:start w:val="1"/>
      <w:numFmt w:val="bullet"/>
      <w:lvlText w:val=""/>
      <w:lvlJc w:val="left"/>
      <w:pPr>
        <w:tabs>
          <w:tab w:val="num" w:pos="5040"/>
        </w:tabs>
        <w:ind w:left="5040" w:hanging="360"/>
      </w:pPr>
      <w:rPr>
        <w:rFonts w:ascii="Wingdings" w:hAnsi="Wingdings" w:hint="default"/>
        <w:sz w:val="20"/>
      </w:rPr>
    </w:lvl>
    <w:lvl w:ilvl="7" w:tplc="7AA0C696" w:tentative="1">
      <w:start w:val="1"/>
      <w:numFmt w:val="bullet"/>
      <w:lvlText w:val=""/>
      <w:lvlJc w:val="left"/>
      <w:pPr>
        <w:tabs>
          <w:tab w:val="num" w:pos="5760"/>
        </w:tabs>
        <w:ind w:left="5760" w:hanging="360"/>
      </w:pPr>
      <w:rPr>
        <w:rFonts w:ascii="Wingdings" w:hAnsi="Wingdings" w:hint="default"/>
        <w:sz w:val="20"/>
      </w:rPr>
    </w:lvl>
    <w:lvl w:ilvl="8" w:tplc="F81617F4"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FE54A8"/>
    <w:multiLevelType w:val="hybridMultilevel"/>
    <w:tmpl w:val="F5D46638"/>
    <w:lvl w:ilvl="0" w:tplc="09BCBEFC">
      <w:start w:val="1"/>
      <w:numFmt w:val="bullet"/>
      <w:lvlText w:val=""/>
      <w:lvlJc w:val="left"/>
      <w:pPr>
        <w:tabs>
          <w:tab w:val="num" w:pos="720"/>
        </w:tabs>
        <w:ind w:left="720" w:hanging="360"/>
      </w:pPr>
      <w:rPr>
        <w:rFonts w:ascii="Symbol" w:hAnsi="Symbol" w:hint="default"/>
        <w:sz w:val="20"/>
      </w:rPr>
    </w:lvl>
    <w:lvl w:ilvl="1" w:tplc="3A262B28" w:tentative="1">
      <w:start w:val="1"/>
      <w:numFmt w:val="bullet"/>
      <w:lvlText w:val="o"/>
      <w:lvlJc w:val="left"/>
      <w:pPr>
        <w:tabs>
          <w:tab w:val="num" w:pos="1440"/>
        </w:tabs>
        <w:ind w:left="1440" w:hanging="360"/>
      </w:pPr>
      <w:rPr>
        <w:rFonts w:ascii="Courier New" w:hAnsi="Courier New" w:hint="default"/>
        <w:sz w:val="20"/>
      </w:rPr>
    </w:lvl>
    <w:lvl w:ilvl="2" w:tplc="FA22B5D4" w:tentative="1">
      <w:start w:val="1"/>
      <w:numFmt w:val="bullet"/>
      <w:lvlText w:val=""/>
      <w:lvlJc w:val="left"/>
      <w:pPr>
        <w:tabs>
          <w:tab w:val="num" w:pos="2160"/>
        </w:tabs>
        <w:ind w:left="2160" w:hanging="360"/>
      </w:pPr>
      <w:rPr>
        <w:rFonts w:ascii="Wingdings" w:hAnsi="Wingdings" w:hint="default"/>
        <w:sz w:val="20"/>
      </w:rPr>
    </w:lvl>
    <w:lvl w:ilvl="3" w:tplc="32D8E7C6" w:tentative="1">
      <w:start w:val="1"/>
      <w:numFmt w:val="bullet"/>
      <w:lvlText w:val=""/>
      <w:lvlJc w:val="left"/>
      <w:pPr>
        <w:tabs>
          <w:tab w:val="num" w:pos="2880"/>
        </w:tabs>
        <w:ind w:left="2880" w:hanging="360"/>
      </w:pPr>
      <w:rPr>
        <w:rFonts w:ascii="Wingdings" w:hAnsi="Wingdings" w:hint="default"/>
        <w:sz w:val="20"/>
      </w:rPr>
    </w:lvl>
    <w:lvl w:ilvl="4" w:tplc="2BC80400" w:tentative="1">
      <w:start w:val="1"/>
      <w:numFmt w:val="bullet"/>
      <w:lvlText w:val=""/>
      <w:lvlJc w:val="left"/>
      <w:pPr>
        <w:tabs>
          <w:tab w:val="num" w:pos="3600"/>
        </w:tabs>
        <w:ind w:left="3600" w:hanging="360"/>
      </w:pPr>
      <w:rPr>
        <w:rFonts w:ascii="Wingdings" w:hAnsi="Wingdings" w:hint="default"/>
        <w:sz w:val="20"/>
      </w:rPr>
    </w:lvl>
    <w:lvl w:ilvl="5" w:tplc="E54C399E" w:tentative="1">
      <w:start w:val="1"/>
      <w:numFmt w:val="bullet"/>
      <w:lvlText w:val=""/>
      <w:lvlJc w:val="left"/>
      <w:pPr>
        <w:tabs>
          <w:tab w:val="num" w:pos="4320"/>
        </w:tabs>
        <w:ind w:left="4320" w:hanging="360"/>
      </w:pPr>
      <w:rPr>
        <w:rFonts w:ascii="Wingdings" w:hAnsi="Wingdings" w:hint="default"/>
        <w:sz w:val="20"/>
      </w:rPr>
    </w:lvl>
    <w:lvl w:ilvl="6" w:tplc="C88E6A20" w:tentative="1">
      <w:start w:val="1"/>
      <w:numFmt w:val="bullet"/>
      <w:lvlText w:val=""/>
      <w:lvlJc w:val="left"/>
      <w:pPr>
        <w:tabs>
          <w:tab w:val="num" w:pos="5040"/>
        </w:tabs>
        <w:ind w:left="5040" w:hanging="360"/>
      </w:pPr>
      <w:rPr>
        <w:rFonts w:ascii="Wingdings" w:hAnsi="Wingdings" w:hint="default"/>
        <w:sz w:val="20"/>
      </w:rPr>
    </w:lvl>
    <w:lvl w:ilvl="7" w:tplc="E1C84436" w:tentative="1">
      <w:start w:val="1"/>
      <w:numFmt w:val="bullet"/>
      <w:lvlText w:val=""/>
      <w:lvlJc w:val="left"/>
      <w:pPr>
        <w:tabs>
          <w:tab w:val="num" w:pos="5760"/>
        </w:tabs>
        <w:ind w:left="5760" w:hanging="360"/>
      </w:pPr>
      <w:rPr>
        <w:rFonts w:ascii="Wingdings" w:hAnsi="Wingdings" w:hint="default"/>
        <w:sz w:val="20"/>
      </w:rPr>
    </w:lvl>
    <w:lvl w:ilvl="8" w:tplc="441C449E"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E359E5"/>
    <w:multiLevelType w:val="hybridMultilevel"/>
    <w:tmpl w:val="F774E50C"/>
    <w:lvl w:ilvl="0" w:tplc="C1D6D0FC">
      <w:start w:val="1"/>
      <w:numFmt w:val="bullet"/>
      <w:lvlText w:val=""/>
      <w:lvlJc w:val="left"/>
      <w:pPr>
        <w:tabs>
          <w:tab w:val="num" w:pos="720"/>
        </w:tabs>
        <w:ind w:left="720" w:hanging="360"/>
      </w:pPr>
      <w:rPr>
        <w:rFonts w:ascii="Symbol" w:hAnsi="Symbol" w:hint="default"/>
        <w:sz w:val="20"/>
      </w:rPr>
    </w:lvl>
    <w:lvl w:ilvl="1" w:tplc="F46A1B44">
      <w:start w:val="1"/>
      <w:numFmt w:val="bullet"/>
      <w:lvlText w:val="o"/>
      <w:lvlJc w:val="left"/>
      <w:pPr>
        <w:tabs>
          <w:tab w:val="num" w:pos="1440"/>
        </w:tabs>
        <w:ind w:left="1440" w:hanging="360"/>
      </w:pPr>
      <w:rPr>
        <w:rFonts w:ascii="Courier New" w:hAnsi="Courier New" w:hint="default"/>
        <w:sz w:val="20"/>
      </w:rPr>
    </w:lvl>
    <w:lvl w:ilvl="2" w:tplc="7B585950" w:tentative="1">
      <w:start w:val="1"/>
      <w:numFmt w:val="bullet"/>
      <w:lvlText w:val=""/>
      <w:lvlJc w:val="left"/>
      <w:pPr>
        <w:tabs>
          <w:tab w:val="num" w:pos="2160"/>
        </w:tabs>
        <w:ind w:left="2160" w:hanging="360"/>
      </w:pPr>
      <w:rPr>
        <w:rFonts w:ascii="Wingdings" w:hAnsi="Wingdings" w:hint="default"/>
        <w:sz w:val="20"/>
      </w:rPr>
    </w:lvl>
    <w:lvl w:ilvl="3" w:tplc="AE021DE4" w:tentative="1">
      <w:start w:val="1"/>
      <w:numFmt w:val="bullet"/>
      <w:lvlText w:val=""/>
      <w:lvlJc w:val="left"/>
      <w:pPr>
        <w:tabs>
          <w:tab w:val="num" w:pos="2880"/>
        </w:tabs>
        <w:ind w:left="2880" w:hanging="360"/>
      </w:pPr>
      <w:rPr>
        <w:rFonts w:ascii="Wingdings" w:hAnsi="Wingdings" w:hint="default"/>
        <w:sz w:val="20"/>
      </w:rPr>
    </w:lvl>
    <w:lvl w:ilvl="4" w:tplc="2C866E3C" w:tentative="1">
      <w:start w:val="1"/>
      <w:numFmt w:val="bullet"/>
      <w:lvlText w:val=""/>
      <w:lvlJc w:val="left"/>
      <w:pPr>
        <w:tabs>
          <w:tab w:val="num" w:pos="3600"/>
        </w:tabs>
        <w:ind w:left="3600" w:hanging="360"/>
      </w:pPr>
      <w:rPr>
        <w:rFonts w:ascii="Wingdings" w:hAnsi="Wingdings" w:hint="default"/>
        <w:sz w:val="20"/>
      </w:rPr>
    </w:lvl>
    <w:lvl w:ilvl="5" w:tplc="90CAFD1A" w:tentative="1">
      <w:start w:val="1"/>
      <w:numFmt w:val="bullet"/>
      <w:lvlText w:val=""/>
      <w:lvlJc w:val="left"/>
      <w:pPr>
        <w:tabs>
          <w:tab w:val="num" w:pos="4320"/>
        </w:tabs>
        <w:ind w:left="4320" w:hanging="360"/>
      </w:pPr>
      <w:rPr>
        <w:rFonts w:ascii="Wingdings" w:hAnsi="Wingdings" w:hint="default"/>
        <w:sz w:val="20"/>
      </w:rPr>
    </w:lvl>
    <w:lvl w:ilvl="6" w:tplc="95683472" w:tentative="1">
      <w:start w:val="1"/>
      <w:numFmt w:val="bullet"/>
      <w:lvlText w:val=""/>
      <w:lvlJc w:val="left"/>
      <w:pPr>
        <w:tabs>
          <w:tab w:val="num" w:pos="5040"/>
        </w:tabs>
        <w:ind w:left="5040" w:hanging="360"/>
      </w:pPr>
      <w:rPr>
        <w:rFonts w:ascii="Wingdings" w:hAnsi="Wingdings" w:hint="default"/>
        <w:sz w:val="20"/>
      </w:rPr>
    </w:lvl>
    <w:lvl w:ilvl="7" w:tplc="83C20DA8" w:tentative="1">
      <w:start w:val="1"/>
      <w:numFmt w:val="bullet"/>
      <w:lvlText w:val=""/>
      <w:lvlJc w:val="left"/>
      <w:pPr>
        <w:tabs>
          <w:tab w:val="num" w:pos="5760"/>
        </w:tabs>
        <w:ind w:left="5760" w:hanging="360"/>
      </w:pPr>
      <w:rPr>
        <w:rFonts w:ascii="Wingdings" w:hAnsi="Wingdings" w:hint="default"/>
        <w:sz w:val="20"/>
      </w:rPr>
    </w:lvl>
    <w:lvl w:ilvl="8" w:tplc="5906C390"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CA6082"/>
    <w:multiLevelType w:val="hybridMultilevel"/>
    <w:tmpl w:val="3704F272"/>
    <w:lvl w:ilvl="0" w:tplc="95B84186">
      <w:start w:val="1"/>
      <w:numFmt w:val="bullet"/>
      <w:lvlText w:val=""/>
      <w:lvlJc w:val="left"/>
      <w:pPr>
        <w:tabs>
          <w:tab w:val="num" w:pos="720"/>
        </w:tabs>
        <w:ind w:left="720" w:hanging="360"/>
      </w:pPr>
      <w:rPr>
        <w:rFonts w:ascii="Symbol" w:hAnsi="Symbol" w:hint="default"/>
        <w:sz w:val="20"/>
      </w:rPr>
    </w:lvl>
    <w:lvl w:ilvl="1" w:tplc="0D1E9D36" w:tentative="1">
      <w:start w:val="1"/>
      <w:numFmt w:val="bullet"/>
      <w:lvlText w:val="o"/>
      <w:lvlJc w:val="left"/>
      <w:pPr>
        <w:tabs>
          <w:tab w:val="num" w:pos="1440"/>
        </w:tabs>
        <w:ind w:left="1440" w:hanging="360"/>
      </w:pPr>
      <w:rPr>
        <w:rFonts w:ascii="Courier New" w:hAnsi="Courier New" w:hint="default"/>
        <w:sz w:val="20"/>
      </w:rPr>
    </w:lvl>
    <w:lvl w:ilvl="2" w:tplc="9B50C5AC" w:tentative="1">
      <w:start w:val="1"/>
      <w:numFmt w:val="bullet"/>
      <w:lvlText w:val=""/>
      <w:lvlJc w:val="left"/>
      <w:pPr>
        <w:tabs>
          <w:tab w:val="num" w:pos="2160"/>
        </w:tabs>
        <w:ind w:left="2160" w:hanging="360"/>
      </w:pPr>
      <w:rPr>
        <w:rFonts w:ascii="Wingdings" w:hAnsi="Wingdings" w:hint="default"/>
        <w:sz w:val="20"/>
      </w:rPr>
    </w:lvl>
    <w:lvl w:ilvl="3" w:tplc="FF24AFEE" w:tentative="1">
      <w:start w:val="1"/>
      <w:numFmt w:val="bullet"/>
      <w:lvlText w:val=""/>
      <w:lvlJc w:val="left"/>
      <w:pPr>
        <w:tabs>
          <w:tab w:val="num" w:pos="2880"/>
        </w:tabs>
        <w:ind w:left="2880" w:hanging="360"/>
      </w:pPr>
      <w:rPr>
        <w:rFonts w:ascii="Wingdings" w:hAnsi="Wingdings" w:hint="default"/>
        <w:sz w:val="20"/>
      </w:rPr>
    </w:lvl>
    <w:lvl w:ilvl="4" w:tplc="C6F2EDEC" w:tentative="1">
      <w:start w:val="1"/>
      <w:numFmt w:val="bullet"/>
      <w:lvlText w:val=""/>
      <w:lvlJc w:val="left"/>
      <w:pPr>
        <w:tabs>
          <w:tab w:val="num" w:pos="3600"/>
        </w:tabs>
        <w:ind w:left="3600" w:hanging="360"/>
      </w:pPr>
      <w:rPr>
        <w:rFonts w:ascii="Wingdings" w:hAnsi="Wingdings" w:hint="default"/>
        <w:sz w:val="20"/>
      </w:rPr>
    </w:lvl>
    <w:lvl w:ilvl="5" w:tplc="FD928EFA" w:tentative="1">
      <w:start w:val="1"/>
      <w:numFmt w:val="bullet"/>
      <w:lvlText w:val=""/>
      <w:lvlJc w:val="left"/>
      <w:pPr>
        <w:tabs>
          <w:tab w:val="num" w:pos="4320"/>
        </w:tabs>
        <w:ind w:left="4320" w:hanging="360"/>
      </w:pPr>
      <w:rPr>
        <w:rFonts w:ascii="Wingdings" w:hAnsi="Wingdings" w:hint="default"/>
        <w:sz w:val="20"/>
      </w:rPr>
    </w:lvl>
    <w:lvl w:ilvl="6" w:tplc="79B81E74" w:tentative="1">
      <w:start w:val="1"/>
      <w:numFmt w:val="bullet"/>
      <w:lvlText w:val=""/>
      <w:lvlJc w:val="left"/>
      <w:pPr>
        <w:tabs>
          <w:tab w:val="num" w:pos="5040"/>
        </w:tabs>
        <w:ind w:left="5040" w:hanging="360"/>
      </w:pPr>
      <w:rPr>
        <w:rFonts w:ascii="Wingdings" w:hAnsi="Wingdings" w:hint="default"/>
        <w:sz w:val="20"/>
      </w:rPr>
    </w:lvl>
    <w:lvl w:ilvl="7" w:tplc="CF9C11AE" w:tentative="1">
      <w:start w:val="1"/>
      <w:numFmt w:val="bullet"/>
      <w:lvlText w:val=""/>
      <w:lvlJc w:val="left"/>
      <w:pPr>
        <w:tabs>
          <w:tab w:val="num" w:pos="5760"/>
        </w:tabs>
        <w:ind w:left="5760" w:hanging="360"/>
      </w:pPr>
      <w:rPr>
        <w:rFonts w:ascii="Wingdings" w:hAnsi="Wingdings" w:hint="default"/>
        <w:sz w:val="20"/>
      </w:rPr>
    </w:lvl>
    <w:lvl w:ilvl="8" w:tplc="89CCEC3A"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B20F0F"/>
    <w:multiLevelType w:val="hybridMultilevel"/>
    <w:tmpl w:val="D256C2C8"/>
    <w:lvl w:ilvl="0" w:tplc="2E5280A6">
      <w:start w:val="1"/>
      <w:numFmt w:val="bullet"/>
      <w:lvlText w:val=""/>
      <w:lvlJc w:val="left"/>
      <w:pPr>
        <w:tabs>
          <w:tab w:val="num" w:pos="720"/>
        </w:tabs>
        <w:ind w:left="720" w:hanging="360"/>
      </w:pPr>
      <w:rPr>
        <w:rFonts w:ascii="Symbol" w:hAnsi="Symbol" w:hint="default"/>
        <w:sz w:val="20"/>
      </w:rPr>
    </w:lvl>
    <w:lvl w:ilvl="1" w:tplc="C1C2D5D6">
      <w:start w:val="1"/>
      <w:numFmt w:val="bullet"/>
      <w:lvlText w:val="o"/>
      <w:lvlJc w:val="left"/>
      <w:pPr>
        <w:tabs>
          <w:tab w:val="num" w:pos="1440"/>
        </w:tabs>
        <w:ind w:left="1440" w:hanging="360"/>
      </w:pPr>
      <w:rPr>
        <w:rFonts w:ascii="Courier New" w:hAnsi="Courier New" w:hint="default"/>
        <w:sz w:val="20"/>
      </w:rPr>
    </w:lvl>
    <w:lvl w:ilvl="2" w:tplc="1EF299E2" w:tentative="1">
      <w:start w:val="1"/>
      <w:numFmt w:val="bullet"/>
      <w:lvlText w:val=""/>
      <w:lvlJc w:val="left"/>
      <w:pPr>
        <w:tabs>
          <w:tab w:val="num" w:pos="2160"/>
        </w:tabs>
        <w:ind w:left="2160" w:hanging="360"/>
      </w:pPr>
      <w:rPr>
        <w:rFonts w:ascii="Wingdings" w:hAnsi="Wingdings" w:hint="default"/>
        <w:sz w:val="20"/>
      </w:rPr>
    </w:lvl>
    <w:lvl w:ilvl="3" w:tplc="04824110" w:tentative="1">
      <w:start w:val="1"/>
      <w:numFmt w:val="bullet"/>
      <w:lvlText w:val=""/>
      <w:lvlJc w:val="left"/>
      <w:pPr>
        <w:tabs>
          <w:tab w:val="num" w:pos="2880"/>
        </w:tabs>
        <w:ind w:left="2880" w:hanging="360"/>
      </w:pPr>
      <w:rPr>
        <w:rFonts w:ascii="Wingdings" w:hAnsi="Wingdings" w:hint="default"/>
        <w:sz w:val="20"/>
      </w:rPr>
    </w:lvl>
    <w:lvl w:ilvl="4" w:tplc="91A4DCFA" w:tentative="1">
      <w:start w:val="1"/>
      <w:numFmt w:val="bullet"/>
      <w:lvlText w:val=""/>
      <w:lvlJc w:val="left"/>
      <w:pPr>
        <w:tabs>
          <w:tab w:val="num" w:pos="3600"/>
        </w:tabs>
        <w:ind w:left="3600" w:hanging="360"/>
      </w:pPr>
      <w:rPr>
        <w:rFonts w:ascii="Wingdings" w:hAnsi="Wingdings" w:hint="default"/>
        <w:sz w:val="20"/>
      </w:rPr>
    </w:lvl>
    <w:lvl w:ilvl="5" w:tplc="DDC8D81E" w:tentative="1">
      <w:start w:val="1"/>
      <w:numFmt w:val="bullet"/>
      <w:lvlText w:val=""/>
      <w:lvlJc w:val="left"/>
      <w:pPr>
        <w:tabs>
          <w:tab w:val="num" w:pos="4320"/>
        </w:tabs>
        <w:ind w:left="4320" w:hanging="360"/>
      </w:pPr>
      <w:rPr>
        <w:rFonts w:ascii="Wingdings" w:hAnsi="Wingdings" w:hint="default"/>
        <w:sz w:val="20"/>
      </w:rPr>
    </w:lvl>
    <w:lvl w:ilvl="6" w:tplc="7B74B454" w:tentative="1">
      <w:start w:val="1"/>
      <w:numFmt w:val="bullet"/>
      <w:lvlText w:val=""/>
      <w:lvlJc w:val="left"/>
      <w:pPr>
        <w:tabs>
          <w:tab w:val="num" w:pos="5040"/>
        </w:tabs>
        <w:ind w:left="5040" w:hanging="360"/>
      </w:pPr>
      <w:rPr>
        <w:rFonts w:ascii="Wingdings" w:hAnsi="Wingdings" w:hint="default"/>
        <w:sz w:val="20"/>
      </w:rPr>
    </w:lvl>
    <w:lvl w:ilvl="7" w:tplc="8DC2F06C" w:tentative="1">
      <w:start w:val="1"/>
      <w:numFmt w:val="bullet"/>
      <w:lvlText w:val=""/>
      <w:lvlJc w:val="left"/>
      <w:pPr>
        <w:tabs>
          <w:tab w:val="num" w:pos="5760"/>
        </w:tabs>
        <w:ind w:left="5760" w:hanging="360"/>
      </w:pPr>
      <w:rPr>
        <w:rFonts w:ascii="Wingdings" w:hAnsi="Wingdings" w:hint="default"/>
        <w:sz w:val="20"/>
      </w:rPr>
    </w:lvl>
    <w:lvl w:ilvl="8" w:tplc="02E68C3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2D3423"/>
    <w:multiLevelType w:val="hybridMultilevel"/>
    <w:tmpl w:val="D4BCCC1E"/>
    <w:lvl w:ilvl="0" w:tplc="29FE7A26">
      <w:start w:val="1"/>
      <w:numFmt w:val="bullet"/>
      <w:lvlText w:val=""/>
      <w:lvlJc w:val="left"/>
      <w:pPr>
        <w:tabs>
          <w:tab w:val="num" w:pos="720"/>
        </w:tabs>
        <w:ind w:left="720" w:hanging="360"/>
      </w:pPr>
      <w:rPr>
        <w:rFonts w:ascii="Symbol" w:hAnsi="Symbol" w:hint="default"/>
        <w:sz w:val="20"/>
      </w:rPr>
    </w:lvl>
    <w:lvl w:ilvl="1" w:tplc="88C6AA24">
      <w:start w:val="1"/>
      <w:numFmt w:val="bullet"/>
      <w:lvlText w:val="o"/>
      <w:lvlJc w:val="left"/>
      <w:pPr>
        <w:tabs>
          <w:tab w:val="num" w:pos="1440"/>
        </w:tabs>
        <w:ind w:left="1440" w:hanging="360"/>
      </w:pPr>
      <w:rPr>
        <w:rFonts w:ascii="Courier New" w:hAnsi="Courier New" w:hint="default"/>
        <w:sz w:val="20"/>
      </w:rPr>
    </w:lvl>
    <w:lvl w:ilvl="2" w:tplc="BF387744" w:tentative="1">
      <w:start w:val="1"/>
      <w:numFmt w:val="bullet"/>
      <w:lvlText w:val=""/>
      <w:lvlJc w:val="left"/>
      <w:pPr>
        <w:tabs>
          <w:tab w:val="num" w:pos="2160"/>
        </w:tabs>
        <w:ind w:left="2160" w:hanging="360"/>
      </w:pPr>
      <w:rPr>
        <w:rFonts w:ascii="Wingdings" w:hAnsi="Wingdings" w:hint="default"/>
        <w:sz w:val="20"/>
      </w:rPr>
    </w:lvl>
    <w:lvl w:ilvl="3" w:tplc="E38E7FD4" w:tentative="1">
      <w:start w:val="1"/>
      <w:numFmt w:val="bullet"/>
      <w:lvlText w:val=""/>
      <w:lvlJc w:val="left"/>
      <w:pPr>
        <w:tabs>
          <w:tab w:val="num" w:pos="2880"/>
        </w:tabs>
        <w:ind w:left="2880" w:hanging="360"/>
      </w:pPr>
      <w:rPr>
        <w:rFonts w:ascii="Wingdings" w:hAnsi="Wingdings" w:hint="default"/>
        <w:sz w:val="20"/>
      </w:rPr>
    </w:lvl>
    <w:lvl w:ilvl="4" w:tplc="58205644" w:tentative="1">
      <w:start w:val="1"/>
      <w:numFmt w:val="bullet"/>
      <w:lvlText w:val=""/>
      <w:lvlJc w:val="left"/>
      <w:pPr>
        <w:tabs>
          <w:tab w:val="num" w:pos="3600"/>
        </w:tabs>
        <w:ind w:left="3600" w:hanging="360"/>
      </w:pPr>
      <w:rPr>
        <w:rFonts w:ascii="Wingdings" w:hAnsi="Wingdings" w:hint="default"/>
        <w:sz w:val="20"/>
      </w:rPr>
    </w:lvl>
    <w:lvl w:ilvl="5" w:tplc="F2BC9E80" w:tentative="1">
      <w:start w:val="1"/>
      <w:numFmt w:val="bullet"/>
      <w:lvlText w:val=""/>
      <w:lvlJc w:val="left"/>
      <w:pPr>
        <w:tabs>
          <w:tab w:val="num" w:pos="4320"/>
        </w:tabs>
        <w:ind w:left="4320" w:hanging="360"/>
      </w:pPr>
      <w:rPr>
        <w:rFonts w:ascii="Wingdings" w:hAnsi="Wingdings" w:hint="default"/>
        <w:sz w:val="20"/>
      </w:rPr>
    </w:lvl>
    <w:lvl w:ilvl="6" w:tplc="0146257C" w:tentative="1">
      <w:start w:val="1"/>
      <w:numFmt w:val="bullet"/>
      <w:lvlText w:val=""/>
      <w:lvlJc w:val="left"/>
      <w:pPr>
        <w:tabs>
          <w:tab w:val="num" w:pos="5040"/>
        </w:tabs>
        <w:ind w:left="5040" w:hanging="360"/>
      </w:pPr>
      <w:rPr>
        <w:rFonts w:ascii="Wingdings" w:hAnsi="Wingdings" w:hint="default"/>
        <w:sz w:val="20"/>
      </w:rPr>
    </w:lvl>
    <w:lvl w:ilvl="7" w:tplc="928C6EBA" w:tentative="1">
      <w:start w:val="1"/>
      <w:numFmt w:val="bullet"/>
      <w:lvlText w:val=""/>
      <w:lvlJc w:val="left"/>
      <w:pPr>
        <w:tabs>
          <w:tab w:val="num" w:pos="5760"/>
        </w:tabs>
        <w:ind w:left="5760" w:hanging="360"/>
      </w:pPr>
      <w:rPr>
        <w:rFonts w:ascii="Wingdings" w:hAnsi="Wingdings" w:hint="default"/>
        <w:sz w:val="20"/>
      </w:rPr>
    </w:lvl>
    <w:lvl w:ilvl="8" w:tplc="5566959A"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CE1C84"/>
    <w:multiLevelType w:val="hybridMultilevel"/>
    <w:tmpl w:val="68C6FA56"/>
    <w:lvl w:ilvl="0" w:tplc="2F182B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0876662"/>
    <w:multiLevelType w:val="hybridMultilevel"/>
    <w:tmpl w:val="141E0D04"/>
    <w:lvl w:ilvl="0" w:tplc="0409000F">
      <w:start w:val="1"/>
      <w:numFmt w:val="decimal"/>
      <w:lvlText w:val="%1."/>
      <w:lvlJc w:val="left"/>
      <w:pPr>
        <w:tabs>
          <w:tab w:val="num" w:pos="420"/>
        </w:tabs>
        <w:ind w:left="420" w:hanging="420"/>
      </w:pPr>
    </w:lvl>
    <w:lvl w:ilvl="1" w:tplc="8C4EF5EE">
      <w:start w:val="1"/>
      <w:numFmt w:val="decimal"/>
      <w:lvlText w:val="%2."/>
      <w:lvlJc w:val="left"/>
      <w:pPr>
        <w:tabs>
          <w:tab w:val="num" w:pos="360"/>
        </w:tabs>
        <w:ind w:left="36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66A75AD4"/>
    <w:multiLevelType w:val="hybridMultilevel"/>
    <w:tmpl w:val="A09E48FE"/>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7012314B"/>
    <w:multiLevelType w:val="hybridMultilevel"/>
    <w:tmpl w:val="A09E48FE"/>
    <w:lvl w:ilvl="0" w:tplc="9F32BB2A">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78540710"/>
    <w:multiLevelType w:val="hybridMultilevel"/>
    <w:tmpl w:val="39142554"/>
    <w:lvl w:ilvl="0" w:tplc="781C2D2E">
      <w:start w:val="1"/>
      <w:numFmt w:val="bullet"/>
      <w:lvlText w:val=""/>
      <w:lvlJc w:val="left"/>
      <w:pPr>
        <w:tabs>
          <w:tab w:val="num" w:pos="720"/>
        </w:tabs>
        <w:ind w:left="720" w:hanging="360"/>
      </w:pPr>
      <w:rPr>
        <w:rFonts w:ascii="Symbol" w:hAnsi="Symbol" w:hint="default"/>
        <w:sz w:val="20"/>
      </w:rPr>
    </w:lvl>
    <w:lvl w:ilvl="1" w:tplc="9FFAA766" w:tentative="1">
      <w:start w:val="1"/>
      <w:numFmt w:val="bullet"/>
      <w:lvlText w:val="o"/>
      <w:lvlJc w:val="left"/>
      <w:pPr>
        <w:tabs>
          <w:tab w:val="num" w:pos="1440"/>
        </w:tabs>
        <w:ind w:left="1440" w:hanging="360"/>
      </w:pPr>
      <w:rPr>
        <w:rFonts w:ascii="Courier New" w:hAnsi="Courier New" w:hint="default"/>
        <w:sz w:val="20"/>
      </w:rPr>
    </w:lvl>
    <w:lvl w:ilvl="2" w:tplc="A214823C" w:tentative="1">
      <w:start w:val="1"/>
      <w:numFmt w:val="bullet"/>
      <w:lvlText w:val=""/>
      <w:lvlJc w:val="left"/>
      <w:pPr>
        <w:tabs>
          <w:tab w:val="num" w:pos="2160"/>
        </w:tabs>
        <w:ind w:left="2160" w:hanging="360"/>
      </w:pPr>
      <w:rPr>
        <w:rFonts w:ascii="Wingdings" w:hAnsi="Wingdings" w:hint="default"/>
        <w:sz w:val="20"/>
      </w:rPr>
    </w:lvl>
    <w:lvl w:ilvl="3" w:tplc="BAAA9E0E" w:tentative="1">
      <w:start w:val="1"/>
      <w:numFmt w:val="bullet"/>
      <w:lvlText w:val=""/>
      <w:lvlJc w:val="left"/>
      <w:pPr>
        <w:tabs>
          <w:tab w:val="num" w:pos="2880"/>
        </w:tabs>
        <w:ind w:left="2880" w:hanging="360"/>
      </w:pPr>
      <w:rPr>
        <w:rFonts w:ascii="Wingdings" w:hAnsi="Wingdings" w:hint="default"/>
        <w:sz w:val="20"/>
      </w:rPr>
    </w:lvl>
    <w:lvl w:ilvl="4" w:tplc="E7BA6A8C" w:tentative="1">
      <w:start w:val="1"/>
      <w:numFmt w:val="bullet"/>
      <w:lvlText w:val=""/>
      <w:lvlJc w:val="left"/>
      <w:pPr>
        <w:tabs>
          <w:tab w:val="num" w:pos="3600"/>
        </w:tabs>
        <w:ind w:left="3600" w:hanging="360"/>
      </w:pPr>
      <w:rPr>
        <w:rFonts w:ascii="Wingdings" w:hAnsi="Wingdings" w:hint="default"/>
        <w:sz w:val="20"/>
      </w:rPr>
    </w:lvl>
    <w:lvl w:ilvl="5" w:tplc="1430EDB8" w:tentative="1">
      <w:start w:val="1"/>
      <w:numFmt w:val="bullet"/>
      <w:lvlText w:val=""/>
      <w:lvlJc w:val="left"/>
      <w:pPr>
        <w:tabs>
          <w:tab w:val="num" w:pos="4320"/>
        </w:tabs>
        <w:ind w:left="4320" w:hanging="360"/>
      </w:pPr>
      <w:rPr>
        <w:rFonts w:ascii="Wingdings" w:hAnsi="Wingdings" w:hint="default"/>
        <w:sz w:val="20"/>
      </w:rPr>
    </w:lvl>
    <w:lvl w:ilvl="6" w:tplc="37481ADA" w:tentative="1">
      <w:start w:val="1"/>
      <w:numFmt w:val="bullet"/>
      <w:lvlText w:val=""/>
      <w:lvlJc w:val="left"/>
      <w:pPr>
        <w:tabs>
          <w:tab w:val="num" w:pos="5040"/>
        </w:tabs>
        <w:ind w:left="5040" w:hanging="360"/>
      </w:pPr>
      <w:rPr>
        <w:rFonts w:ascii="Wingdings" w:hAnsi="Wingdings" w:hint="default"/>
        <w:sz w:val="20"/>
      </w:rPr>
    </w:lvl>
    <w:lvl w:ilvl="7" w:tplc="81C01D58" w:tentative="1">
      <w:start w:val="1"/>
      <w:numFmt w:val="bullet"/>
      <w:lvlText w:val=""/>
      <w:lvlJc w:val="left"/>
      <w:pPr>
        <w:tabs>
          <w:tab w:val="num" w:pos="5760"/>
        </w:tabs>
        <w:ind w:left="5760" w:hanging="360"/>
      </w:pPr>
      <w:rPr>
        <w:rFonts w:ascii="Wingdings" w:hAnsi="Wingdings" w:hint="default"/>
        <w:sz w:val="20"/>
      </w:rPr>
    </w:lvl>
    <w:lvl w:ilvl="8" w:tplc="FCCA7ACE"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AA353D"/>
    <w:multiLevelType w:val="hybridMultilevel"/>
    <w:tmpl w:val="51BCF908"/>
    <w:lvl w:ilvl="0" w:tplc="2C0670CA">
      <w:start w:val="1"/>
      <w:numFmt w:val="bullet"/>
      <w:lvlText w:val=""/>
      <w:lvlJc w:val="left"/>
      <w:pPr>
        <w:tabs>
          <w:tab w:val="num" w:pos="720"/>
        </w:tabs>
        <w:ind w:left="720" w:hanging="360"/>
      </w:pPr>
      <w:rPr>
        <w:rFonts w:ascii="Symbol" w:hAnsi="Symbol" w:hint="default"/>
        <w:sz w:val="20"/>
      </w:rPr>
    </w:lvl>
    <w:lvl w:ilvl="1" w:tplc="7E8E78DC" w:tentative="1">
      <w:start w:val="1"/>
      <w:numFmt w:val="bullet"/>
      <w:lvlText w:val="o"/>
      <w:lvlJc w:val="left"/>
      <w:pPr>
        <w:tabs>
          <w:tab w:val="num" w:pos="1440"/>
        </w:tabs>
        <w:ind w:left="1440" w:hanging="360"/>
      </w:pPr>
      <w:rPr>
        <w:rFonts w:ascii="Courier New" w:hAnsi="Courier New" w:hint="default"/>
        <w:sz w:val="20"/>
      </w:rPr>
    </w:lvl>
    <w:lvl w:ilvl="2" w:tplc="287C8E82" w:tentative="1">
      <w:start w:val="1"/>
      <w:numFmt w:val="bullet"/>
      <w:lvlText w:val=""/>
      <w:lvlJc w:val="left"/>
      <w:pPr>
        <w:tabs>
          <w:tab w:val="num" w:pos="2160"/>
        </w:tabs>
        <w:ind w:left="2160" w:hanging="360"/>
      </w:pPr>
      <w:rPr>
        <w:rFonts w:ascii="Wingdings" w:hAnsi="Wingdings" w:hint="default"/>
        <w:sz w:val="20"/>
      </w:rPr>
    </w:lvl>
    <w:lvl w:ilvl="3" w:tplc="7BC47018" w:tentative="1">
      <w:start w:val="1"/>
      <w:numFmt w:val="bullet"/>
      <w:lvlText w:val=""/>
      <w:lvlJc w:val="left"/>
      <w:pPr>
        <w:tabs>
          <w:tab w:val="num" w:pos="2880"/>
        </w:tabs>
        <w:ind w:left="2880" w:hanging="360"/>
      </w:pPr>
      <w:rPr>
        <w:rFonts w:ascii="Wingdings" w:hAnsi="Wingdings" w:hint="default"/>
        <w:sz w:val="20"/>
      </w:rPr>
    </w:lvl>
    <w:lvl w:ilvl="4" w:tplc="AE8CCD68" w:tentative="1">
      <w:start w:val="1"/>
      <w:numFmt w:val="bullet"/>
      <w:lvlText w:val=""/>
      <w:lvlJc w:val="left"/>
      <w:pPr>
        <w:tabs>
          <w:tab w:val="num" w:pos="3600"/>
        </w:tabs>
        <w:ind w:left="3600" w:hanging="360"/>
      </w:pPr>
      <w:rPr>
        <w:rFonts w:ascii="Wingdings" w:hAnsi="Wingdings" w:hint="default"/>
        <w:sz w:val="20"/>
      </w:rPr>
    </w:lvl>
    <w:lvl w:ilvl="5" w:tplc="84646FE4" w:tentative="1">
      <w:start w:val="1"/>
      <w:numFmt w:val="bullet"/>
      <w:lvlText w:val=""/>
      <w:lvlJc w:val="left"/>
      <w:pPr>
        <w:tabs>
          <w:tab w:val="num" w:pos="4320"/>
        </w:tabs>
        <w:ind w:left="4320" w:hanging="360"/>
      </w:pPr>
      <w:rPr>
        <w:rFonts w:ascii="Wingdings" w:hAnsi="Wingdings" w:hint="default"/>
        <w:sz w:val="20"/>
      </w:rPr>
    </w:lvl>
    <w:lvl w:ilvl="6" w:tplc="EB1C2DE2" w:tentative="1">
      <w:start w:val="1"/>
      <w:numFmt w:val="bullet"/>
      <w:lvlText w:val=""/>
      <w:lvlJc w:val="left"/>
      <w:pPr>
        <w:tabs>
          <w:tab w:val="num" w:pos="5040"/>
        </w:tabs>
        <w:ind w:left="5040" w:hanging="360"/>
      </w:pPr>
      <w:rPr>
        <w:rFonts w:ascii="Wingdings" w:hAnsi="Wingdings" w:hint="default"/>
        <w:sz w:val="20"/>
      </w:rPr>
    </w:lvl>
    <w:lvl w:ilvl="7" w:tplc="A4CA7A22" w:tentative="1">
      <w:start w:val="1"/>
      <w:numFmt w:val="bullet"/>
      <w:lvlText w:val=""/>
      <w:lvlJc w:val="left"/>
      <w:pPr>
        <w:tabs>
          <w:tab w:val="num" w:pos="5760"/>
        </w:tabs>
        <w:ind w:left="5760" w:hanging="360"/>
      </w:pPr>
      <w:rPr>
        <w:rFonts w:ascii="Wingdings" w:hAnsi="Wingdings" w:hint="default"/>
        <w:sz w:val="20"/>
      </w:rPr>
    </w:lvl>
    <w:lvl w:ilvl="8" w:tplc="C758280C"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8313C8"/>
    <w:multiLevelType w:val="hybridMultilevel"/>
    <w:tmpl w:val="2B12B3FE"/>
    <w:lvl w:ilvl="0" w:tplc="BEDA4418">
      <w:start w:val="1"/>
      <w:numFmt w:val="bullet"/>
      <w:lvlText w:val=""/>
      <w:lvlJc w:val="left"/>
      <w:pPr>
        <w:tabs>
          <w:tab w:val="num" w:pos="720"/>
        </w:tabs>
        <w:ind w:left="720" w:hanging="360"/>
      </w:pPr>
      <w:rPr>
        <w:rFonts w:ascii="Symbol" w:hAnsi="Symbol" w:hint="default"/>
        <w:sz w:val="20"/>
      </w:rPr>
    </w:lvl>
    <w:lvl w:ilvl="1" w:tplc="DE5C1CE8" w:tentative="1">
      <w:start w:val="1"/>
      <w:numFmt w:val="bullet"/>
      <w:lvlText w:val="o"/>
      <w:lvlJc w:val="left"/>
      <w:pPr>
        <w:tabs>
          <w:tab w:val="num" w:pos="1440"/>
        </w:tabs>
        <w:ind w:left="1440" w:hanging="360"/>
      </w:pPr>
      <w:rPr>
        <w:rFonts w:ascii="Courier New" w:hAnsi="Courier New" w:hint="default"/>
        <w:sz w:val="20"/>
      </w:rPr>
    </w:lvl>
    <w:lvl w:ilvl="2" w:tplc="6E80B540" w:tentative="1">
      <w:start w:val="1"/>
      <w:numFmt w:val="bullet"/>
      <w:lvlText w:val=""/>
      <w:lvlJc w:val="left"/>
      <w:pPr>
        <w:tabs>
          <w:tab w:val="num" w:pos="2160"/>
        </w:tabs>
        <w:ind w:left="2160" w:hanging="360"/>
      </w:pPr>
      <w:rPr>
        <w:rFonts w:ascii="Wingdings" w:hAnsi="Wingdings" w:hint="default"/>
        <w:sz w:val="20"/>
      </w:rPr>
    </w:lvl>
    <w:lvl w:ilvl="3" w:tplc="D43A3376" w:tentative="1">
      <w:start w:val="1"/>
      <w:numFmt w:val="bullet"/>
      <w:lvlText w:val=""/>
      <w:lvlJc w:val="left"/>
      <w:pPr>
        <w:tabs>
          <w:tab w:val="num" w:pos="2880"/>
        </w:tabs>
        <w:ind w:left="2880" w:hanging="360"/>
      </w:pPr>
      <w:rPr>
        <w:rFonts w:ascii="Wingdings" w:hAnsi="Wingdings" w:hint="default"/>
        <w:sz w:val="20"/>
      </w:rPr>
    </w:lvl>
    <w:lvl w:ilvl="4" w:tplc="8D4E4DB6" w:tentative="1">
      <w:start w:val="1"/>
      <w:numFmt w:val="bullet"/>
      <w:lvlText w:val=""/>
      <w:lvlJc w:val="left"/>
      <w:pPr>
        <w:tabs>
          <w:tab w:val="num" w:pos="3600"/>
        </w:tabs>
        <w:ind w:left="3600" w:hanging="360"/>
      </w:pPr>
      <w:rPr>
        <w:rFonts w:ascii="Wingdings" w:hAnsi="Wingdings" w:hint="default"/>
        <w:sz w:val="20"/>
      </w:rPr>
    </w:lvl>
    <w:lvl w:ilvl="5" w:tplc="D518A3B8" w:tentative="1">
      <w:start w:val="1"/>
      <w:numFmt w:val="bullet"/>
      <w:lvlText w:val=""/>
      <w:lvlJc w:val="left"/>
      <w:pPr>
        <w:tabs>
          <w:tab w:val="num" w:pos="4320"/>
        </w:tabs>
        <w:ind w:left="4320" w:hanging="360"/>
      </w:pPr>
      <w:rPr>
        <w:rFonts w:ascii="Wingdings" w:hAnsi="Wingdings" w:hint="default"/>
        <w:sz w:val="20"/>
      </w:rPr>
    </w:lvl>
    <w:lvl w:ilvl="6" w:tplc="4078B66A" w:tentative="1">
      <w:start w:val="1"/>
      <w:numFmt w:val="bullet"/>
      <w:lvlText w:val=""/>
      <w:lvlJc w:val="left"/>
      <w:pPr>
        <w:tabs>
          <w:tab w:val="num" w:pos="5040"/>
        </w:tabs>
        <w:ind w:left="5040" w:hanging="360"/>
      </w:pPr>
      <w:rPr>
        <w:rFonts w:ascii="Wingdings" w:hAnsi="Wingdings" w:hint="default"/>
        <w:sz w:val="20"/>
      </w:rPr>
    </w:lvl>
    <w:lvl w:ilvl="7" w:tplc="88D03F54" w:tentative="1">
      <w:start w:val="1"/>
      <w:numFmt w:val="bullet"/>
      <w:lvlText w:val=""/>
      <w:lvlJc w:val="left"/>
      <w:pPr>
        <w:tabs>
          <w:tab w:val="num" w:pos="5760"/>
        </w:tabs>
        <w:ind w:left="5760" w:hanging="360"/>
      </w:pPr>
      <w:rPr>
        <w:rFonts w:ascii="Wingdings" w:hAnsi="Wingdings" w:hint="default"/>
        <w:sz w:val="20"/>
      </w:rPr>
    </w:lvl>
    <w:lvl w:ilvl="8" w:tplc="EC760CA6"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C332A1"/>
    <w:multiLevelType w:val="singleLevel"/>
    <w:tmpl w:val="0414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0"/>
  </w:num>
  <w:num w:numId="3">
    <w:abstractNumId w:val="27"/>
  </w:num>
  <w:num w:numId="4">
    <w:abstractNumId w:val="8"/>
  </w:num>
  <w:num w:numId="5">
    <w:abstractNumId w:val="11"/>
  </w:num>
  <w:num w:numId="6">
    <w:abstractNumId w:val="3"/>
  </w:num>
  <w:num w:numId="7">
    <w:abstractNumId w:val="24"/>
  </w:num>
  <w:num w:numId="8">
    <w:abstractNumId w:val="15"/>
  </w:num>
  <w:num w:numId="9">
    <w:abstractNumId w:val="25"/>
  </w:num>
  <w:num w:numId="10">
    <w:abstractNumId w:val="17"/>
  </w:num>
  <w:num w:numId="11">
    <w:abstractNumId w:val="26"/>
  </w:num>
  <w:num w:numId="12">
    <w:abstractNumId w:val="14"/>
  </w:num>
  <w:num w:numId="13">
    <w:abstractNumId w:val="5"/>
  </w:num>
  <w:num w:numId="14">
    <w:abstractNumId w:val="18"/>
  </w:num>
  <w:num w:numId="15">
    <w:abstractNumId w:val="19"/>
  </w:num>
  <w:num w:numId="16">
    <w:abstractNumId w:val="16"/>
  </w:num>
  <w:num w:numId="17">
    <w:abstractNumId w:val="1"/>
  </w:num>
  <w:num w:numId="18">
    <w:abstractNumId w:val="13"/>
  </w:num>
  <w:num w:numId="19">
    <w:abstractNumId w:val="10"/>
  </w:num>
  <w:num w:numId="20">
    <w:abstractNumId w:val="22"/>
  </w:num>
  <w:num w:numId="21">
    <w:abstractNumId w:val="23"/>
  </w:num>
  <w:num w:numId="22">
    <w:abstractNumId w:val="9"/>
  </w:num>
  <w:num w:numId="23">
    <w:abstractNumId w:val="21"/>
  </w:num>
  <w:num w:numId="24">
    <w:abstractNumId w:val="20"/>
  </w:num>
  <w:num w:numId="25">
    <w:abstractNumId w:val="4"/>
  </w:num>
  <w:num w:numId="26">
    <w:abstractNumId w:val="12"/>
  </w:num>
  <w:num w:numId="27">
    <w:abstractNumId w:val="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B95"/>
    <w:rsid w:val="000E3B95"/>
    <w:rsid w:val="000F78E3"/>
    <w:rsid w:val="006A5B7F"/>
    <w:rsid w:val="00EC5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A10064-1570-4ED3-9973-1AB39C46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80" w:lineRule="auto"/>
      <w:jc w:val="both"/>
    </w:pPr>
    <w:rPr>
      <w:rFonts w:ascii="Arial" w:hAnsi="Arial"/>
      <w:kern w:val="2"/>
      <w:sz w:val="22"/>
      <w:szCs w:val="24"/>
      <w:lang w:val="en-GB" w:eastAsia="ja-JP"/>
    </w:rPr>
  </w:style>
  <w:style w:type="paragraph" w:styleId="1">
    <w:name w:val="heading 1"/>
    <w:basedOn w:val="a"/>
    <w:next w:val="a"/>
    <w:qFormat/>
    <w:pPr>
      <w:keepNext/>
      <w:jc w:val="center"/>
      <w:outlineLvl w:val="0"/>
    </w:pPr>
    <w:rPr>
      <w:rFonts w:cs="Arial"/>
      <w:b/>
      <w:bCs/>
      <w:sz w:val="32"/>
    </w:rPr>
  </w:style>
  <w:style w:type="paragraph" w:styleId="2">
    <w:name w:val="heading 2"/>
    <w:basedOn w:val="a"/>
    <w:next w:val="a"/>
    <w:qFormat/>
    <w:pPr>
      <w:keepNext/>
      <w:outlineLvl w:val="1"/>
    </w:pPr>
    <w:rPr>
      <w:rFonts w:cs="Arial"/>
      <w:b/>
      <w:bCs/>
      <w:sz w:val="28"/>
    </w:rPr>
  </w:style>
  <w:style w:type="paragraph" w:styleId="3">
    <w:name w:val="heading 3"/>
    <w:basedOn w:val="a"/>
    <w:next w:val="a"/>
    <w:qFormat/>
    <w:pPr>
      <w:keepNext/>
      <w:outlineLvl w:val="2"/>
    </w:pPr>
    <w:rPr>
      <w:b/>
      <w:bCs/>
    </w:rPr>
  </w:style>
  <w:style w:type="paragraph" w:styleId="4">
    <w:name w:val="heading 4"/>
    <w:basedOn w:val="a"/>
    <w:next w:val="a"/>
    <w:qFormat/>
    <w:pPr>
      <w:keepNext/>
      <w:jc w:val="center"/>
      <w:outlineLvl w:val="3"/>
    </w:pPr>
    <w:rPr>
      <w:i/>
      <w:iCs/>
      <w:sz w:val="24"/>
    </w:rPr>
  </w:style>
  <w:style w:type="paragraph" w:styleId="5">
    <w:name w:val="heading 5"/>
    <w:basedOn w:val="a"/>
    <w:next w:val="a"/>
    <w:qFormat/>
    <w:pPr>
      <w:keepNext/>
      <w:outlineLvl w:val="4"/>
    </w:pPr>
    <w:rPr>
      <w:i/>
      <w:iCs/>
      <w:sz w:val="28"/>
    </w:rPr>
  </w:style>
  <w:style w:type="paragraph" w:styleId="6">
    <w:name w:val="heading 6"/>
    <w:basedOn w:val="a"/>
    <w:next w:val="a"/>
    <w:qFormat/>
    <w:pPr>
      <w:keepNext/>
      <w:jc w:val="center"/>
      <w:outlineLvl w:val="5"/>
    </w:pPr>
    <w:rPr>
      <w:b/>
      <w:bCs/>
      <w:sz w:val="24"/>
    </w:rPr>
  </w:style>
  <w:style w:type="paragraph" w:styleId="7">
    <w:name w:val="heading 7"/>
    <w:basedOn w:val="a"/>
    <w:next w:val="a"/>
    <w:qFormat/>
    <w:pPr>
      <w:keepNext/>
      <w:spacing w:line="360" w:lineRule="auto"/>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cs="Arial"/>
    </w:rPr>
  </w:style>
  <w:style w:type="character" w:styleId="a4">
    <w:name w:val="footnote reference"/>
    <w:semiHidden/>
    <w:rPr>
      <w:position w:val="6"/>
      <w:sz w:val="16"/>
    </w:rPr>
  </w:style>
  <w:style w:type="paragraph" w:styleId="a5">
    <w:name w:val="footnote text"/>
    <w:basedOn w:val="a"/>
    <w:semiHidden/>
    <w:pPr>
      <w:widowControl/>
      <w:overflowPunct w:val="0"/>
      <w:autoSpaceDE w:val="0"/>
      <w:autoSpaceDN w:val="0"/>
      <w:adjustRightInd w:val="0"/>
      <w:textAlignment w:val="baseline"/>
    </w:pPr>
    <w:rPr>
      <w:rFonts w:ascii="Times New Roman" w:hAnsi="Times New Roman"/>
      <w:kern w:val="0"/>
      <w:sz w:val="20"/>
      <w:szCs w:val="20"/>
      <w:lang w:val="en-AU"/>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Normal (Web)"/>
    <w:basedOn w:val="a"/>
    <w:semiHidden/>
    <w:pPr>
      <w:widowControl/>
      <w:spacing w:before="100" w:beforeAutospacing="1" w:after="100" w:afterAutospacing="1" w:line="240" w:lineRule="auto"/>
      <w:jc w:val="left"/>
    </w:pPr>
    <w:rPr>
      <w:rFonts w:ascii="MS Mincho" w:hAnsi="MS Mincho"/>
      <w:kern w:val="0"/>
      <w:sz w:val="24"/>
    </w:rPr>
  </w:style>
  <w:style w:type="character" w:styleId="aa">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2056</Words>
  <Characters>11722</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International Corporate Startegy School, Hitotsubashi University</vt:lpstr>
      <vt:lpstr>International Corporate Startegy School, Hitotsubashi University</vt:lpstr>
    </vt:vector>
  </TitlesOfParts>
  <Company>国際企業戦略研究科</Company>
  <LinksUpToDate>false</LinksUpToDate>
  <CharactersWithSpaces>13751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Corporate Startegy School, Hitotsubashi University</dc:title>
  <dc:subject/>
  <dc:creator>im0313</dc:creator>
  <cp:keywords/>
  <dc:description/>
  <cp:lastModifiedBy>Irina</cp:lastModifiedBy>
  <cp:revision>2</cp:revision>
  <dcterms:created xsi:type="dcterms:W3CDTF">2014-08-04T15:52:00Z</dcterms:created>
  <dcterms:modified xsi:type="dcterms:W3CDTF">2014-08-04T15:52:00Z</dcterms:modified>
</cp:coreProperties>
</file>