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15ADE" w:rsidRDefault="00415ADE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15ADE" w:rsidRDefault="00415ADE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15ADE" w:rsidRDefault="00415ADE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15ADE" w:rsidRPr="00EF70EE" w:rsidRDefault="00415ADE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15ADE" w:rsidRPr="00EF70EE" w:rsidRDefault="00415ADE" w:rsidP="00415ADE">
      <w:pPr>
        <w:pStyle w:val="3"/>
        <w:keepNext w:val="0"/>
        <w:spacing w:line="360" w:lineRule="auto"/>
        <w:jc w:val="center"/>
        <w:rPr>
          <w:color w:val="000000"/>
        </w:rPr>
      </w:pPr>
      <w:r w:rsidRPr="00EF70EE">
        <w:rPr>
          <w:color w:val="000000"/>
        </w:rPr>
        <w:t xml:space="preserve">Реферат по курсу </w:t>
      </w:r>
      <w:r>
        <w:rPr>
          <w:color w:val="000000"/>
        </w:rPr>
        <w:t>"</w:t>
      </w:r>
      <w:r w:rsidRPr="00EF70EE">
        <w:rPr>
          <w:color w:val="000000"/>
        </w:rPr>
        <w:t>Мировая экономика</w:t>
      </w:r>
      <w:r>
        <w:rPr>
          <w:color w:val="000000"/>
        </w:rPr>
        <w:t>"</w:t>
      </w:r>
    </w:p>
    <w:p w:rsidR="00A45887" w:rsidRPr="00EF70EE" w:rsidRDefault="00A45887" w:rsidP="00415ADE">
      <w:pPr>
        <w:spacing w:line="360" w:lineRule="auto"/>
        <w:jc w:val="center"/>
        <w:rPr>
          <w:color w:val="000000"/>
          <w:sz w:val="28"/>
        </w:rPr>
      </w:pPr>
    </w:p>
    <w:p w:rsidR="00A45887" w:rsidRPr="00EF70EE" w:rsidRDefault="00A45887" w:rsidP="00415ADE">
      <w:pPr>
        <w:spacing w:line="360" w:lineRule="auto"/>
        <w:jc w:val="center"/>
        <w:rPr>
          <w:b/>
          <w:color w:val="000000"/>
          <w:sz w:val="28"/>
        </w:rPr>
      </w:pPr>
      <w:r w:rsidRPr="00EF70EE">
        <w:rPr>
          <w:b/>
          <w:color w:val="000000"/>
          <w:sz w:val="28"/>
        </w:rPr>
        <w:t xml:space="preserve">Тема: </w:t>
      </w:r>
      <w:r w:rsidR="00415ADE">
        <w:rPr>
          <w:b/>
          <w:color w:val="000000"/>
          <w:sz w:val="28"/>
        </w:rPr>
        <w:t>"</w:t>
      </w:r>
      <w:r w:rsidRPr="00EF70EE">
        <w:rPr>
          <w:b/>
          <w:color w:val="000000"/>
          <w:sz w:val="28"/>
        </w:rPr>
        <w:t>Финансовая политика Новой Зеландии</w:t>
      </w:r>
      <w:r w:rsidR="00415ADE">
        <w:rPr>
          <w:b/>
          <w:color w:val="000000"/>
          <w:sz w:val="28"/>
        </w:rPr>
        <w:t>"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45887" w:rsidRPr="00EF70EE" w:rsidRDefault="00415ADE" w:rsidP="00415ADE">
      <w:pPr>
        <w:spacing w:line="360" w:lineRule="auto"/>
        <w:ind w:firstLine="709"/>
        <w:jc w:val="both"/>
      </w:pPr>
      <w:r>
        <w:rPr>
          <w:b/>
        </w:rPr>
        <w:br w:type="page"/>
      </w:r>
      <w:r w:rsidRPr="00415ADE">
        <w:rPr>
          <w:b/>
          <w:sz w:val="28"/>
          <w:szCs w:val="28"/>
        </w:rPr>
        <w:t>Введение</w:t>
      </w:r>
    </w:p>
    <w:p w:rsidR="00EF70EE" w:rsidRDefault="00EF70EE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 xml:space="preserve">Нова Зеландия – индустриально-аграрная страна, удалённая от основных центров мирового хозяйства. Однако её связи с ним сильны, хотя и носят односторонний характер. Это обусловленною многими факторами: небольшой численностью назелени, незначительностью запасов полезных ископаемых, недостаточностью энергетической базы </w:t>
      </w:r>
      <w:r w:rsidR="00EF70EE">
        <w:rPr>
          <w:color w:val="000000"/>
          <w:sz w:val="28"/>
        </w:rPr>
        <w:t>и т.д.</w:t>
      </w:r>
      <w:r w:rsidRPr="00EF70EE">
        <w:rPr>
          <w:color w:val="000000"/>
          <w:sz w:val="28"/>
        </w:rPr>
        <w:t xml:space="preserve"> Структура её народного хозяйства (Новая Зеландия складывалась на переселенческая колония Великобритании) обладает рядом черт, присущих развивающимся странам: однобокое развитие экономики на протяжении длительного периода; производство и продажа на мировом на мировом рынке главным образом сырьевых и сельскохозяйственных товаров, отставание обрабатывающей промышленности. В тоже время уровень жизни её населения достаточно высок, а демократич</w:t>
      </w:r>
      <w:r w:rsidR="00415ADE">
        <w:rPr>
          <w:color w:val="000000"/>
          <w:sz w:val="28"/>
        </w:rPr>
        <w:t>еские принципы, на которых зиждетс</w:t>
      </w:r>
      <w:r w:rsidR="00415ADE" w:rsidRPr="00EF70EE">
        <w:rPr>
          <w:color w:val="000000"/>
          <w:sz w:val="28"/>
        </w:rPr>
        <w:t>я</w:t>
      </w:r>
      <w:r w:rsidRPr="00EF70EE">
        <w:rPr>
          <w:color w:val="000000"/>
          <w:sz w:val="28"/>
        </w:rPr>
        <w:t xml:space="preserve"> её политическая система, прочно укрепились в сознании народа.</w:t>
      </w:r>
    </w:p>
    <w:p w:rsidR="00EF70EE" w:rsidRDefault="00A45887" w:rsidP="00EF70EE">
      <w:pPr>
        <w:pStyle w:val="a3"/>
        <w:ind w:firstLine="709"/>
        <w:rPr>
          <w:color w:val="000000"/>
          <w:sz w:val="28"/>
        </w:rPr>
      </w:pPr>
      <w:r w:rsidRPr="00EF70EE">
        <w:rPr>
          <w:color w:val="000000"/>
          <w:sz w:val="28"/>
        </w:rPr>
        <w:t>Однако в середине 70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х</w:t>
      </w:r>
      <w:r w:rsidRPr="00EF70EE">
        <w:rPr>
          <w:color w:val="000000"/>
          <w:sz w:val="28"/>
        </w:rPr>
        <w:t xml:space="preserve"> годов в Новой Зеландии наблюдались изменения, свидетельствующие структурному кризису. Снизились темпы роста ВП в целом на душу населения. По этому показателю она съехала с 3 – 5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о места 50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60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е</w:t>
      </w:r>
      <w:r w:rsidRPr="00EF70EE">
        <w:rPr>
          <w:color w:val="000000"/>
          <w:sz w:val="28"/>
        </w:rPr>
        <w:t xml:space="preserve"> годы на 23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е</w:t>
      </w:r>
      <w:r w:rsidRPr="00EF70EE">
        <w:rPr>
          <w:color w:val="000000"/>
          <w:sz w:val="28"/>
        </w:rPr>
        <w:t xml:space="preserve"> среди индустриально развитых государств. О затяжном структурном кризисе говорило неуклонное увеличение иностранной задолженности, дефицитов платёжного баланса и бюджета, безработицы.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Многие негативные тенденции в экономическом развитии Новой Зеландии проявлялись и дальше, но с отмеченного рубежа они приобрели устойчивый кризисный характер. Причина обострения в том, что на трудности противоречия внутреннего развития наловились последствия структурных кризисов мирового хозяйства 70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80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х</w:t>
      </w:r>
      <w:r w:rsidRPr="00EF70EE">
        <w:rPr>
          <w:color w:val="000000"/>
          <w:sz w:val="28"/>
        </w:rPr>
        <w:t xml:space="preserve"> годов.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415ADE" w:rsidP="00EF70E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A45887" w:rsidRPr="00EF70EE">
        <w:rPr>
          <w:b/>
          <w:color w:val="000000"/>
          <w:sz w:val="28"/>
        </w:rPr>
        <w:t xml:space="preserve">1. </w:t>
      </w:r>
      <w:r w:rsidRPr="00EF70EE">
        <w:rPr>
          <w:b/>
          <w:color w:val="000000"/>
          <w:sz w:val="28"/>
        </w:rPr>
        <w:t>Экономич</w:t>
      </w:r>
      <w:r>
        <w:rPr>
          <w:b/>
          <w:color w:val="000000"/>
          <w:sz w:val="28"/>
        </w:rPr>
        <w:t>еская модель Новой Зеландии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Объём ВВП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– 44 млрд.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долл</w:t>
      </w:r>
      <w:r w:rsidRPr="00EF70EE">
        <w:rPr>
          <w:color w:val="000000"/>
          <w:sz w:val="28"/>
        </w:rPr>
        <w:t>. В т.ч. на душу населения – 13 тыс. Среднегодовые темпы прироста ВВП – 0,</w:t>
      </w:r>
      <w:r w:rsidR="00EF70EE" w:rsidRPr="00EF70EE">
        <w:rPr>
          <w:color w:val="000000"/>
          <w:sz w:val="28"/>
        </w:rPr>
        <w:t>4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 Экспорт товаров и услуг – 12,5 млрд.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долл</w:t>
      </w:r>
      <w:r w:rsidRPr="00EF70EE">
        <w:rPr>
          <w:color w:val="000000"/>
          <w:sz w:val="28"/>
        </w:rPr>
        <w:t>. Участница австралийско-новозеландского экономического соглашения АНЗСЕРТА.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 xml:space="preserve">В компании под иностранным контролем работало 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всех занятых. Ведущими иностранными инвесторами являются Австралия, а также США, Великобритания и Япония.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Иностранные инвестиции регулируются, прежде всего, Актом об иностранных инвестициях.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1973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и положением об иностранных инвестициях 1985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с поправками от 24 августа 1989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Предприятия государственного сектора действуют в городском хозяйстве, на транспорте, телеграфе, в телефонной сети, на радио- и телевещании, в электроэнергетики, гостиничном деле, обрабатывающей промышленности, угледобычи, нефтяной и газовой промышленности.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Однако иностранные инвестиции всюду разрешены. Ограничения для иностранных инвестиций существуют только в банковском деле, на авиационном транспорте, радиовещании и телевидении, в рыболовстве и приобретении земельных участков в сельской местности.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Открытая акционерная компания для своего учреждения требует не имение 7 лиц, закрытая акционерная компания может иметь минимум 2, но не более 25 акционеров. Весь её капитал должен быть оплачен, и она должна иметь не менее двух директоров.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Кроме того, в стране действуют такие организационно-правовые формы, как единоличное владение, партнёрство, и совместное предприятие.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415ADE" w:rsidRDefault="00415ADE" w:rsidP="00415AD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Pr="00415ADE">
        <w:rPr>
          <w:b/>
          <w:color w:val="000000"/>
          <w:sz w:val="28"/>
        </w:rPr>
        <w:t>2. Финансовая политика Новой Зеландии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Кризисы 70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80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х</w:t>
      </w:r>
      <w:r w:rsidRPr="00EF70EE">
        <w:rPr>
          <w:color w:val="000000"/>
          <w:sz w:val="28"/>
        </w:rPr>
        <w:t xml:space="preserve"> годов заставили многие страны пересмотреть свою экономическую политику, провести структурные реформы, повышающие действенность рыночных механизмов. Страны сумевшие сделать это в относительно сжатые строки, преодолели кризисные ситуации. Правительства Новой Зеландии, напротив, в 70 – начале 80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х</w:t>
      </w:r>
      <w:r w:rsidRPr="00EF70EE">
        <w:rPr>
          <w:color w:val="000000"/>
          <w:sz w:val="28"/>
        </w:rPr>
        <w:t xml:space="preserve"> годов стремлении защитить страну от влияния благоприятных внешних факторов, усиливали государственное регулирование экономики, в частности рынка труда, что вело к снижению эффективности народного хозяйства. Назрела необходимость такого изменения экономического курса, которое позволила бы стране приспособиться к новым условиям в мире. Лейбористское правительство, пришедшее к власти в 1984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начало кардинальной реформы, нацеленные на создание стимулов для повышения деловой активности, более эффективного использования производственных ресурсов.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В 1987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лейбористский кабинет объявил о продаже государственных ценных бумаг, дабы сократить достигшую непомерных размеров иностранную за должность. На протяжении нескольких поколений Новая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Зеландия жила в долг. В 60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х</w:t>
      </w:r>
      <w:r w:rsidRPr="00EF70EE">
        <w:rPr>
          <w:color w:val="000000"/>
          <w:sz w:val="28"/>
        </w:rPr>
        <w:t xml:space="preserve"> – первой половине 70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х</w:t>
      </w:r>
      <w:r w:rsidRPr="00EF70EE">
        <w:rPr>
          <w:color w:val="000000"/>
          <w:sz w:val="28"/>
        </w:rPr>
        <w:t xml:space="preserve"> годов он колебался в пределах 3 – 12 ВВП. Однако он всё время рос и в 1987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достиг 4</w:t>
      </w:r>
      <w:r w:rsidR="00EF70EE" w:rsidRPr="00EF70EE">
        <w:rPr>
          <w:color w:val="000000"/>
          <w:sz w:val="28"/>
        </w:rPr>
        <w:t>0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ВВП. В результате реализаций акций, принадлежащих государству, он снизился до</w:t>
      </w:r>
      <w:r w:rsidR="00415AD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2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и 21,</w:t>
      </w:r>
      <w:r w:rsidR="00EF70EE" w:rsidRPr="00EF70EE">
        <w:rPr>
          <w:color w:val="000000"/>
          <w:sz w:val="28"/>
        </w:rPr>
        <w:t>4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1999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Не</w:t>
      </w:r>
      <w:r w:rsidR="00415ADE">
        <w:rPr>
          <w:color w:val="000000"/>
          <w:sz w:val="28"/>
        </w:rPr>
        <w:t xml:space="preserve"> последню</w:t>
      </w:r>
      <w:r w:rsidR="00415ADE" w:rsidRPr="00EF70EE">
        <w:rPr>
          <w:color w:val="000000"/>
          <w:sz w:val="28"/>
        </w:rPr>
        <w:t>ю</w:t>
      </w:r>
      <w:r w:rsidRPr="00EF70EE">
        <w:rPr>
          <w:color w:val="000000"/>
          <w:sz w:val="28"/>
        </w:rPr>
        <w:t xml:space="preserve"> роль в углублении финансового бремени государства играли его субсидии экспортёрам. До 1979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фермеры имели приоритет в доступе к кредитам, получили ссуды для покупки удобрений, пользовались налоговыми льготами. В 1979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экспорто</w:t>
      </w:r>
      <w:r w:rsidR="00415ADE">
        <w:rPr>
          <w:color w:val="000000"/>
          <w:sz w:val="28"/>
        </w:rPr>
        <w:t>-</w:t>
      </w:r>
      <w:r w:rsidRPr="00EF70EE">
        <w:rPr>
          <w:color w:val="000000"/>
          <w:sz w:val="28"/>
        </w:rPr>
        <w:t>ориентированные субсидии были величины, особенно для овцеводов. Одновременно были повышенно субсидии для производителей нерадиационных предметов экспорта, в частности готовых промышленных изделий.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К 1994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 xml:space="preserve">. защита экспортёров от колебаний </w:t>
      </w:r>
      <w:r w:rsidR="00415ADE" w:rsidRPr="00EF70EE">
        <w:rPr>
          <w:color w:val="000000"/>
          <w:sz w:val="28"/>
        </w:rPr>
        <w:t>конъю</w:t>
      </w:r>
      <w:r w:rsidR="00415ADE">
        <w:rPr>
          <w:color w:val="000000"/>
          <w:sz w:val="28"/>
        </w:rPr>
        <w:t>н</w:t>
      </w:r>
      <w:r w:rsidR="00415ADE" w:rsidRPr="00EF70EE">
        <w:rPr>
          <w:color w:val="000000"/>
          <w:sz w:val="28"/>
        </w:rPr>
        <w:t>ктуры</w:t>
      </w:r>
      <w:r w:rsidRPr="00EF70EE">
        <w:rPr>
          <w:color w:val="000000"/>
          <w:sz w:val="28"/>
        </w:rPr>
        <w:t xml:space="preserve"> на мировых рынках сравнялись по существу защитой внутренних производителе йот импорта, вытекавши из традиционной протекционистской торговой политики стран. Такое положение вещей подорвало финансовые ресурсы страны, и в бюджете 1984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ряд экспортных субсидий был отменён совсем, однако 2</w:t>
      </w:r>
      <w:r w:rsidR="00EF70EE" w:rsidRPr="00EF70EE">
        <w:rPr>
          <w:color w:val="000000"/>
          <w:sz w:val="28"/>
        </w:rPr>
        <w:t>0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девальвация позволила фермерам получать большие доходы за свою продукцию.</w:t>
      </w:r>
    </w:p>
    <w:p w:rsidR="00A45887" w:rsidRPr="00EF70EE" w:rsidRDefault="00A45887" w:rsidP="00EF70EE">
      <w:pPr>
        <w:pStyle w:val="a5"/>
        <w:ind w:left="0" w:firstLine="709"/>
        <w:rPr>
          <w:color w:val="000000"/>
          <w:sz w:val="28"/>
        </w:rPr>
      </w:pPr>
      <w:r w:rsidRPr="00EF70EE">
        <w:rPr>
          <w:color w:val="000000"/>
          <w:sz w:val="28"/>
        </w:rPr>
        <w:t>Острый дефицит бюджета, растущий государственный долг вынудили правительство пересмотреть финансовую политику. 1 июля 1989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был принят закон о государственных финансах, согласно которому Резервный банк страны получал определённую автономию. Были чётко разграничены функции: правительство определяло цели финансовой политики,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а Резервный банк самостоятельно выбирал средства их достижения. Отныне министр финансов не мог давать директивные указания руководству банка. Изменения в принятом финансовом курсе становились возможными только после обсуждения их в парламенте утверждения генерал-губернатором. Раннее для Новой Зеландии было характерно увлечение денежной массы и расходов в год парламентских выборов, а затем снижение их в последующий период. Оптимальной денежной политикой признавалась та, которая способствовала стабильности основных потребительских цен. Это, в свою очередь, повышало ответственность Резервного банка за свои действия.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Под надзором резервного банка находятся коммерческие банки, которые должны проходить регистрацию. С 1 января 1996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им вменялась в обязанность ежеквартальная публикация отчётов, содержащих сведения о размерах активов, банковских гарантиях, международном рейтинге, а также деловой двухстраничной информации, необходимой клиентам. Для улучшения финансового положения страны правительство, кроме продажи ценных государственных бумаг, ввело налог на добавленную стоимость. Однако эти меры не дали позитивных результатов.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Новую Зеландию снова постиг финансовый кризис.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 xml:space="preserve">Дефицит бюджета поднялся до </w:t>
      </w:r>
      <w:r w:rsidR="00EF70EE" w:rsidRPr="00EF70EE">
        <w:rPr>
          <w:color w:val="000000"/>
          <w:sz w:val="28"/>
        </w:rPr>
        <w:t>3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 и мог, по прогнозам специалистов, повысится до 6,</w:t>
      </w:r>
      <w:r w:rsidR="00EF70EE" w:rsidRPr="00EF70EE">
        <w:rPr>
          <w:color w:val="000000"/>
          <w:sz w:val="28"/>
        </w:rPr>
        <w:t>3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, если не будут внесены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коррективы в финансовую политику. Основные принципы финансовой политики формулировались при этом следующим образом:</w:t>
      </w:r>
    </w:p>
    <w:p w:rsidR="00A45887" w:rsidRPr="00EF70EE" w:rsidRDefault="00A45887" w:rsidP="00EF7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сокращение государственного долга</w:t>
      </w:r>
      <w:r w:rsidRPr="00EF70EE">
        <w:rPr>
          <w:color w:val="000000"/>
          <w:sz w:val="28"/>
          <w:lang w:val="en-US"/>
        </w:rPr>
        <w:t>;</w:t>
      </w:r>
    </w:p>
    <w:p w:rsidR="00A45887" w:rsidRPr="00EF70EE" w:rsidRDefault="00A45887" w:rsidP="00EF7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сбалансированность расходов и доходах</w:t>
      </w:r>
      <w:r w:rsidRPr="00EF70EE">
        <w:rPr>
          <w:color w:val="000000"/>
          <w:sz w:val="28"/>
          <w:lang w:val="en-US"/>
        </w:rPr>
        <w:t>;</w:t>
      </w:r>
    </w:p>
    <w:p w:rsidR="00A45887" w:rsidRPr="00EF70EE" w:rsidRDefault="00A45887" w:rsidP="00EF7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сохранение государственных ценностей, используемых для смягчения последствий внезапных финансовых шоков;</w:t>
      </w:r>
    </w:p>
    <w:p w:rsidR="00A45887" w:rsidRPr="00EF70EE" w:rsidRDefault="00A45887" w:rsidP="00EF7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умелое управления финансовыми рисками</w:t>
      </w:r>
      <w:r w:rsidRPr="00EF70EE">
        <w:rPr>
          <w:color w:val="000000"/>
          <w:sz w:val="28"/>
          <w:lang w:val="en-US"/>
        </w:rPr>
        <w:t>;</w:t>
      </w:r>
    </w:p>
    <w:p w:rsidR="00A45887" w:rsidRPr="00EF70EE" w:rsidRDefault="00A45887" w:rsidP="00EF7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прогнозирование уровня инфляции и удержание стабильности цен в последующие годы.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Предполагаемый уровень инфляции фиксируется в соглашении между Резервным банком и правительством. Так, в соглашении, подписанном в декабре 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 xml:space="preserve">., уровень инфляции определялся 0 – </w:t>
      </w:r>
      <w:r w:rsidR="00EF70EE" w:rsidRPr="00EF70EE">
        <w:rPr>
          <w:color w:val="000000"/>
          <w:sz w:val="28"/>
        </w:rPr>
        <w:t>3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 Дополнительно к поправки к соглашению указывается, что для достижения цели следует проводить прозрачную денежную политику, искать пути для устранения нестабильности в сфере производства, уровне процентных ставок и обменном курсе. Инфляция, достигшая в 80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е</w:t>
      </w:r>
      <w:r w:rsidRPr="00EF70EE">
        <w:rPr>
          <w:color w:val="000000"/>
          <w:sz w:val="28"/>
        </w:rPr>
        <w:t xml:space="preserve"> годы двузначной цифры (с пиком во втором квартале 1987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– 1</w:t>
      </w:r>
      <w:r w:rsidR="00EF70EE" w:rsidRPr="00EF70EE">
        <w:rPr>
          <w:color w:val="000000"/>
          <w:sz w:val="28"/>
        </w:rPr>
        <w:t>9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), в 1999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составила 1,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и была меньше, чем в Австралии (1,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), Канаде (1,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), Великобритании (2,</w:t>
      </w:r>
      <w:r w:rsidR="00EF70EE" w:rsidRPr="00EF70EE">
        <w:rPr>
          <w:color w:val="000000"/>
          <w:sz w:val="28"/>
        </w:rPr>
        <w:t>4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).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В течение 90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х</w:t>
      </w:r>
      <w:r w:rsidRPr="00EF70EE">
        <w:rPr>
          <w:color w:val="000000"/>
          <w:sz w:val="28"/>
        </w:rPr>
        <w:t xml:space="preserve"> годов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правительство Национальной партии проводило жёсткую финансовую линию, экономия средств для выплаты государственного внешнего долга и увеличения бюджетного профицита.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Правительство Хелен Кларк (коалиция лейбристов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с партией Альянс), пришедшее к власти в ноябре 1999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замедлило погашение долгов, дабы увеличить расходы на здравоохранение и образование. В течении ближайших четырёх лет оно намеривается довести их до 2,7 млрд. ам. Долл.; примерно 7</w:t>
      </w:r>
      <w:r w:rsidR="00EF70EE" w:rsidRPr="00EF70EE">
        <w:rPr>
          <w:color w:val="000000"/>
          <w:sz w:val="28"/>
        </w:rPr>
        <w:t>0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этой суммы заложенною в бюджет на 2000/2001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В декабре каждого года или перед парламентскими выборами казначейство обязанною публиковать данные о положении дел в экономики. Таким образом устраняется возможность скрыть ухудшение экономических показателей во время предвыборной компании. Финансовые отчёты подписываются министром финансов и секретарём казначейства. Этот первый в мире акт такого рода делает финансовую политику и государственные счета прозрачными, что достаточно редко даже в других развитых демократических странах.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Приоритетной задачей министра финансов правительства Национальной партии,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победившей на парламентских выборах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было сокращение государственного внешнего долга до 3</w:t>
      </w:r>
      <w:r w:rsidR="00EF70EE" w:rsidRPr="00EF70EE">
        <w:rPr>
          <w:color w:val="000000"/>
          <w:sz w:val="28"/>
        </w:rPr>
        <w:t>0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ВВП. (Нынешнее правительство намеривается уменьшить его до 20,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2001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1</w:t>
      </w:r>
      <w:r w:rsidR="00EF70EE" w:rsidRPr="00EF70EE">
        <w:rPr>
          <w:color w:val="000000"/>
          <w:sz w:val="28"/>
        </w:rPr>
        <w:t>9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2002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и 17,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 в 2003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 xml:space="preserve">.). Второй задачей стало тогда снижение налогов, стимулирующих стремление физических и юридических лиц к росту доходов и повышению конкурентоспособности на мировой арене. Правительство было вынуждено проводить жёсткую монетаристскую политику. Ежегодный прирост М2, </w:t>
      </w:r>
      <w:r w:rsidR="00EF70EE">
        <w:rPr>
          <w:color w:val="000000"/>
          <w:sz w:val="28"/>
        </w:rPr>
        <w:t>т.е.</w:t>
      </w:r>
      <w:r w:rsidRPr="00EF70EE">
        <w:rPr>
          <w:color w:val="000000"/>
          <w:sz w:val="28"/>
        </w:rPr>
        <w:t xml:space="preserve"> массы денег в обращении плюс сумма вкладов в банках (срочных и до востребования), сократился с 12,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 1,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Ограничение государственных расходов вызывало недовольство, велись острые дискуссии о финансовой роли в масштабах государственного сектора.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Государственное потребление в Новой Зеландии в 1960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1961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 увеличивалось ежегодно на 3,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, затем темпы его снизились до примерно 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1981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1982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 Оно начало реально снижаться только после 10 лет реформ,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что показывает, как трудно добиться сокращен государственных расходов, которые, естественно, затрагивают уровень жизни широких слоёв населения. Так, с 1 апреля 1991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государственные пенсия и пособия уменьшились на 2,9 – 24,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="00EF70EE" w:rsidRPr="00EF70EE">
        <w:rPr>
          <w:color w:val="000000"/>
          <w:sz w:val="28"/>
        </w:rPr>
        <w:t xml:space="preserve">. </w:t>
      </w:r>
      <w:r w:rsidRPr="00EF70EE">
        <w:rPr>
          <w:color w:val="000000"/>
          <w:sz w:val="28"/>
        </w:rPr>
        <w:t>Доля заработной платы государственных служащих снизилась с 2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всех государственных затрат в 1980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до 1</w:t>
      </w:r>
      <w:r w:rsidR="00EF70EE" w:rsidRPr="00EF70EE">
        <w:rPr>
          <w:color w:val="000000"/>
          <w:sz w:val="28"/>
        </w:rPr>
        <w:t>0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1995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В итоге удалось сократить удельный вес государственных расходов в ВВП с 38,</w:t>
      </w:r>
      <w:r w:rsidR="00EF70EE" w:rsidRPr="00EF70EE">
        <w:rPr>
          <w:color w:val="000000"/>
          <w:sz w:val="28"/>
        </w:rPr>
        <w:t>3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1980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 3</w:t>
      </w:r>
      <w:r w:rsidR="00EF70EE" w:rsidRPr="00EF70EE">
        <w:rPr>
          <w:color w:val="000000"/>
          <w:sz w:val="28"/>
        </w:rPr>
        <w:t>2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1997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Проведя налоговую реформу, правительство снизило до 3</w:t>
      </w:r>
      <w:r w:rsidR="00EF70EE" w:rsidRPr="00EF70EE">
        <w:rPr>
          <w:color w:val="000000"/>
          <w:sz w:val="28"/>
        </w:rPr>
        <w:t>3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верхнюю планку подоходного налога (раннее он достигал 66, затем 4</w:t>
      </w:r>
      <w:r w:rsidR="00EF70EE" w:rsidRPr="00EF70EE">
        <w:rPr>
          <w:color w:val="000000"/>
          <w:sz w:val="28"/>
        </w:rPr>
        <w:t>3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),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повысив одновременно налог на добавленную стоимость. Удельный вес прямых налогов (на личные доходы и прибыль)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уменьшились с 6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всех бюджетных доходов в 1980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 6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1997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а косвенных (на продажу товаров и услуг) за тоже период возрос с 18 до 2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 Правительство добилось увеличения налоговых поступлений в казну (в 1980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они составляли 30,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1993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– 32,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ВВП). В результате бюджет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 1996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был закрыт с профицитом в 5,</w:t>
      </w:r>
      <w:r w:rsidR="00EF70EE" w:rsidRPr="00EF70EE">
        <w:rPr>
          <w:color w:val="000000"/>
          <w:sz w:val="28"/>
        </w:rPr>
        <w:t>2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ВВП, тогда как в 1980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его дефицит достигал 6,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ВВП. Правда, в дальнейшем таких крупных успехов уже не было. Но все же бюджет не дефицитен, причём планируется профицита в 0,</w:t>
      </w:r>
      <w:r w:rsidR="00EF70EE" w:rsidRPr="00EF70EE">
        <w:rPr>
          <w:color w:val="000000"/>
          <w:sz w:val="28"/>
        </w:rPr>
        <w:t>9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 в 2001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1,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– в 2002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2,2</w:t>
      </w:r>
      <w:r w:rsidR="00EF70EE">
        <w:rPr>
          <w:color w:val="000000"/>
          <w:sz w:val="28"/>
        </w:rPr>
        <w:t xml:space="preserve">% </w:t>
      </w:r>
      <w:r w:rsidRPr="00EF70EE">
        <w:rPr>
          <w:color w:val="000000"/>
          <w:sz w:val="28"/>
        </w:rPr>
        <w:t>и – в 2003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Последовательная финансовая политика позволила обуздать инфляцию. Среднегодовые темпы роста цен</w:t>
      </w:r>
      <w:r w:rsidR="00EF70EE">
        <w:rPr>
          <w:color w:val="000000"/>
          <w:sz w:val="28"/>
        </w:rPr>
        <w:t xml:space="preserve"> –</w:t>
      </w:r>
      <w:r w:rsidR="00EF70EE" w:rsidRP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дефлятор по ВВП – снизился с 0,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1980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 до 1,6 в 1990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Дефлятор ВВП характеризует общую экономическую ситуацию в стране, тогда как для населения более существенней снижение темпов роста цен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 xml:space="preserve">на потребительские товары и услуги, составляющие соответственно 11 и </w:t>
      </w:r>
      <w:r w:rsidR="00EF70EE" w:rsidRPr="00EF70EE">
        <w:rPr>
          <w:color w:val="000000"/>
          <w:sz w:val="28"/>
        </w:rPr>
        <w:t>2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</w:t>
      </w:r>
      <w:r w:rsidR="00EF70EE">
        <w:rPr>
          <w:color w:val="000000"/>
          <w:sz w:val="28"/>
        </w:rPr>
        <w:t>(</w:t>
      </w:r>
      <w:r w:rsidRPr="00EF70EE">
        <w:rPr>
          <w:color w:val="000000"/>
          <w:sz w:val="28"/>
        </w:rPr>
        <w:t>в том числе на продукты питания соответственно 9,9 и 1,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).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Жёсткая монитористская политика правительства не только в ограничении темпов роста денежной массы, сокращение расходов государственного сектора, но и в ставке процентов по банковским кредитам. Вообще-то кредит в Новой Зеландии дорог, ссудный процент достигал в 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9,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 Тем не меньше общая сумма кредитов, предоставляемых банками,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возросла с 8</w:t>
      </w:r>
      <w:r w:rsidR="00EF70EE" w:rsidRPr="00EF70EE">
        <w:rPr>
          <w:color w:val="000000"/>
          <w:sz w:val="28"/>
        </w:rPr>
        <w:t>0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 112,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 в 1997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Кредиты,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предоставленные частному сектору, возросли соответственно с 21,5 до 112,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ВВП, что отражает расширение сферы действия рыночных механизмов.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 xml:space="preserve">Спрэд – разница в процентных пунктах между ставкой процента по банковским кредитам и процентной ставкой, выплачиваемой банками по депозитам, 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составил в 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как и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 xml:space="preserve">. – 2,4 процентного пункта. Отметим, что в тех странах, где экономическое положение устойчиво и прогнозы на будущее благоприятны, спрэд обычно не велик. Так, например, в Норвегии он составлял 0,7 п.п., в Японии и Испании – 2,1, в Англии – 2,7. Наоборот, там, где экономическое положение меньше устойчиво и прогнозы экономической </w:t>
      </w:r>
      <w:r w:rsidR="00415ADE" w:rsidRPr="00EF70EE">
        <w:rPr>
          <w:color w:val="000000"/>
          <w:sz w:val="28"/>
        </w:rPr>
        <w:t>конъю</w:t>
      </w:r>
      <w:r w:rsidR="00415ADE">
        <w:rPr>
          <w:color w:val="000000"/>
          <w:sz w:val="28"/>
        </w:rPr>
        <w:t>н</w:t>
      </w:r>
      <w:r w:rsidR="00415ADE" w:rsidRPr="00EF70EE">
        <w:rPr>
          <w:color w:val="000000"/>
          <w:sz w:val="28"/>
        </w:rPr>
        <w:t>ктуры</w:t>
      </w:r>
      <w:r w:rsidRPr="00EF70EE">
        <w:rPr>
          <w:color w:val="000000"/>
          <w:sz w:val="28"/>
        </w:rPr>
        <w:t xml:space="preserve"> не очень благоприятны, размеры спрэда выше: в Бельгии, например, 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4,2, Италии – 4,7, в Германии – 6,1, а врос сии – даже 24,7 п.п. В сущности это отражает уровень доверия банка к своим должника к их возможности вовремя и полностью вернуть кредиты с установленными процентами.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Что же касается доверия потенциальных инвесторов в Новой Зеландии, то оно достаточно высоко. Сводный индекс рисков здесь – на март 2000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он составлял 80,3 – примерно такой же, как в других европейских странах: Франции – 80,3,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Германии – 83,3, Англии – 85,3. Однако по показателям кредитного рейтинга среди институциональных инвесторов Новой Зеландии уступает названным странам: 75,5 против соответственно 91,7</w:t>
      </w:r>
      <w:r w:rsidR="00415ADE">
        <w:rPr>
          <w:color w:val="000000"/>
          <w:sz w:val="28"/>
        </w:rPr>
        <w:t xml:space="preserve"> до</w:t>
      </w:r>
      <w:r w:rsidRPr="00EF70EE">
        <w:rPr>
          <w:color w:val="000000"/>
          <w:sz w:val="28"/>
        </w:rPr>
        <w:t xml:space="preserve"> 92,2; 91,9. Составляемый компонент «Стандарт энд Пурс» рейтинг доверия к облигациям внешнего долга также сравнительно высок, выше, скажем, чем у Италии, а к обязательствам внутреннего долга обозначается кодом ААА – знаком самого высокого доверия.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Хороший климат для иностранного капитала обусловил резкий рост доли прямых инвестиций из-за рубежа в общем объёме внутренних инвестиций в экономику страны – с 3,</w:t>
      </w:r>
      <w:r w:rsidR="00EF70EE" w:rsidRPr="00EF70EE">
        <w:rPr>
          <w:color w:val="000000"/>
          <w:sz w:val="28"/>
        </w:rPr>
        <w:t>9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1980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 19,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., безусловно,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свидетельствует о доверии к новозеландской финансовой политике со стороны иностранных кредиторов. Удельный вес инвестиций в ВВП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 указанный период возрос с 0,8 до 4,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, и поскольку это происходило в период значительного повышения темпов роста ВВП, можно продолжить, эффективность инвестиций, особенно иностранных, существенно возросла.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Последовательно жесткая финансовая политика правительства дала определённые позитивные результаты. Обычно ограничение денежной массы в обращении приводит к замедлению деловой активности. Новой Зеландии удалось пройти между Сциллой и Харибдой: с одной стороны, подавить инфляцию, с другой – обеспечить приемлемый рост ВВП: в 1980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 он составлял в среднем 1,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, в 1990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 – 2,</w:t>
      </w:r>
      <w:r w:rsidR="00EF70EE" w:rsidRPr="00EF70EE">
        <w:rPr>
          <w:color w:val="000000"/>
          <w:sz w:val="28"/>
        </w:rPr>
        <w:t>9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(в 2000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– 4,</w:t>
      </w:r>
      <w:r w:rsidR="00EF70EE" w:rsidRPr="00EF70EE">
        <w:rPr>
          <w:color w:val="000000"/>
          <w:sz w:val="28"/>
        </w:rPr>
        <w:t>6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),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Намерения на сокращение государственных расходов, социальные расходы оставались стабильными,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а их доля в общих бюджетных расходах даже увеличилась с 6</w:t>
      </w:r>
      <w:r w:rsidR="00EF70EE" w:rsidRPr="00EF70EE">
        <w:rPr>
          <w:color w:val="000000"/>
          <w:sz w:val="28"/>
        </w:rPr>
        <w:t>9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 7</w:t>
      </w:r>
      <w:r w:rsidR="00EF70EE" w:rsidRPr="00EF70EE">
        <w:rPr>
          <w:color w:val="000000"/>
          <w:sz w:val="28"/>
        </w:rPr>
        <w:t>1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В частности, удельный вес расходов на образование в ВВП вырос с 5,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1980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 7,</w:t>
      </w:r>
      <w:r w:rsidR="00EF70EE" w:rsidRPr="00EF70EE">
        <w:rPr>
          <w:color w:val="000000"/>
          <w:sz w:val="28"/>
        </w:rPr>
        <w:t>3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в1997 </w:t>
      </w:r>
      <w:r w:rsidR="00EF70EE" w:rsidRPr="00EF70EE">
        <w:rPr>
          <w:color w:val="000000"/>
          <w:sz w:val="28"/>
        </w:rPr>
        <w:t>г.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Расходы</w:t>
      </w:r>
      <w:r w:rsidRPr="00EF70EE">
        <w:rPr>
          <w:color w:val="000000"/>
          <w:sz w:val="28"/>
        </w:rPr>
        <w:t xml:space="preserve"> в расчёте на одного ученика начальной школы увеличились с 15 до 1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среднедушевого ВВП;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средней школы – с 14 до 2</w:t>
      </w:r>
      <w:r w:rsidR="00EF70EE" w:rsidRPr="00EF70EE">
        <w:rPr>
          <w:color w:val="000000"/>
          <w:sz w:val="28"/>
        </w:rPr>
        <w:t>4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; высшей снизились с 60 до 4</w:t>
      </w:r>
      <w:r w:rsidR="00EF70EE" w:rsidRPr="00EF70EE">
        <w:rPr>
          <w:color w:val="000000"/>
          <w:sz w:val="28"/>
        </w:rPr>
        <w:t>6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 Доступность высшего образования возросла более чем вдвое.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в высших учебных заведениях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занимались 2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, а в 1997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– 6</w:t>
      </w:r>
      <w:r w:rsidR="00EF70EE" w:rsidRPr="00EF70EE">
        <w:rPr>
          <w:color w:val="000000"/>
          <w:sz w:val="28"/>
        </w:rPr>
        <w:t>3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лиц соответствующей возрастной группы. Не удивительно, что процент людей с высшим образование в Новой Зеландии один из наиболее высоких среди стран ОЭСР. Доля лиц трудоспособного возраста, получивших университетское образование, увеличилась в период между переписями населения 1991 и 1996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 с 6,5 до 8,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Как уже отмечалось, нынешнее лейбристское правительство Новой Зеландии уделяет большое внимание проблемам социальной сферы. Оно отменило прежнее непопулярное (только 3</w:t>
      </w:r>
      <w:r w:rsidR="00EF70EE" w:rsidRPr="00EF70EE">
        <w:rPr>
          <w:color w:val="000000"/>
          <w:sz w:val="28"/>
        </w:rPr>
        <w:t>0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школ приняли его) положение, когда денежные фонды распределялись между школами с тем, чтобы они самостоятельно использовали их,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по-своему решению, в частности,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о размерах заработной платы педагогов и вернулось к прежней централизованной системе содержания учебных заведений.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В бюджете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на 2000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2001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 xml:space="preserve">. предусматривается 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-ный рост расходов на образование, включая домашнее обучение при невозможности посещать школу. Правительство оказывает прямую помощь учащимся из малообеспеченных семей. Чтобы расширить доступ к высшему образованию выходцам из беднейших слоёв, планируется увеличить ассигнования всем высшим учебным заведениям с тем, чтобы они не повышали плату за обучение в 2000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2000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была принята программа предоставления студентам ссуд на учёбу. В 1999 году было подсчитанною, что в целом студенческий долг вырос до 1,6 млрд. ам. Долл. Дабы облегчить его бремя, нынешнее правительство решило в 2000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уменьшить процентную ставку по ссуде для лиц, проходящих обучение.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Что касается здравоохранения, то расходы на него находятся примерно на том же уровне, что и расходы на образование: в 1990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 в среднем 7,</w:t>
      </w:r>
      <w:r w:rsidR="00EF70EE" w:rsidRPr="00EF70EE">
        <w:rPr>
          <w:color w:val="000000"/>
          <w:sz w:val="28"/>
        </w:rPr>
        <w:t>6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ВВП. Три четверти всех затрат на медицинское обслуживание населения берёт на себя государство. Это одна из главных статей бюджета, в 2000/01 г. на неё отводится 1</w:t>
      </w:r>
      <w:r w:rsidR="00EF70EE" w:rsidRPr="00EF70EE">
        <w:rPr>
          <w:color w:val="000000"/>
          <w:sz w:val="28"/>
        </w:rPr>
        <w:t>9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всех государственных расходов.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В сущности, правительство ограждает сферы образования и здравоохранения от негативных последствий проводимого им общего курса на снижение государственных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расходов. Даже в области пенсионного обеспечения оно не было столь беспощадным, как, к примеру, в России. Повысив пенсионный возрази с 60 до 65 лет, и заставив пенсионеров, получающих высокий доход, платить налоги. Правительство направило освобождающиеся средства на нужды малоимущих семей и лиц со средним достатком. Ожидая, например,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 xml:space="preserve">в связи с введением налога на добавленную стоимость повышения цен на 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, оно объявило об увеличении социальных выплат на те же 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Подняв государственную ренту на жильё до уровня частной и отказавшись от её субсидирования, правительство ввело для низкооплачиваемых систем ваучеров, которые можно использовать как в государственном, так и частном секторе. Социальная поддержка стала более адресной. Напротив, лица, получающие более высокие доходы, должны больше платить за образование и медицинскую помощь – не только по налоговым каналам, но и прямо.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Самым пагубным последствием реформ в Новой Зеландии стал невиданный раннее рост безработица, но и она обнаруживает тенденцию к сокращению. Если в 1998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безработные составляли 7,</w:t>
      </w:r>
      <w:r w:rsidR="00EF70EE" w:rsidRPr="00EF70EE">
        <w:rPr>
          <w:color w:val="000000"/>
          <w:sz w:val="28"/>
        </w:rPr>
        <w:t>5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всей рабочей силы, то в 1999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– 6,</w:t>
      </w:r>
      <w:r w:rsidR="00EF70EE" w:rsidRPr="00EF70EE">
        <w:rPr>
          <w:color w:val="000000"/>
          <w:sz w:val="28"/>
        </w:rPr>
        <w:t>8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</w:t>
      </w:r>
    </w:p>
    <w:p w:rsidR="00A45887" w:rsidRPr="00EF70EE" w:rsidRDefault="00415ADE" w:rsidP="00415AD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415ADE">
        <w:rPr>
          <w:b/>
          <w:color w:val="000000"/>
          <w:sz w:val="28"/>
        </w:rPr>
        <w:t>3.</w:t>
      </w:r>
      <w:r>
        <w:rPr>
          <w:color w:val="000000"/>
          <w:sz w:val="28"/>
        </w:rPr>
        <w:t xml:space="preserve"> </w:t>
      </w:r>
      <w:r w:rsidRPr="00EF70EE">
        <w:rPr>
          <w:b/>
          <w:color w:val="000000"/>
          <w:sz w:val="28"/>
        </w:rPr>
        <w:t>Экономические реформы Новой Зеландии</w:t>
      </w:r>
    </w:p>
    <w:p w:rsidR="00415ADE" w:rsidRDefault="00415ADE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Реформы в Новой Зеландии – один из наиболее ярких примеров преобразование финансовой политики за последнее десятилетие. Достигнутые этой страной результаты позволяют утверждать, что низкая инфляция и жёсткая бюджетно-финансовая политика сдерживают экономический рост и подтверждают вывод о том, что малые страны могут существенным образом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влиять на собственное экономическое развитие и не испытывать доминирующего влияния ведущих промышленно развитых государств.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Программа реформ в Новой Зеландии осуществлялась как во время нахождения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власти Национальной партии, так и при лейбористах. Основные преобразования при лейбористском правительстве свелись к следующим: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осуществлена постепенная отмена контроля над импортом;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проведено одностороннее снижение таможенных пошлин, частично в соответствии с соглашением о развитии экономических связей с Австралией;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прекращено государственное субсидирование сельского хозяйства и других отраслей;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свергнут контроль над заработной платой и ценами;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государство отказалось от вмешательства в процесс заключения отношений между работодателями и наёмной рабочей силой;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в правительственных структурах проведено разграничение торговых и политических функций, первые частично переданы в негосударственный сектор;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реформирована система налогообложения</w:t>
      </w:r>
      <w:r w:rsidRPr="00EF70EE">
        <w:rPr>
          <w:color w:val="000000"/>
          <w:sz w:val="28"/>
          <w:lang w:val="en-US"/>
        </w:rPr>
        <w:t>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осуществлён переход к плавающему курсу национальной валюты;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отмены ограничений на операции с иностранной валютой;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проведение либерализации финансовых рынков.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Правительство сформированное Национальной партией. Провело следующие реформы: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осуществлена почти полная либерализация рынка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рабочей силы;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существенно ограничены льготы по системе социального вспомоществления;</w:t>
      </w:r>
    </w:p>
    <w:p w:rsidR="00A45887" w:rsidRPr="00EF70EE" w:rsidRDefault="00A45887" w:rsidP="00EF70E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обеспечен открытый характер о государственных финансах.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В результате преобразований существенно укрепился положительный имидж страны в мировых финансово-политических кругах. В докладе о глобальной конкурентоспособности, представленном на всемирном экономическом форуме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 Давосе,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Новая Зеландия названа в тройке ведущих по конкурентоспособности государств, уступив только Сингапуру и Гонконгу. В рейтинге международного института развития управления в Лазании рассматриваемая страна по данному критерию заняла 11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е</w:t>
      </w:r>
      <w:r w:rsidRPr="00EF70EE">
        <w:rPr>
          <w:color w:val="000000"/>
          <w:sz w:val="28"/>
        </w:rPr>
        <w:t xml:space="preserve"> место.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Экономические показатели по Новой Зеландии демонстрируют положительные итоги её хозяйственного развития: прирост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ВВП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 1992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>1995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гг</w:t>
      </w:r>
      <w:r w:rsidRPr="00EF70EE">
        <w:rPr>
          <w:color w:val="000000"/>
          <w:sz w:val="28"/>
        </w:rPr>
        <w:t>. составил 3,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год, безработица сократилась с 11,</w:t>
      </w:r>
      <w:r w:rsidR="00EF70EE" w:rsidRPr="00EF70EE">
        <w:rPr>
          <w:color w:val="000000"/>
          <w:sz w:val="28"/>
        </w:rPr>
        <w:t>9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 xml:space="preserve"> в 1992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до 6,1</w:t>
      </w:r>
      <w:r w:rsidR="00EF70EE" w:rsidRPr="00EF70EE">
        <w:rPr>
          <w:color w:val="000000"/>
          <w:sz w:val="28"/>
        </w:rPr>
        <w:t xml:space="preserve">: </w:t>
      </w:r>
      <w:r w:rsidRPr="00EF70EE">
        <w:rPr>
          <w:color w:val="000000"/>
          <w:sz w:val="28"/>
        </w:rPr>
        <w:t>Высоким остаётся доход в расчёте на душу населения, хотя уровень заработной платы увеличивается медленно, что, впрочем, способствует сдерживанию среднегодовой инфляции. В последние три года бюджетные доходы превышают расходы.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Положение во внешней торговли Новой Зеландии. Высокий курс новозеландского доллара по отношению к ведущим валютам отрицательно сказывается на деятельности экспортеров. В этих условия дальнейшее сокращение положительного сальдо внешнеторгового баланса, приведёт, как ожидается, приведёт к сокращению дефицита платёжного баланса по текущим операциям, что, однако не вызовет серьёзных трудностей в национальной экономики, поскольку нетто-задолж</w:t>
      </w:r>
      <w:r w:rsidR="00415ADE">
        <w:rPr>
          <w:color w:val="000000"/>
          <w:sz w:val="28"/>
        </w:rPr>
        <w:t>ен</w:t>
      </w:r>
      <w:r w:rsidRPr="00EF70EE">
        <w:rPr>
          <w:color w:val="000000"/>
          <w:sz w:val="28"/>
        </w:rPr>
        <w:t>ность Новой Зеландии перед иностранными кредиторами полностью погашена.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Проблема для внешней торговли страны остаётся ориентация на ограниченный круг стран импортёров и доминирование в экспорте изделий низкой степени переработки. Правда, в 90</w:t>
      </w:r>
      <w:r w:rsidR="00EF70EE">
        <w:rPr>
          <w:color w:val="000000"/>
          <w:sz w:val="28"/>
        </w:rPr>
        <w:t>-</w:t>
      </w:r>
      <w:r w:rsidR="00EF70EE" w:rsidRPr="00EF70EE">
        <w:rPr>
          <w:color w:val="000000"/>
          <w:sz w:val="28"/>
        </w:rPr>
        <w:t>е</w:t>
      </w:r>
      <w:r w:rsidRPr="00EF70EE">
        <w:rPr>
          <w:color w:val="000000"/>
          <w:sz w:val="28"/>
        </w:rPr>
        <w:t xml:space="preserve"> годы наблюдается диверсификация географической структуры экспорта: доля Азии возраста до 2</w:t>
      </w:r>
      <w:r w:rsidR="00EF70EE" w:rsidRPr="00EF70EE">
        <w:rPr>
          <w:color w:val="000000"/>
          <w:sz w:val="28"/>
        </w:rPr>
        <w:t>4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, однако участие трёх ведущих импортёров (Австралия, Япония и США) остаётся высоким – 4</w:t>
      </w:r>
      <w:r w:rsidR="00EF70EE" w:rsidRPr="00EF70EE">
        <w:rPr>
          <w:color w:val="000000"/>
          <w:sz w:val="28"/>
        </w:rPr>
        <w:t>7</w:t>
      </w:r>
      <w:r w:rsidR="00EF70EE">
        <w:rPr>
          <w:color w:val="000000"/>
          <w:sz w:val="28"/>
        </w:rPr>
        <w:t>%</w:t>
      </w:r>
      <w:r w:rsidRPr="00EF70EE">
        <w:rPr>
          <w:color w:val="000000"/>
          <w:sz w:val="28"/>
        </w:rPr>
        <w:t>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415ADE" w:rsidP="00415ADE">
      <w:pPr>
        <w:spacing w:line="360" w:lineRule="auto"/>
        <w:ind w:firstLine="709"/>
        <w:jc w:val="both"/>
      </w:pPr>
      <w:r>
        <w:br w:type="page"/>
      </w:r>
      <w:r w:rsidRPr="00415ADE">
        <w:rPr>
          <w:b/>
          <w:sz w:val="28"/>
          <w:szCs w:val="28"/>
        </w:rPr>
        <w:t>Заключение</w:t>
      </w:r>
    </w:p>
    <w:p w:rsidR="00415ADE" w:rsidRDefault="00415ADE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Медленный или даже отрицательный экономический рост во время реформ, затем медленное восстановление, а далее – более быстрый рост – типичная, как считают многие экономисты, картина для большинства стран. Период реформ не может быть безболезненным для широких слоёв населения. Как правило, после финансового кризиса общество своим протестным голословием приводит к власти соперничающую партию. Так, на смену национальной партии в 1984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пришли лейбористы, в 1990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их сменили «националисты», в 1999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>. снова победили лейбористы. Опыт острых финансовых шоков в дальнейшем облегчал правительству проведение непопулярных, но необходимых реформ. Возможно, ещё рано подводить окончательные итоги. Тем не имение, как показывает практика Новой Зеландии, разумная, последовательная политика смягчает негативные последствия переломные моменты</w:t>
      </w:r>
      <w:r w:rsid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в экономическом и политическом развитии страны.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В целом большинство экономистов оценивают перспективы новозеландской экономики как исключительно благоприятные.</w:t>
      </w: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A45887" w:rsidP="00EF7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A45887" w:rsidRPr="00EF70EE" w:rsidRDefault="00415ADE" w:rsidP="00415ADE">
      <w:pPr>
        <w:spacing w:line="360" w:lineRule="auto"/>
        <w:ind w:firstLine="709"/>
        <w:jc w:val="both"/>
      </w:pPr>
      <w:r>
        <w:br w:type="page"/>
      </w:r>
      <w:r w:rsidRPr="00415ADE">
        <w:rPr>
          <w:b/>
          <w:sz w:val="28"/>
          <w:szCs w:val="28"/>
        </w:rPr>
        <w:t>Литература</w:t>
      </w:r>
    </w:p>
    <w:p w:rsidR="00A45887" w:rsidRPr="00EF70EE" w:rsidRDefault="00A45887" w:rsidP="00415ADE">
      <w:pPr>
        <w:spacing w:line="360" w:lineRule="auto"/>
        <w:jc w:val="both"/>
        <w:rPr>
          <w:color w:val="000000"/>
          <w:sz w:val="28"/>
        </w:rPr>
      </w:pPr>
    </w:p>
    <w:p w:rsidR="00A45887" w:rsidRPr="00EF70EE" w:rsidRDefault="00A45887" w:rsidP="00415ADE">
      <w:pPr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 xml:space="preserve">«Азия и Африка» – 1994 </w:t>
      </w:r>
      <w:r w:rsidR="00EF70EE">
        <w:rPr>
          <w:color w:val="000000"/>
          <w:sz w:val="28"/>
        </w:rPr>
        <w:t>№</w:t>
      </w:r>
      <w:r w:rsidR="00EF70EE" w:rsidRPr="00EF70EE">
        <w:rPr>
          <w:color w:val="000000"/>
          <w:sz w:val="28"/>
        </w:rPr>
        <w:t>1</w:t>
      </w:r>
      <w:r w:rsidRPr="00EF70EE">
        <w:rPr>
          <w:color w:val="000000"/>
          <w:sz w:val="28"/>
        </w:rPr>
        <w:t xml:space="preserve"> стр.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3</w:t>
      </w:r>
      <w:r w:rsidRPr="00EF70EE">
        <w:rPr>
          <w:color w:val="000000"/>
          <w:sz w:val="28"/>
        </w:rPr>
        <w:t xml:space="preserve">6 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39</w:t>
      </w:r>
    </w:p>
    <w:p w:rsidR="00A45887" w:rsidRPr="00EF70EE" w:rsidRDefault="00A45887" w:rsidP="00415ADE">
      <w:pPr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«Бики» 1996 – 12 ноября стр.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0</w:t>
      </w:r>
      <w:r w:rsidRPr="00EF70EE">
        <w:rPr>
          <w:color w:val="000000"/>
          <w:sz w:val="28"/>
        </w:rPr>
        <w:t>5</w:t>
      </w:r>
    </w:p>
    <w:p w:rsidR="00A45887" w:rsidRPr="00EF70EE" w:rsidRDefault="00A45887" w:rsidP="00415ADE">
      <w:pPr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«Комерсант Власти» приложение – 2000 28 марта стр.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5</w:t>
      </w:r>
      <w:r w:rsidRPr="00EF70EE">
        <w:rPr>
          <w:color w:val="000000"/>
          <w:sz w:val="28"/>
        </w:rPr>
        <w:t>6 – 62</w:t>
      </w:r>
    </w:p>
    <w:p w:rsidR="00A45887" w:rsidRPr="00EF70EE" w:rsidRDefault="00A45887" w:rsidP="00415ADE">
      <w:pPr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  <w:sz w:val="28"/>
        </w:rPr>
      </w:pPr>
      <w:r w:rsidRPr="00EF70EE">
        <w:rPr>
          <w:color w:val="000000"/>
          <w:sz w:val="28"/>
        </w:rPr>
        <w:t>«Мировая Экономика и международные отношения» 2002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г</w:t>
      </w:r>
      <w:r w:rsidRPr="00EF70EE">
        <w:rPr>
          <w:color w:val="000000"/>
          <w:sz w:val="28"/>
        </w:rPr>
        <w:t xml:space="preserve">. </w:t>
      </w:r>
      <w:r w:rsidR="00EF70EE">
        <w:rPr>
          <w:color w:val="000000"/>
          <w:sz w:val="28"/>
        </w:rPr>
        <w:t>№</w:t>
      </w:r>
      <w:r w:rsidR="00EF70EE" w:rsidRPr="00EF70EE">
        <w:rPr>
          <w:color w:val="000000"/>
          <w:sz w:val="28"/>
        </w:rPr>
        <w:t>4</w:t>
      </w:r>
      <w:r w:rsidRPr="00EF70EE">
        <w:rPr>
          <w:color w:val="000000"/>
          <w:sz w:val="28"/>
        </w:rPr>
        <w:t xml:space="preserve"> стр.</w:t>
      </w:r>
      <w:r w:rsidR="00EF70EE">
        <w:rPr>
          <w:color w:val="000000"/>
          <w:sz w:val="28"/>
        </w:rPr>
        <w:t> </w:t>
      </w:r>
      <w:r w:rsidR="00EF70EE" w:rsidRPr="00EF70EE">
        <w:rPr>
          <w:color w:val="000000"/>
          <w:sz w:val="28"/>
        </w:rPr>
        <w:t>8</w:t>
      </w:r>
      <w:r w:rsidRPr="00EF70EE">
        <w:rPr>
          <w:color w:val="000000"/>
          <w:sz w:val="28"/>
        </w:rPr>
        <w:t xml:space="preserve">7 </w:t>
      </w:r>
      <w:r w:rsidR="00EF70EE">
        <w:rPr>
          <w:color w:val="000000"/>
          <w:sz w:val="28"/>
        </w:rPr>
        <w:t>–</w:t>
      </w:r>
      <w:r w:rsidR="00EF70EE" w:rsidRPr="00EF70EE">
        <w:rPr>
          <w:color w:val="000000"/>
          <w:sz w:val="28"/>
        </w:rPr>
        <w:t xml:space="preserve"> </w:t>
      </w:r>
      <w:r w:rsidRPr="00EF70EE">
        <w:rPr>
          <w:color w:val="000000"/>
          <w:sz w:val="28"/>
        </w:rPr>
        <w:t>90</w:t>
      </w:r>
      <w:bookmarkStart w:id="0" w:name="_GoBack"/>
      <w:bookmarkEnd w:id="0"/>
    </w:p>
    <w:sectPr w:rsidR="00A45887" w:rsidRPr="00EF70EE" w:rsidSect="00EF70EE">
      <w:headerReference w:type="even" r:id="rId7"/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75" w:rsidRDefault="00FF6075">
      <w:r>
        <w:separator/>
      </w:r>
    </w:p>
  </w:endnote>
  <w:endnote w:type="continuationSeparator" w:id="0">
    <w:p w:rsidR="00FF6075" w:rsidRDefault="00FF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75" w:rsidRDefault="00FF6075">
      <w:r>
        <w:separator/>
      </w:r>
    </w:p>
  </w:footnote>
  <w:footnote w:type="continuationSeparator" w:id="0">
    <w:p w:rsidR="00FF6075" w:rsidRDefault="00FF6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87" w:rsidRDefault="00A45887">
    <w:pPr>
      <w:pStyle w:val="a7"/>
      <w:framePr w:wrap="around" w:vAnchor="text" w:hAnchor="margin" w:xAlign="center" w:y="1"/>
      <w:rPr>
        <w:rStyle w:val="a9"/>
      </w:rPr>
    </w:pPr>
  </w:p>
  <w:p w:rsidR="00A45887" w:rsidRDefault="00A458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87" w:rsidRDefault="0069678B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A45887" w:rsidRDefault="00A458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6CF4"/>
    <w:multiLevelType w:val="singleLevel"/>
    <w:tmpl w:val="3D7C1FF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9CD297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0A94123E"/>
    <w:multiLevelType w:val="singleLevel"/>
    <w:tmpl w:val="210AEE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1F2B7B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D2944D7"/>
    <w:multiLevelType w:val="singleLevel"/>
    <w:tmpl w:val="75AA7F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378245E2"/>
    <w:multiLevelType w:val="singleLevel"/>
    <w:tmpl w:val="6E76FFD8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8"/>
      </w:rPr>
    </w:lvl>
  </w:abstractNum>
  <w:abstractNum w:abstractNumId="6">
    <w:nsid w:val="5AC44DB7"/>
    <w:multiLevelType w:val="singleLevel"/>
    <w:tmpl w:val="514668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60B96B6D"/>
    <w:multiLevelType w:val="singleLevel"/>
    <w:tmpl w:val="13924C0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5515A7"/>
    <w:multiLevelType w:val="singleLevel"/>
    <w:tmpl w:val="BFAA555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A31"/>
    <w:rsid w:val="00415ADE"/>
    <w:rsid w:val="004D4838"/>
    <w:rsid w:val="0069678B"/>
    <w:rsid w:val="00A45887"/>
    <w:rsid w:val="00AD1FEA"/>
    <w:rsid w:val="00EF70EE"/>
    <w:rsid w:val="00F50A31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401EBB-9579-405C-8676-C9AD02B5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360" w:lineRule="auto"/>
      <w:ind w:left="720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line="360" w:lineRule="auto"/>
      <w:ind w:firstLine="720"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semiHidden/>
    <w:pPr>
      <w:spacing w:line="360" w:lineRule="auto"/>
      <w:jc w:val="both"/>
    </w:pPr>
    <w:rPr>
      <w:sz w:val="24"/>
    </w:rPr>
  </w:style>
  <w:style w:type="character" w:customStyle="1" w:styleId="a4">
    <w:name w:val="Основний текст Знак"/>
    <w:link w:val="a3"/>
    <w:uiPriority w:val="99"/>
    <w:semiHidden/>
    <w:rPr>
      <w:sz w:val="20"/>
      <w:szCs w:val="20"/>
    </w:rPr>
  </w:style>
  <w:style w:type="paragraph" w:styleId="a5">
    <w:name w:val="Body Text Indent"/>
    <w:basedOn w:val="a"/>
    <w:link w:val="a6"/>
    <w:uiPriority w:val="99"/>
    <w:semiHidden/>
    <w:pPr>
      <w:spacing w:line="360" w:lineRule="auto"/>
      <w:ind w:left="720"/>
      <w:jc w:val="both"/>
    </w:pPr>
    <w:rPr>
      <w:sz w:val="24"/>
    </w:rPr>
  </w:style>
  <w:style w:type="character" w:customStyle="1" w:styleId="a6">
    <w:name w:val="Основний текст з відступом Знак"/>
    <w:link w:val="a5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4"/>
    </w:rPr>
  </w:style>
  <w:style w:type="character" w:customStyle="1" w:styleId="22">
    <w:name w:val="Основний текст 2 Знак"/>
    <w:link w:val="21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профессионального образования Российской Федерации</vt:lpstr>
    </vt:vector>
  </TitlesOfParts>
  <Company>gni</Company>
  <LinksUpToDate>false</LinksUpToDate>
  <CharactersWithSpaces>23025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профессионального образования Российской Федерации</dc:title>
  <dc:subject/>
  <dc:creator>DenisV</dc:creator>
  <cp:keywords/>
  <dc:description/>
  <cp:lastModifiedBy>Irina</cp:lastModifiedBy>
  <cp:revision>2</cp:revision>
  <cp:lastPrinted>2002-10-23T16:03:00Z</cp:lastPrinted>
  <dcterms:created xsi:type="dcterms:W3CDTF">2014-09-12T06:04:00Z</dcterms:created>
  <dcterms:modified xsi:type="dcterms:W3CDTF">2014-09-12T06:04:00Z</dcterms:modified>
</cp:coreProperties>
</file>