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CD" w:rsidRPr="006C7DCD" w:rsidRDefault="006C7DCD" w:rsidP="006C7DCD">
      <w:pPr>
        <w:spacing w:line="360" w:lineRule="auto"/>
        <w:ind w:firstLine="709"/>
        <w:jc w:val="center"/>
        <w:rPr>
          <w:sz w:val="28"/>
          <w:szCs w:val="28"/>
        </w:rPr>
      </w:pPr>
    </w:p>
    <w:p w:rsidR="006C7DCD" w:rsidRPr="006C7DCD" w:rsidRDefault="006C7DCD" w:rsidP="006C7DCD">
      <w:pPr>
        <w:spacing w:line="360" w:lineRule="auto"/>
        <w:ind w:firstLine="709"/>
        <w:jc w:val="center"/>
        <w:rPr>
          <w:sz w:val="28"/>
          <w:szCs w:val="28"/>
        </w:rPr>
      </w:pPr>
    </w:p>
    <w:p w:rsidR="006C7DCD" w:rsidRPr="006C7DCD" w:rsidRDefault="006C7DCD" w:rsidP="006C7DCD">
      <w:pPr>
        <w:spacing w:line="360" w:lineRule="auto"/>
        <w:ind w:firstLine="709"/>
        <w:jc w:val="center"/>
        <w:rPr>
          <w:sz w:val="28"/>
          <w:szCs w:val="28"/>
        </w:rPr>
      </w:pPr>
    </w:p>
    <w:p w:rsidR="006C7DCD" w:rsidRPr="006C7DCD" w:rsidRDefault="006C7DCD" w:rsidP="006C7DCD">
      <w:pPr>
        <w:spacing w:line="360" w:lineRule="auto"/>
        <w:ind w:firstLine="709"/>
        <w:jc w:val="center"/>
        <w:rPr>
          <w:sz w:val="28"/>
          <w:szCs w:val="28"/>
        </w:rPr>
      </w:pPr>
    </w:p>
    <w:p w:rsidR="006C7DCD" w:rsidRPr="006C7DCD" w:rsidRDefault="006C7DCD" w:rsidP="006C7DCD">
      <w:pPr>
        <w:spacing w:line="360" w:lineRule="auto"/>
        <w:ind w:firstLine="709"/>
        <w:jc w:val="center"/>
        <w:rPr>
          <w:sz w:val="28"/>
          <w:szCs w:val="28"/>
        </w:rPr>
      </w:pPr>
    </w:p>
    <w:p w:rsidR="006C7DCD" w:rsidRPr="006C7DCD" w:rsidRDefault="006C7DCD" w:rsidP="006C7DCD">
      <w:pPr>
        <w:spacing w:line="360" w:lineRule="auto"/>
        <w:ind w:firstLine="709"/>
        <w:jc w:val="center"/>
        <w:rPr>
          <w:sz w:val="28"/>
          <w:szCs w:val="28"/>
        </w:rPr>
      </w:pPr>
    </w:p>
    <w:p w:rsidR="006C7DCD" w:rsidRPr="006C7DCD" w:rsidRDefault="006C7DCD" w:rsidP="006C7DCD">
      <w:pPr>
        <w:spacing w:line="360" w:lineRule="auto"/>
        <w:ind w:firstLine="709"/>
        <w:jc w:val="center"/>
        <w:rPr>
          <w:sz w:val="28"/>
          <w:szCs w:val="28"/>
        </w:rPr>
      </w:pPr>
    </w:p>
    <w:p w:rsidR="006C7DCD" w:rsidRPr="006C7DCD" w:rsidRDefault="006C7DCD" w:rsidP="006C7DCD">
      <w:pPr>
        <w:spacing w:line="360" w:lineRule="auto"/>
        <w:ind w:firstLine="709"/>
        <w:jc w:val="center"/>
        <w:rPr>
          <w:sz w:val="28"/>
          <w:szCs w:val="28"/>
        </w:rPr>
      </w:pPr>
    </w:p>
    <w:p w:rsidR="006C7DCD" w:rsidRPr="006C7B2F" w:rsidRDefault="00ED6F11" w:rsidP="006C7DCD">
      <w:pPr>
        <w:spacing w:line="360" w:lineRule="auto"/>
        <w:ind w:firstLine="709"/>
        <w:jc w:val="center"/>
        <w:rPr>
          <w:sz w:val="28"/>
          <w:szCs w:val="28"/>
        </w:rPr>
      </w:pPr>
      <w:r w:rsidRPr="006C7B2F">
        <w:rPr>
          <w:sz w:val="28"/>
          <w:szCs w:val="28"/>
        </w:rPr>
        <w:t>Контрольна р</w:t>
      </w:r>
      <w:r w:rsidR="006C7B2F">
        <w:rPr>
          <w:sz w:val="28"/>
          <w:szCs w:val="28"/>
          <w:lang w:val="ru-RU"/>
        </w:rPr>
        <w:t>о</w:t>
      </w:r>
      <w:r w:rsidRPr="006C7B2F">
        <w:rPr>
          <w:sz w:val="28"/>
          <w:szCs w:val="28"/>
        </w:rPr>
        <w:t>бота</w:t>
      </w:r>
    </w:p>
    <w:p w:rsidR="006C7DCD" w:rsidRPr="006C7DCD" w:rsidRDefault="00CE0390" w:rsidP="006C7DCD">
      <w:pPr>
        <w:spacing w:line="360" w:lineRule="auto"/>
        <w:ind w:firstLine="709"/>
        <w:jc w:val="center"/>
        <w:rPr>
          <w:sz w:val="28"/>
          <w:szCs w:val="28"/>
        </w:rPr>
      </w:pPr>
      <w:r w:rsidRPr="006C7DCD">
        <w:rPr>
          <w:sz w:val="28"/>
          <w:szCs w:val="28"/>
        </w:rPr>
        <w:t>Аналіз інвестиційних проектів</w:t>
      </w:r>
    </w:p>
    <w:p w:rsidR="00AD74D9" w:rsidRPr="006C7DCD" w:rsidRDefault="006C7DCD" w:rsidP="006C7D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C7DCD">
        <w:rPr>
          <w:sz w:val="28"/>
          <w:szCs w:val="28"/>
        </w:rPr>
        <w:br w:type="page"/>
      </w:r>
      <w:r w:rsidR="00AD74D9" w:rsidRPr="006C7DCD">
        <w:rPr>
          <w:b/>
          <w:sz w:val="28"/>
          <w:szCs w:val="28"/>
        </w:rPr>
        <w:t>Зміст</w:t>
      </w:r>
    </w:p>
    <w:p w:rsidR="00AD74D9" w:rsidRPr="006C7DCD" w:rsidRDefault="00AD74D9" w:rsidP="006C7DCD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FB4636" w:rsidRPr="006C7DCD" w:rsidRDefault="00FB4636" w:rsidP="006C7DCD">
      <w:pPr>
        <w:spacing w:line="360" w:lineRule="auto"/>
        <w:rPr>
          <w:caps/>
          <w:noProof/>
          <w:sz w:val="28"/>
          <w:szCs w:val="28"/>
        </w:rPr>
      </w:pPr>
      <w:r w:rsidRPr="006C7DCD">
        <w:rPr>
          <w:noProof/>
          <w:sz w:val="28"/>
          <w:szCs w:val="28"/>
        </w:rPr>
        <w:t xml:space="preserve">1. </w:t>
      </w:r>
      <w:r w:rsidR="006C7DCD" w:rsidRPr="006C7DCD">
        <w:rPr>
          <w:noProof/>
          <w:sz w:val="28"/>
          <w:szCs w:val="28"/>
        </w:rPr>
        <w:t>О</w:t>
      </w:r>
      <w:r w:rsidRPr="006C7DCD">
        <w:rPr>
          <w:noProof/>
          <w:sz w:val="28"/>
          <w:szCs w:val="28"/>
        </w:rPr>
        <w:t>цінка технічних і технологічних рішень проекту</w:t>
      </w:r>
    </w:p>
    <w:p w:rsidR="00FB4636" w:rsidRPr="006C7DCD" w:rsidRDefault="00FB4636" w:rsidP="006C7DCD">
      <w:pPr>
        <w:spacing w:line="360" w:lineRule="auto"/>
        <w:rPr>
          <w:caps/>
          <w:noProof/>
          <w:sz w:val="28"/>
          <w:szCs w:val="28"/>
        </w:rPr>
      </w:pPr>
      <w:r w:rsidRPr="006C7DCD">
        <w:rPr>
          <w:noProof/>
          <w:sz w:val="28"/>
          <w:szCs w:val="28"/>
        </w:rPr>
        <w:t>2. Порядок проведення експертизи проекту</w:t>
      </w:r>
    </w:p>
    <w:p w:rsidR="00FB4636" w:rsidRPr="006C7DCD" w:rsidRDefault="006C7DCD" w:rsidP="006C7DCD">
      <w:pPr>
        <w:spacing w:line="360" w:lineRule="auto"/>
        <w:rPr>
          <w:caps/>
          <w:noProof/>
          <w:sz w:val="28"/>
          <w:szCs w:val="28"/>
        </w:rPr>
      </w:pPr>
      <w:r w:rsidRPr="006C7DCD">
        <w:rPr>
          <w:noProof/>
          <w:sz w:val="28"/>
          <w:szCs w:val="28"/>
        </w:rPr>
        <w:t>З</w:t>
      </w:r>
      <w:r w:rsidR="00FB4636" w:rsidRPr="006C7DCD">
        <w:rPr>
          <w:noProof/>
          <w:sz w:val="28"/>
          <w:szCs w:val="28"/>
        </w:rPr>
        <w:t>адача</w:t>
      </w:r>
    </w:p>
    <w:p w:rsidR="00FB4636" w:rsidRPr="006C7DCD" w:rsidRDefault="00FB4636" w:rsidP="006C7DCD">
      <w:pPr>
        <w:spacing w:line="360" w:lineRule="auto"/>
        <w:rPr>
          <w:caps/>
          <w:noProof/>
          <w:sz w:val="28"/>
          <w:szCs w:val="28"/>
        </w:rPr>
      </w:pPr>
      <w:r w:rsidRPr="006C7DCD">
        <w:rPr>
          <w:noProof/>
          <w:sz w:val="28"/>
          <w:szCs w:val="28"/>
        </w:rPr>
        <w:t>Л</w:t>
      </w:r>
      <w:r w:rsidR="006C7DCD" w:rsidRPr="006C7DCD">
        <w:rPr>
          <w:noProof/>
          <w:sz w:val="28"/>
          <w:szCs w:val="28"/>
        </w:rPr>
        <w:t>ітература</w:t>
      </w:r>
    </w:p>
    <w:p w:rsidR="006C7DCD" w:rsidRPr="006C7DCD" w:rsidRDefault="006C7DCD" w:rsidP="006C7DCD">
      <w:pPr>
        <w:spacing w:line="360" w:lineRule="auto"/>
        <w:rPr>
          <w:sz w:val="28"/>
          <w:szCs w:val="28"/>
        </w:rPr>
      </w:pPr>
    </w:p>
    <w:p w:rsidR="00AD74D9" w:rsidRPr="006C7DCD" w:rsidRDefault="00AD74D9" w:rsidP="006C7D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C7DCD">
        <w:rPr>
          <w:sz w:val="28"/>
          <w:szCs w:val="28"/>
        </w:rPr>
        <w:br w:type="page"/>
      </w:r>
      <w:bookmarkStart w:id="0" w:name="_Toc197854888"/>
      <w:r w:rsidRPr="006C7DCD">
        <w:rPr>
          <w:b/>
          <w:sz w:val="28"/>
          <w:szCs w:val="28"/>
        </w:rPr>
        <w:t xml:space="preserve">1. </w:t>
      </w:r>
      <w:r w:rsidR="00ED6F11">
        <w:rPr>
          <w:b/>
          <w:sz w:val="28"/>
          <w:szCs w:val="28"/>
          <w:lang w:val="ru-RU"/>
        </w:rPr>
        <w:t>О</w:t>
      </w:r>
      <w:r w:rsidR="006D103B" w:rsidRPr="006C7DCD">
        <w:rPr>
          <w:b/>
          <w:sz w:val="28"/>
          <w:szCs w:val="28"/>
        </w:rPr>
        <w:t>цінка технічних і технологічних рішень проекту</w:t>
      </w:r>
      <w:bookmarkEnd w:id="0"/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Успішність реалізації проекту багато в чому залежить від якості його технічних та технологічних рішень і проведення відповідних інжинірингових заходів. Створення продукту проекту, технології його виробництва, а також будівельні та монтажні роботи можуть бути різноманітними, як за ціною, так і за якістю виконання. Вибір і оцінка технічних рішень становлять технічний аналіз проекту.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Технічний аналіз спрямований на вирішення таких питань: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вибір місця розташування підприємства і допоміжних виробництв;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масштаб і терміни здійснення проекту;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вибір технологічного процесу;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здійснення інжинірингових заходів;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графік реалізації проекту і схема підприємства;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оцінка інвестиційних та операційних витрат;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відповідність стандартам і нормам;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питання матеріально-технічного постачання;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склад технічної інфраструктури;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умови експлуатації устаткування.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Технічний аналіз хоч і не є об'єктом економічних досліджень, проте від правильного вибору технічних рішень проекту багато в чому залежать як вартісні параметри здійснення проекту, так і розмір грошових потоків від його використання.</w:t>
      </w:r>
    </w:p>
    <w:p w:rsidR="003B1A0E" w:rsidRPr="006C7DCD" w:rsidRDefault="003B1A0E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Основним завданням економіста є правильно оцінити цінність і ефективність технічних рішень проекту.</w:t>
      </w:r>
    </w:p>
    <w:p w:rsidR="00CD43E2" w:rsidRPr="006C7DCD" w:rsidRDefault="00CD43E2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Аналіз аспектів, що характеризують виробництво, повинен оцінити:</w:t>
      </w:r>
    </w:p>
    <w:p w:rsidR="00CD43E2" w:rsidRPr="006C7DCD" w:rsidRDefault="00CD43E2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технологічність продукту;</w:t>
      </w:r>
    </w:p>
    <w:p w:rsidR="00CD43E2" w:rsidRPr="006C7DCD" w:rsidRDefault="00CD43E2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складність підготовки виробництва;</w:t>
      </w:r>
    </w:p>
    <w:p w:rsidR="00CD43E2" w:rsidRPr="006C7DCD" w:rsidRDefault="00CD43E2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технологічне обладнання;</w:t>
      </w:r>
    </w:p>
    <w:p w:rsidR="00CD43E2" w:rsidRPr="006C7DCD" w:rsidRDefault="00CD43E2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наявність сировини, матеріалів, електроенергії для початку серійного виробництва;</w:t>
      </w:r>
    </w:p>
    <w:p w:rsidR="00CD43E2" w:rsidRPr="006C7DCD" w:rsidRDefault="00CD43E2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наявність виробничої кооперації;</w:t>
      </w:r>
    </w:p>
    <w:p w:rsidR="00CD43E2" w:rsidRPr="006C7DCD" w:rsidRDefault="00CD43E2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відповідність кваліфікації персоналу вимогам проекту;</w:t>
      </w:r>
    </w:p>
    <w:p w:rsidR="0045425D" w:rsidRPr="006C7DCD" w:rsidRDefault="00CD43E2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необхідність сервісного обслуговування.</w:t>
      </w:r>
    </w:p>
    <w:p w:rsidR="0045425D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Незалежна експертиза також проводиться аналітичним відділом інвестора, вона включає проведення наступних видів робіт:</w:t>
      </w:r>
    </w:p>
    <w:p w:rsidR="0045425D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1) фінансово-економічного аналізу проекту ( експертизі підлягає фінансова частина інвестиційного проекту);</w:t>
      </w:r>
    </w:p>
    <w:p w:rsidR="0045425D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2) технологічної експертизи (аналіз ТЕО проекту);</w:t>
      </w:r>
    </w:p>
    <w:p w:rsidR="0045425D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3) оцінку соціально-економічної ефективності проекту;</w:t>
      </w:r>
    </w:p>
    <w:p w:rsidR="0045425D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4) оцінку комерційної ефективності проекту; </w:t>
      </w:r>
    </w:p>
    <w:p w:rsidR="00CD43E2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Технологічна експертиза передбачає аналіз структури та рівня постійних та змінних витрат у співставленні з аналогічними підприємствами, оцінку ефективності формування виробничих запасів, оцінку раціональності використання технологічного потенціалу підприємства, оцінку контролю якості.</w:t>
      </w:r>
    </w:p>
    <w:p w:rsidR="0045425D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Технічно-економічне обґрунтування (ТЕО) – це комплект розрахунково –аналітичних документів, що містять як вихідні дані, так і основні технічні та організаційні рішення, розрахунково - кошторисні, оціночні та інші показники, що дозволяють розглядати доцільність та ефективність інвестиційного проекту.</w:t>
      </w:r>
    </w:p>
    <w:p w:rsidR="0045425D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ТЕО</w:t>
      </w:r>
      <w:r w:rsidR="006C7DCD">
        <w:rPr>
          <w:sz w:val="28"/>
          <w:szCs w:val="28"/>
        </w:rPr>
        <w:t xml:space="preserve"> </w:t>
      </w:r>
      <w:r w:rsidRPr="006C7DCD">
        <w:rPr>
          <w:sz w:val="28"/>
          <w:szCs w:val="28"/>
        </w:rPr>
        <w:t>інвестиційного проекту має, як правило, таку структуру:</w:t>
      </w:r>
    </w:p>
    <w:p w:rsidR="0045425D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1. Резюме дослідження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Головний розділ документу, що визначає подальший інтерес інвестора до проекту в цілому. Містить короткі та лаконічно викладені висновки і рекомендації відносно всіх основних аспектів дослідження. 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2. Історія виникнення та основна ідея проекту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При складанні цього розділу основним завданням є виклик</w:t>
      </w:r>
      <w:r w:rsidR="006C7DCD">
        <w:rPr>
          <w:sz w:val="28"/>
          <w:szCs w:val="28"/>
        </w:rPr>
        <w:t xml:space="preserve"> </w:t>
      </w:r>
      <w:r w:rsidRPr="006C7DCD">
        <w:rPr>
          <w:sz w:val="28"/>
          <w:szCs w:val="28"/>
        </w:rPr>
        <w:t xml:space="preserve">зацікавленості інвестора до проекту. Тут </w:t>
      </w:r>
      <w:r w:rsidR="004E1D94" w:rsidRPr="006C7DCD">
        <w:rPr>
          <w:sz w:val="28"/>
          <w:szCs w:val="28"/>
        </w:rPr>
        <w:t>д</w:t>
      </w:r>
      <w:r w:rsidRPr="006C7DCD">
        <w:rPr>
          <w:sz w:val="28"/>
          <w:szCs w:val="28"/>
        </w:rPr>
        <w:t>етально викладає</w:t>
      </w:r>
      <w:r w:rsidR="004E1D94" w:rsidRPr="006C7DCD">
        <w:rPr>
          <w:sz w:val="28"/>
          <w:szCs w:val="28"/>
        </w:rPr>
        <w:t>ться</w:t>
      </w:r>
      <w:r w:rsidRPr="006C7DCD">
        <w:rPr>
          <w:sz w:val="28"/>
          <w:szCs w:val="28"/>
        </w:rPr>
        <w:t xml:space="preserve"> суть, історі</w:t>
      </w:r>
      <w:r w:rsidR="004E1D94" w:rsidRPr="006C7DCD">
        <w:rPr>
          <w:sz w:val="28"/>
          <w:szCs w:val="28"/>
        </w:rPr>
        <w:t>я</w:t>
      </w:r>
      <w:r w:rsidRPr="006C7DCD">
        <w:rPr>
          <w:sz w:val="28"/>
          <w:szCs w:val="28"/>
        </w:rPr>
        <w:t xml:space="preserve"> виникнення проекту, та детальн</w:t>
      </w:r>
      <w:r w:rsidR="004E1D94" w:rsidRPr="006C7DCD">
        <w:rPr>
          <w:sz w:val="28"/>
          <w:szCs w:val="28"/>
        </w:rPr>
        <w:t>а</w:t>
      </w:r>
      <w:r w:rsidRPr="006C7DCD">
        <w:rPr>
          <w:sz w:val="28"/>
          <w:szCs w:val="28"/>
        </w:rPr>
        <w:t xml:space="preserve"> інформаці</w:t>
      </w:r>
      <w:r w:rsidR="004E1D94" w:rsidRPr="006C7DCD">
        <w:rPr>
          <w:sz w:val="28"/>
          <w:szCs w:val="28"/>
        </w:rPr>
        <w:t>я</w:t>
      </w:r>
      <w:r w:rsidRPr="006C7DCD">
        <w:rPr>
          <w:sz w:val="28"/>
          <w:szCs w:val="28"/>
        </w:rPr>
        <w:t xml:space="preserve"> стосовно ініціатора проекту, його досвід реалізації аналогічних проектів.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3. Аналіз ринку та стратегія маркетингу</w:t>
      </w:r>
    </w:p>
    <w:p w:rsidR="004E1D94" w:rsidRPr="006C7DCD" w:rsidRDefault="004E1D9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Ц</w:t>
      </w:r>
      <w:r w:rsidR="0045425D" w:rsidRPr="006C7DCD">
        <w:rPr>
          <w:sz w:val="28"/>
          <w:szCs w:val="28"/>
        </w:rPr>
        <w:t xml:space="preserve">я частина роботи є одним із найголовніших етапів інвестиційного проектування, оскільки дає інвестору уяву про маркетингове оточення об’єкта інвестування, його динаміку, рівень конкуренції та основних користувачів, можливість реалізації проекту в існуючих ринкових умовах. 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4. Сировина та матеріали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З цього розділу починається деталізація окремих аспектів досліджуваного проекту. </w:t>
      </w:r>
    </w:p>
    <w:p w:rsidR="004E1D94" w:rsidRPr="006C7DCD" w:rsidRDefault="004E1D9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Наводяться</w:t>
      </w:r>
      <w:r w:rsidR="0045425D" w:rsidRPr="006C7DCD">
        <w:rPr>
          <w:sz w:val="28"/>
          <w:szCs w:val="28"/>
        </w:rPr>
        <w:t xml:space="preserve"> результати детального аналізу сировини та матеріалів, необхідних для реалізації проекту, вивчення їх основних постачальників, динаміки їх вартості за останній рік, виявлення основних чинників, які викликали ці зміни. Результатом цієї праці є калькуляція витрат на матеріальні ресурси з зазначенням потреби в них.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5. Місце здійснення, будівельна та екологічна оцінка</w:t>
      </w:r>
    </w:p>
    <w:p w:rsidR="004E1D94" w:rsidRPr="006C7DCD" w:rsidRDefault="004E1D9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Д</w:t>
      </w:r>
      <w:r w:rsidR="0045425D" w:rsidRPr="006C7DCD">
        <w:rPr>
          <w:sz w:val="28"/>
          <w:szCs w:val="28"/>
        </w:rPr>
        <w:t>освід супроводження проектів різноманітної складності і направленості підтверджує важливість правильного вибору місця для ефективної реалізації інвестиційного проекту.</w:t>
      </w:r>
      <w:r w:rsidRPr="006C7DCD">
        <w:rPr>
          <w:sz w:val="28"/>
          <w:szCs w:val="28"/>
        </w:rPr>
        <w:t xml:space="preserve"> </w:t>
      </w:r>
      <w:r w:rsidR="0045425D" w:rsidRPr="006C7DCD">
        <w:rPr>
          <w:sz w:val="28"/>
          <w:szCs w:val="28"/>
        </w:rPr>
        <w:t>У цьому розділі акцентує</w:t>
      </w:r>
      <w:r w:rsidRPr="006C7DCD">
        <w:rPr>
          <w:sz w:val="28"/>
          <w:szCs w:val="28"/>
        </w:rPr>
        <w:t>ться</w:t>
      </w:r>
      <w:r w:rsidR="0045425D" w:rsidRPr="006C7DCD">
        <w:rPr>
          <w:sz w:val="28"/>
          <w:szCs w:val="28"/>
        </w:rPr>
        <w:t xml:space="preserve"> уваг</w:t>
      </w:r>
      <w:r w:rsidRPr="006C7DCD">
        <w:rPr>
          <w:sz w:val="28"/>
          <w:szCs w:val="28"/>
        </w:rPr>
        <w:t>а</w:t>
      </w:r>
      <w:r w:rsidR="0045425D" w:rsidRPr="006C7DCD">
        <w:rPr>
          <w:sz w:val="28"/>
          <w:szCs w:val="28"/>
        </w:rPr>
        <w:t xml:space="preserve"> на дослідженні: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інвестиційної привабливості району з точки зору проекту, що реалізовується;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рівня конкуренції у даній сфері;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наближення до основних користувачів та сировинної бази;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транспортної доступності району;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інженерної придатності територій для реалізації проекту.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Також у розділі наводиться аналіз необхідних будівельних робіт та етапи їх виконання, об'єми і календарний графік інвестування, досліджуються екологічні наслідки будівництва.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6. Інженерне проектування та технології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З метою формування у інвестора повного уявлення про основні деталі проекту, у цьому розділі наводиться виробнича програма підприємства, проводитися опис виробничих потужностей та технології виробництва, коротко описуються основні види виробничих активів, їх наявність і вартість, схема розташування, основні інженерні споруди. Як правило, для</w:t>
      </w:r>
      <w:r w:rsidR="006C7DCD">
        <w:rPr>
          <w:sz w:val="28"/>
          <w:szCs w:val="28"/>
        </w:rPr>
        <w:t xml:space="preserve"> </w:t>
      </w:r>
      <w:r w:rsidRPr="006C7DCD">
        <w:rPr>
          <w:sz w:val="28"/>
          <w:szCs w:val="28"/>
        </w:rPr>
        <w:t>кваліфікованого викладення матеріалу даного розділу користу</w:t>
      </w:r>
      <w:r w:rsidR="004E1D94" w:rsidRPr="006C7DCD">
        <w:rPr>
          <w:sz w:val="28"/>
          <w:szCs w:val="28"/>
        </w:rPr>
        <w:t>ють</w:t>
      </w:r>
      <w:r w:rsidRPr="006C7DCD">
        <w:rPr>
          <w:sz w:val="28"/>
          <w:szCs w:val="28"/>
        </w:rPr>
        <w:t>ся консультаціями відповідних фахівців.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7. Організація виробництва</w:t>
      </w:r>
    </w:p>
    <w:p w:rsidR="004E1D94" w:rsidRPr="006C7DCD" w:rsidRDefault="004E1D9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З</w:t>
      </w:r>
      <w:r w:rsidR="0045425D" w:rsidRPr="006C7DCD">
        <w:rPr>
          <w:sz w:val="28"/>
          <w:szCs w:val="28"/>
        </w:rPr>
        <w:t>авжди акцентує</w:t>
      </w:r>
      <w:r w:rsidRPr="006C7DCD">
        <w:rPr>
          <w:sz w:val="28"/>
          <w:szCs w:val="28"/>
        </w:rPr>
        <w:t>ться</w:t>
      </w:r>
      <w:r w:rsidR="0045425D" w:rsidRPr="006C7DCD">
        <w:rPr>
          <w:sz w:val="28"/>
          <w:szCs w:val="28"/>
        </w:rPr>
        <w:t xml:space="preserve"> уваг</w:t>
      </w:r>
      <w:r w:rsidRPr="006C7DCD">
        <w:rPr>
          <w:sz w:val="28"/>
          <w:szCs w:val="28"/>
        </w:rPr>
        <w:t>а</w:t>
      </w:r>
      <w:r w:rsidR="0045425D" w:rsidRPr="006C7DCD">
        <w:rPr>
          <w:sz w:val="28"/>
          <w:szCs w:val="28"/>
        </w:rPr>
        <w:t xml:space="preserve"> на детальному опрацюванні організаційної структури підприємства, спрямованої на встановлення чітких взаємозв'язків між окремими структурними одиницями, їх взаємопідлеглість, розміри і структуру виробничих, обслуговуючих</w:t>
      </w:r>
      <w:r w:rsidR="006C7DCD">
        <w:rPr>
          <w:sz w:val="28"/>
          <w:szCs w:val="28"/>
        </w:rPr>
        <w:t xml:space="preserve"> </w:t>
      </w:r>
      <w:r w:rsidR="0045425D" w:rsidRPr="006C7DCD">
        <w:rPr>
          <w:sz w:val="28"/>
          <w:szCs w:val="28"/>
        </w:rPr>
        <w:t>та керівних підрозділів.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8. Трудові ресурси</w:t>
      </w:r>
    </w:p>
    <w:p w:rsidR="006C7DCD" w:rsidRPr="00ED6F11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Трудові ресурси є одними з найголовніших активів компанії. У рамках реалізації проектів по супроводу угод з готовим бізнесом, доводилося зустрічати випадки, коли причиною продажу підприємства була неможливість його розвитку у зв'язку з відсутністю у районі розташування робітників необхідної кваліфікації, а витрати на створення нового штату співробітників були неспівставні з очікуваним економічним ефектом.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Тому при написанні цього розділу окрім указівок необхідного складу і чисельності робочого персоналу, детально вивчається питання наявності робітників відповідної кваліфікації у районі реалізації проекту, та, при необхідності, вартості професіональної підготовки персоналу.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9. Планування та кошторис вартості робіт за проектом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У цьому розділі наводиться календарний план реалізації проекту, що розробляється на основі</w:t>
      </w:r>
      <w:r w:rsidR="006C7DCD">
        <w:rPr>
          <w:sz w:val="28"/>
          <w:szCs w:val="28"/>
        </w:rPr>
        <w:t xml:space="preserve"> </w:t>
      </w:r>
      <w:r w:rsidRPr="006C7DCD">
        <w:rPr>
          <w:sz w:val="28"/>
          <w:szCs w:val="28"/>
        </w:rPr>
        <w:t>розділів 4-6 та</w:t>
      </w:r>
      <w:r w:rsidR="004E1D94" w:rsidRPr="006C7DCD">
        <w:rPr>
          <w:sz w:val="28"/>
          <w:szCs w:val="28"/>
        </w:rPr>
        <w:t xml:space="preserve"> </w:t>
      </w:r>
      <w:r w:rsidRPr="006C7DCD">
        <w:rPr>
          <w:sz w:val="28"/>
          <w:szCs w:val="28"/>
        </w:rPr>
        <w:t>передбачає планування часових рамок проекту з урахуванням термінів будівництва, монтажу обладнання, періоду введення об'єкта в експлуатацію та досягнення їм проектної потужності. Також</w:t>
      </w:r>
      <w:r w:rsidR="006C7DCD">
        <w:rPr>
          <w:sz w:val="28"/>
          <w:szCs w:val="28"/>
        </w:rPr>
        <w:t xml:space="preserve"> </w:t>
      </w:r>
      <w:r w:rsidRPr="006C7DCD">
        <w:rPr>
          <w:sz w:val="28"/>
          <w:szCs w:val="28"/>
        </w:rPr>
        <w:t>тут наводяться об'єми необхідних інвестицій за окремими статтями витрат з урахуванням періоду їх освоєння.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6C7DCD">
        <w:rPr>
          <w:rStyle w:val="a9"/>
          <w:sz w:val="28"/>
          <w:szCs w:val="28"/>
        </w:rPr>
        <w:t>Розділ 10. Фінансова оцінка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Це один з найбільш важливих розділів проекту, що розкриває його фінансову привабливість та економічну доцільність. </w:t>
      </w:r>
      <w:r w:rsidR="004E1D94" w:rsidRPr="006C7DCD">
        <w:rPr>
          <w:sz w:val="28"/>
          <w:szCs w:val="28"/>
        </w:rPr>
        <w:t>Ц</w:t>
      </w:r>
      <w:r w:rsidRPr="006C7DCD">
        <w:rPr>
          <w:sz w:val="28"/>
          <w:szCs w:val="28"/>
        </w:rPr>
        <w:t>ей розділ, як правило, є об'єктом</w:t>
      </w:r>
      <w:r w:rsidR="006C7DCD">
        <w:rPr>
          <w:sz w:val="28"/>
          <w:szCs w:val="28"/>
        </w:rPr>
        <w:t xml:space="preserve"> </w:t>
      </w:r>
      <w:r w:rsidRPr="006C7DCD">
        <w:rPr>
          <w:sz w:val="28"/>
          <w:szCs w:val="28"/>
        </w:rPr>
        <w:t>пильної і критичної уваги з боку інвестора. Від його задоволення викладеною у даному розділі інформацією часто залежить доля всього проекту. Виконання цієї роботи доручає</w:t>
      </w:r>
      <w:r w:rsidR="004E1D94" w:rsidRPr="006C7DCD">
        <w:rPr>
          <w:sz w:val="28"/>
          <w:szCs w:val="28"/>
        </w:rPr>
        <w:t>ться</w:t>
      </w:r>
      <w:r w:rsidRPr="006C7DCD">
        <w:rPr>
          <w:sz w:val="28"/>
          <w:szCs w:val="28"/>
        </w:rPr>
        <w:t xml:space="preserve"> консультантам, які володіють глибокими теоретичними знаннями та практичним досвідом фінансового планування та аналізу. На цьому етапі стави</w:t>
      </w:r>
      <w:r w:rsidR="004E1D94" w:rsidRPr="006C7DCD">
        <w:rPr>
          <w:sz w:val="28"/>
          <w:szCs w:val="28"/>
        </w:rPr>
        <w:t>ться</w:t>
      </w:r>
      <w:r w:rsidRPr="006C7DCD">
        <w:rPr>
          <w:sz w:val="28"/>
          <w:szCs w:val="28"/>
        </w:rPr>
        <w:t xml:space="preserve"> декілька задач: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визначення джерел фінансування, суми витрат, пов'язаних з фінансуванням та погашенням заборгованості;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калькуляція повної собівартості продукції, що реалізується;</w:t>
      </w:r>
    </w:p>
    <w:p w:rsidR="004E1D94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прогнозування доходів від реалізації продукції.</w:t>
      </w:r>
    </w:p>
    <w:p w:rsidR="0045425D" w:rsidRPr="006C7DCD" w:rsidRDefault="0045425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Логічним завершенням цього розділу є</w:t>
      </w:r>
      <w:r w:rsidR="006C7DCD">
        <w:rPr>
          <w:sz w:val="28"/>
          <w:szCs w:val="28"/>
        </w:rPr>
        <w:t xml:space="preserve"> </w:t>
      </w:r>
      <w:r w:rsidRPr="006C7DCD">
        <w:rPr>
          <w:sz w:val="28"/>
          <w:szCs w:val="28"/>
        </w:rPr>
        <w:t>фінансові звіти – про рух грошових коштів (cash flow), про прибутки і витрати, баланс та розрахунок основних показників ефективності проекту.</w:t>
      </w:r>
    </w:p>
    <w:p w:rsidR="006C7DCD" w:rsidRPr="00ED6F11" w:rsidRDefault="006C7DCD" w:rsidP="006C7DC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D74D9" w:rsidRPr="006C7DCD" w:rsidRDefault="00AD74D9" w:rsidP="006C7DCD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" w:name="_Toc197854889"/>
      <w:r w:rsidRPr="006C7DCD">
        <w:rPr>
          <w:b/>
          <w:sz w:val="28"/>
          <w:szCs w:val="28"/>
        </w:rPr>
        <w:t xml:space="preserve">2. </w:t>
      </w:r>
      <w:r w:rsidR="006D103B" w:rsidRPr="006C7DCD">
        <w:rPr>
          <w:b/>
          <w:sz w:val="28"/>
          <w:szCs w:val="28"/>
        </w:rPr>
        <w:t>Порядок проведення експертизи проекту</w:t>
      </w:r>
      <w:bookmarkEnd w:id="1"/>
    </w:p>
    <w:p w:rsidR="004E1D94" w:rsidRPr="006C7DCD" w:rsidRDefault="004E1D94" w:rsidP="006C7DCD">
      <w:pPr>
        <w:spacing w:line="360" w:lineRule="auto"/>
        <w:ind w:firstLine="709"/>
        <w:jc w:val="both"/>
        <w:rPr>
          <w:sz w:val="28"/>
          <w:szCs w:val="28"/>
        </w:rPr>
      </w:pPr>
    </w:p>
    <w:p w:rsidR="00C1305B" w:rsidRPr="006C7DCD" w:rsidRDefault="004E1D9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Щоб пересвідчитись, що запроектовані обладнання, технології, будівлі і споруди є безпечними, він знов звертається до </w:t>
      </w:r>
      <w:r w:rsidR="00C1305B" w:rsidRPr="006C7DCD">
        <w:rPr>
          <w:sz w:val="28"/>
          <w:szCs w:val="28"/>
        </w:rPr>
        <w:t>експертно-технічних центрів (</w:t>
      </w:r>
      <w:r w:rsidRPr="006C7DCD">
        <w:rPr>
          <w:sz w:val="28"/>
          <w:szCs w:val="28"/>
        </w:rPr>
        <w:t>ЕТЦ</w:t>
      </w:r>
      <w:r w:rsidR="00C1305B" w:rsidRPr="006C7DCD">
        <w:rPr>
          <w:sz w:val="28"/>
          <w:szCs w:val="28"/>
        </w:rPr>
        <w:t>)</w:t>
      </w:r>
      <w:r w:rsidRPr="006C7DCD">
        <w:rPr>
          <w:sz w:val="28"/>
          <w:szCs w:val="28"/>
        </w:rPr>
        <w:t>, який проводить технічну експертизу цього проекту і дає відповідне експертне заключення.</w:t>
      </w:r>
    </w:p>
    <w:p w:rsidR="00C1305B" w:rsidRPr="006C7DCD" w:rsidRDefault="00C1305B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Діяльність центр</w:t>
      </w:r>
      <w:r w:rsidR="003B3B76" w:rsidRPr="006C7DCD">
        <w:rPr>
          <w:sz w:val="28"/>
          <w:szCs w:val="28"/>
        </w:rPr>
        <w:t>ів</w:t>
      </w:r>
      <w:r w:rsidRPr="006C7DCD">
        <w:rPr>
          <w:sz w:val="28"/>
          <w:szCs w:val="28"/>
        </w:rPr>
        <w:t xml:space="preserve"> охоплює: </w:t>
      </w:r>
    </w:p>
    <w:p w:rsidR="00C1305B" w:rsidRPr="006C7DCD" w:rsidRDefault="00C1305B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 експертизу проектної документації на будівництво (реконструкцію, технічне переоснащення) об'єктів та устаткування на відповідність нормативно-правовим актам з охорони праці та промислової безпеки;</w:t>
      </w:r>
    </w:p>
    <w:p w:rsidR="00C1305B" w:rsidRPr="006C7DCD" w:rsidRDefault="00C1305B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експертизу перед видачею дозволу на виконання робіт та експлуатацію устаткування підвищеної небезпеки;</w:t>
      </w:r>
    </w:p>
    <w:p w:rsidR="00C1305B" w:rsidRPr="006C7DCD" w:rsidRDefault="00C1305B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ідентифікацію об'єктів підвищеної небезпеки, складання та експертизу декларацій та планів ліквідації аварій і аварійних ситуацій;</w:t>
      </w:r>
    </w:p>
    <w:p w:rsidR="00C1305B" w:rsidRPr="006C7DCD" w:rsidRDefault="00C1305B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огляд, випробування, експертне обстеження (технічне діагностування) обладнання підвищеної небезпеки;</w:t>
      </w:r>
    </w:p>
    <w:p w:rsidR="00C1305B" w:rsidRPr="006C7DCD" w:rsidRDefault="00C1305B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- аудит системи управління охороною праці на виробництві; </w:t>
      </w:r>
    </w:p>
    <w:p w:rsidR="00C1305B" w:rsidRPr="006C7DCD" w:rsidRDefault="00C1305B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- методична допомога у створенні безпечних та нешкідливих умов праці на виробництві.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Підстава</w:t>
      </w:r>
      <w:r w:rsidRPr="006C7DCD">
        <w:rPr>
          <w:rStyle w:val="a9"/>
          <w:b w:val="0"/>
          <w:sz w:val="28"/>
          <w:szCs w:val="28"/>
        </w:rPr>
        <w:t xml:space="preserve"> для проведення експертизи проектної документації на будівництво (реконструкцію, технічне переоснащення) виробничих об’єктів, виготовлення машин, устаткування та інших засобів</w:t>
      </w:r>
      <w:r w:rsidRPr="006C7DCD">
        <w:rPr>
          <w:sz w:val="28"/>
          <w:szCs w:val="28"/>
        </w:rPr>
        <w:t xml:space="preserve">: ст.21 Закону України "Про внесення змін до Закону України "Про охорону праці" (Проектування виробничих об'єктів, розроблення нових технологій, засобів виробництва, засобів колективного та індивідуального захисту працюючих повинні провадитися з урахуванням вимог щодо охорони праці. 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Не допускається будівництво, реконструкція, технічне переоснащення тощо виробничих об'єктів, інженерних інфраструктур об'єктів соціально-культурного призначення, виготовлення і впровадження нових для даного підприємства технологій і зазначених засобів без попередньої експертизи робочого проекту або робочої документації на їх відповідність нормативно-правовим актам з охорони праці);</w:t>
      </w:r>
    </w:p>
    <w:p w:rsidR="006C7DCD" w:rsidRPr="00ED6F11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Методика проведення державної експертизи (перевірки) проектної документації на будівництво (реконструкцію, технічне переоснащення) виробничих об'єктів і виготовлення засобів виробництва на відповідність їх нормативним актам про охорону праці (Затверджено наказом Державного комітету України по нагляду за охороною праці від 30 вересня 1994 року №95) – Експертиза проектної документації з питань охорони праці провадиться в обов'язковому порядку щодо всіх проектів на будівництво та реконструкцію виробничих об'єктів і виготовлення засобів виробництва незалежно від форм власності та джерел фінансування);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Постанова від 23 червня 1994 року №431 „Положення про порядок проведення державної експертизи (перевірки) проектної документації на будівництво та реконструкцію виробничих об’єктів і виготовлення засобів виробництва на відповідність їх нормативним актам про охорону праці.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6C7DCD">
        <w:rPr>
          <w:rStyle w:val="a9"/>
          <w:b w:val="0"/>
          <w:sz w:val="28"/>
          <w:szCs w:val="28"/>
        </w:rPr>
        <w:t>Порядок проведення експертизи.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Суб’єкт господарської діяльності повинен: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1. Надати заяву за відповідною формою;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2. Надати проектну документацію, яка попадає в перелік об’єктів, затвердження проектів будівництва яких у межах законодавства України не потребує висновку комплексної державної експертизи згідно Наказу Державного комітету України з будівництва та архітектури від 12 листопада 2003 року №167 з наступними вихідними даним: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• архітектурно-планувальне завдання (АПЗ);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• рішення виконавчого органу місцевого самоврядування про видачу дозволу на будівництво;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• акт вибору земельної ділянки (приміщення);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• ситуаційний план;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• завдання на проектування;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• технічні умови по інженерному забезпеченню об'єкта (ТУ);</w:t>
      </w:r>
    </w:p>
    <w:p w:rsidR="006C7DCD" w:rsidRDefault="00975829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C7DCD">
        <w:rPr>
          <w:sz w:val="28"/>
          <w:szCs w:val="28"/>
        </w:rPr>
        <w:t>• висновок по обстеженню будівельних конструкції перед виконанням проектних робіт для проектів реконструкції та переруконструкції;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• та інші вихідні дані згідно з додатком Г ДБН А.2.2-3-2004 "Склад, порядок оформлення, узгодження та затвердження проектної документації для будівництва".</w:t>
      </w:r>
    </w:p>
    <w:p w:rsidR="004E78A8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3. Копія позитивного висновку по проекту органів і закладів санітарно-епідеміологічної служби;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4. Копія позитивного висновка по проекту органів державного пожежного нагляду.</w:t>
      </w:r>
    </w:p>
    <w:p w:rsidR="00975829" w:rsidRPr="006C7DCD" w:rsidRDefault="00975829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Результат роботи - експертних висновок з питань охорони праці встановленої форми.</w:t>
      </w:r>
    </w:p>
    <w:p w:rsidR="00C1305B" w:rsidRPr="006C7DCD" w:rsidRDefault="00C1305B" w:rsidP="006C7DCD">
      <w:pPr>
        <w:spacing w:line="360" w:lineRule="auto"/>
        <w:ind w:firstLine="709"/>
        <w:jc w:val="both"/>
        <w:rPr>
          <w:sz w:val="28"/>
          <w:szCs w:val="28"/>
        </w:rPr>
      </w:pPr>
    </w:p>
    <w:p w:rsidR="00AD74D9" w:rsidRPr="006C7DCD" w:rsidRDefault="006D103B" w:rsidP="006C7D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C7DCD">
        <w:rPr>
          <w:b/>
          <w:sz w:val="28"/>
          <w:szCs w:val="28"/>
        </w:rPr>
        <w:br w:type="page"/>
      </w:r>
      <w:bookmarkStart w:id="2" w:name="_Toc197854890"/>
      <w:r w:rsidR="006C7DCD" w:rsidRPr="006C7DCD">
        <w:rPr>
          <w:b/>
          <w:sz w:val="28"/>
          <w:szCs w:val="28"/>
        </w:rPr>
        <w:t>З</w:t>
      </w:r>
      <w:r w:rsidRPr="006C7DCD">
        <w:rPr>
          <w:b/>
          <w:sz w:val="28"/>
          <w:szCs w:val="28"/>
        </w:rPr>
        <w:t>адача</w:t>
      </w:r>
      <w:bookmarkEnd w:id="2"/>
    </w:p>
    <w:p w:rsidR="006C1392" w:rsidRPr="006C7DCD" w:rsidRDefault="006C1392" w:rsidP="006C7DCD">
      <w:pPr>
        <w:spacing w:line="360" w:lineRule="auto"/>
        <w:ind w:firstLine="709"/>
        <w:jc w:val="both"/>
        <w:rPr>
          <w:sz w:val="28"/>
          <w:szCs w:val="28"/>
        </w:rPr>
      </w:pPr>
    </w:p>
    <w:p w:rsidR="00D864DD" w:rsidRPr="006C7DCD" w:rsidRDefault="00D864DD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color w:val="000000"/>
          <w:sz w:val="28"/>
          <w:szCs w:val="28"/>
        </w:rPr>
        <w:t>Виберіть менш ризикований проект, якщо проведені розрахунки дали три вірогідних варіанти сумарного приведеного прибутку за проектами.</w:t>
      </w:r>
    </w:p>
    <w:p w:rsidR="00D864DD" w:rsidRPr="006C7DCD" w:rsidRDefault="00D864DD" w:rsidP="006C7DC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3"/>
        <w:gridCol w:w="1826"/>
        <w:gridCol w:w="1764"/>
      </w:tblGrid>
      <w:tr w:rsidR="00D864DD" w:rsidRPr="006C7DCD" w:rsidTr="006C7DCD">
        <w:trPr>
          <w:cantSplit/>
          <w:trHeight w:val="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color w:val="000000"/>
                <w:sz w:val="20"/>
                <w:szCs w:val="20"/>
              </w:rPr>
              <w:t>Варіант розрахунку</w:t>
            </w:r>
            <w:r w:rsidRPr="006C7DCD">
              <w:rPr>
                <w:sz w:val="20"/>
                <w:szCs w:val="20"/>
              </w:rPr>
              <w:t xml:space="preserve"> </w:t>
            </w:r>
          </w:p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color w:val="000000"/>
                <w:sz w:val="20"/>
                <w:szCs w:val="20"/>
              </w:rPr>
              <w:t>Прогноз прибутку за проектом,, тис. грн.</w:t>
            </w:r>
            <w:r w:rsidRPr="006C7DCD">
              <w:rPr>
                <w:sz w:val="20"/>
                <w:szCs w:val="20"/>
              </w:rPr>
              <w:t xml:space="preserve"> </w:t>
            </w:r>
          </w:p>
        </w:tc>
      </w:tr>
      <w:tr w:rsidR="00D864DD" w:rsidRPr="006C7DCD" w:rsidTr="006C7DCD">
        <w:trPr>
          <w:cantSplit/>
          <w:trHeight w:val="6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color w:val="000000"/>
                <w:sz w:val="20"/>
                <w:szCs w:val="20"/>
              </w:rPr>
              <w:t>Проект А</w:t>
            </w:r>
            <w:r w:rsidRPr="006C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color w:val="000000"/>
                <w:sz w:val="20"/>
                <w:szCs w:val="20"/>
              </w:rPr>
              <w:t>Проект Б</w:t>
            </w:r>
            <w:r w:rsidRPr="006C7DCD">
              <w:rPr>
                <w:sz w:val="20"/>
                <w:szCs w:val="20"/>
              </w:rPr>
              <w:t xml:space="preserve"> </w:t>
            </w:r>
          </w:p>
        </w:tc>
      </w:tr>
      <w:tr w:rsidR="00D864DD" w:rsidRPr="006C7DCD" w:rsidTr="006C7DCD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DD" w:rsidRPr="006C7DCD" w:rsidRDefault="00D864DD" w:rsidP="006C7DC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7DCD">
              <w:rPr>
                <w:color w:val="000000"/>
                <w:sz w:val="20"/>
                <w:szCs w:val="20"/>
              </w:rPr>
              <w:t>1</w:t>
            </w:r>
          </w:p>
          <w:p w:rsidR="00D864DD" w:rsidRPr="006C7DCD" w:rsidRDefault="00D864DD" w:rsidP="006C7DC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C7DCD">
              <w:rPr>
                <w:color w:val="000000"/>
                <w:sz w:val="20"/>
                <w:szCs w:val="20"/>
              </w:rPr>
              <w:t>2</w:t>
            </w:r>
          </w:p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color w:val="000000"/>
                <w:sz w:val="20"/>
                <w:szCs w:val="20"/>
              </w:rPr>
              <w:t>3</w:t>
            </w:r>
            <w:r w:rsidRPr="006C7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sz w:val="20"/>
                <w:szCs w:val="20"/>
              </w:rPr>
              <w:t>74</w:t>
            </w:r>
          </w:p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sz w:val="20"/>
                <w:szCs w:val="20"/>
              </w:rPr>
              <w:t>83</w:t>
            </w:r>
          </w:p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sz w:val="20"/>
                <w:szCs w:val="20"/>
              </w:rPr>
              <w:t>190</w:t>
            </w:r>
          </w:p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sz w:val="20"/>
                <w:szCs w:val="20"/>
              </w:rPr>
              <w:t>201</w:t>
            </w:r>
          </w:p>
          <w:p w:rsidR="00D864DD" w:rsidRPr="006C7DCD" w:rsidRDefault="00D864DD" w:rsidP="006C7DC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C7DCD">
              <w:rPr>
                <w:sz w:val="20"/>
                <w:szCs w:val="20"/>
              </w:rPr>
              <w:t>213</w:t>
            </w:r>
          </w:p>
        </w:tc>
      </w:tr>
    </w:tbl>
    <w:p w:rsidR="00D864DD" w:rsidRPr="006C7DCD" w:rsidRDefault="00D864DD" w:rsidP="006C7DCD">
      <w:pPr>
        <w:spacing w:line="360" w:lineRule="auto"/>
        <w:ind w:firstLine="709"/>
        <w:jc w:val="both"/>
        <w:rPr>
          <w:sz w:val="28"/>
          <w:szCs w:val="28"/>
        </w:rPr>
      </w:pPr>
    </w:p>
    <w:p w:rsidR="003D3908" w:rsidRPr="006C7DCD" w:rsidRDefault="003D39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Відповідь</w:t>
      </w:r>
    </w:p>
    <w:p w:rsidR="003D3908" w:rsidRPr="006C7DCD" w:rsidRDefault="003D39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Для розрахунку рівня ризику проводиться серія розрахунків. </w:t>
      </w:r>
    </w:p>
    <w:p w:rsidR="003D3908" w:rsidRPr="006C7DCD" w:rsidRDefault="003D39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1. Крім базового очікуваного прибутку за проектом (наприклад, NPV), визначаються варіантні значення обраного показника результативності інвестування при різних можливих ситуаціях у майбутньому. Кількість таких розрахунків позначимо п, а прогнозний показник NPV для кожного розрахунку NPVt, де і = 1,2, ., η. Кількість варіантів може бути необмежене великою. Комп'ютерна техніка дає змогу здійснювати розрахунки з бажаною кількістю та точністю. </w:t>
      </w:r>
    </w:p>
    <w:p w:rsidR="003D3908" w:rsidRPr="006C7DCD" w:rsidRDefault="003D39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2. Визначається середнє значення обраного показника результативності інвестування з усіх проведених варіантних розрахунків NPV·. </w:t>
      </w:r>
    </w:p>
    <w:p w:rsidR="00EC28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3. Розраховується коефіцієнт варіації (υ), який визначає ступінь відхилень варіантів від середнього значення показника</w:t>
      </w:r>
    </w:p>
    <w:p w:rsidR="00EC28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За коефіцієнтом варіації можна порівнювати проекти й обирати менш невизначені, тобто менш ризиковані, з більшою надійністю прогнозів за проектом. Меншому коефіцієнту варіації відповідає проект з меншим ризиком.</w:t>
      </w:r>
    </w:p>
    <w:p w:rsidR="00EC28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Визначимо рівень ризику за проектом через оцінку невизначеності прогнозних варіантів прибутку. Розрахуємо середньоквадратичне відхилення прогнозів від середнього розміру прибутку і коефіцієнт його варіації. </w:t>
      </w:r>
    </w:p>
    <w:p w:rsidR="00EC28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Середня величина очікуваного прибутку від проекту за трьома варіантами </w:t>
      </w:r>
    </w:p>
    <w:p w:rsidR="003D3908" w:rsidRPr="006C7DCD" w:rsidRDefault="003D39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Варіант А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D39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П = </w:t>
      </w:r>
      <w:r w:rsidR="003D3908" w:rsidRPr="006C7DCD">
        <w:rPr>
          <w:sz w:val="28"/>
          <w:szCs w:val="28"/>
        </w:rPr>
        <w:t>(74 + 83 + 90) : 3 = 82,3 тис. грн.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D3908" w:rsidRPr="006C7DCD" w:rsidRDefault="003D39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Варіант Б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D39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П = </w:t>
      </w:r>
      <w:r w:rsidR="003D3908" w:rsidRPr="006C7DCD">
        <w:rPr>
          <w:sz w:val="28"/>
          <w:szCs w:val="28"/>
        </w:rPr>
        <w:t>(190</w:t>
      </w:r>
      <w:r w:rsidRPr="006C7DCD">
        <w:rPr>
          <w:sz w:val="28"/>
          <w:szCs w:val="28"/>
        </w:rPr>
        <w:t xml:space="preserve"> + 201 + 213</w:t>
      </w:r>
      <w:r w:rsidR="003D3908" w:rsidRPr="006C7DCD">
        <w:rPr>
          <w:sz w:val="28"/>
          <w:szCs w:val="28"/>
        </w:rPr>
        <w:t>)</w:t>
      </w:r>
      <w:r w:rsidRPr="006C7DCD">
        <w:rPr>
          <w:sz w:val="28"/>
          <w:szCs w:val="28"/>
        </w:rPr>
        <w:t xml:space="preserve"> : 3 = 201,3 тис. грн.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C28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Середньоквадратичне відхилення</w:t>
      </w:r>
    </w:p>
    <w:p w:rsidR="00EC28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Варіант А 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C28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S = </w:t>
      </w:r>
      <w:r w:rsidR="00A26DE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36pt">
            <v:imagedata r:id="rId7" o:title=""/>
          </v:shape>
        </w:pict>
      </w:r>
      <w:r w:rsidR="00AD45E4" w:rsidRPr="006C7DCD">
        <w:rPr>
          <w:sz w:val="28"/>
          <w:szCs w:val="28"/>
        </w:rPr>
        <w:t xml:space="preserve"> тис. грн.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C28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Варіант Б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C2808" w:rsidRPr="006C7DCD" w:rsidRDefault="00EC2808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S = </w:t>
      </w:r>
      <w:r w:rsidR="00A26DEB">
        <w:rPr>
          <w:sz w:val="28"/>
          <w:szCs w:val="28"/>
        </w:rPr>
        <w:pict>
          <v:shape id="_x0000_i1026" type="#_x0000_t75" style="width:272.25pt;height:36pt">
            <v:imagedata r:id="rId8" o:title=""/>
          </v:shape>
        </w:pict>
      </w:r>
      <w:r w:rsidR="00AD45E4" w:rsidRPr="006C7DCD">
        <w:rPr>
          <w:sz w:val="28"/>
          <w:szCs w:val="28"/>
        </w:rPr>
        <w:t xml:space="preserve"> тис. грн.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C2808" w:rsidRPr="006C7DCD" w:rsidRDefault="00AD45E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Коефіцієнт варіації</w:t>
      </w:r>
    </w:p>
    <w:p w:rsidR="00AD45E4" w:rsidRPr="006C7DCD" w:rsidRDefault="00AD45E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Варіант А 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D45E4" w:rsidRPr="006C7DCD" w:rsidRDefault="00AD45E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ν = 6,55 : 82,3 х 100 = 7,95 %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D45E4" w:rsidRPr="006C7DCD" w:rsidRDefault="00AD45E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Варіант Б 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D45E4" w:rsidRPr="006C7DCD" w:rsidRDefault="00AD45E4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>ν = 9,39 : 201,3 х 100 = 4,67 %</w:t>
      </w:r>
    </w:p>
    <w:p w:rsidR="006C7DCD" w:rsidRDefault="006C7DCD" w:rsidP="006C7D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D45E4" w:rsidRPr="006C7DCD" w:rsidRDefault="00B52633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Отже, рівень ризику в даному разі може бути представлений як значення коефіцієнта варіації </w:t>
      </w:r>
      <w:r w:rsidR="00A57AA7" w:rsidRPr="006C7DCD">
        <w:rPr>
          <w:sz w:val="28"/>
          <w:szCs w:val="28"/>
        </w:rPr>
        <w:t>7,95% для проекту А і 4,67 % для проекту Б</w:t>
      </w:r>
      <w:r w:rsidRPr="006C7DCD">
        <w:rPr>
          <w:sz w:val="28"/>
          <w:szCs w:val="28"/>
        </w:rPr>
        <w:t>. Прийнятним рівнем ризику вважається коефіцієнт варіації до 10 %. Однак це відносний орієнтир, і в кожного інвестора має бути своя верхня межа у вигляді коефіцієнта варіації — очікуваної невизначеності при інвестуванні.</w:t>
      </w:r>
    </w:p>
    <w:p w:rsidR="00A57AA7" w:rsidRPr="006C7DCD" w:rsidRDefault="00A57AA7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Для обох проектів ризик прийнятний, але в проекті Б він нижчий. </w:t>
      </w:r>
    </w:p>
    <w:p w:rsidR="00A57AA7" w:rsidRPr="006C7DCD" w:rsidRDefault="00A57AA7" w:rsidP="006C7DCD">
      <w:pPr>
        <w:spacing w:line="360" w:lineRule="auto"/>
        <w:ind w:firstLine="709"/>
        <w:jc w:val="both"/>
        <w:rPr>
          <w:sz w:val="28"/>
          <w:szCs w:val="28"/>
        </w:rPr>
      </w:pPr>
      <w:r w:rsidRPr="006C7DCD">
        <w:rPr>
          <w:sz w:val="28"/>
          <w:szCs w:val="28"/>
        </w:rPr>
        <w:t xml:space="preserve">Тобто, </w:t>
      </w:r>
      <w:r w:rsidRPr="006C7DCD">
        <w:rPr>
          <w:color w:val="000000"/>
          <w:sz w:val="28"/>
          <w:szCs w:val="28"/>
        </w:rPr>
        <w:t>менш ризикований проект – проект Б.</w:t>
      </w:r>
    </w:p>
    <w:p w:rsidR="00AD74D9" w:rsidRPr="006C7DCD" w:rsidRDefault="006D103B" w:rsidP="006C7D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C7DCD">
        <w:rPr>
          <w:b/>
          <w:sz w:val="28"/>
          <w:szCs w:val="28"/>
        </w:rPr>
        <w:br w:type="page"/>
      </w:r>
      <w:bookmarkStart w:id="3" w:name="_Toc197854891"/>
      <w:r w:rsidR="00AD74D9" w:rsidRPr="006C7DCD">
        <w:rPr>
          <w:b/>
          <w:sz w:val="28"/>
          <w:szCs w:val="28"/>
        </w:rPr>
        <w:t>Л</w:t>
      </w:r>
      <w:r w:rsidR="006C7DCD" w:rsidRPr="006C7DCD">
        <w:rPr>
          <w:b/>
          <w:sz w:val="28"/>
          <w:szCs w:val="28"/>
        </w:rPr>
        <w:t>ітература</w:t>
      </w:r>
      <w:bookmarkEnd w:id="3"/>
    </w:p>
    <w:p w:rsidR="00D23FCC" w:rsidRPr="006C7DCD" w:rsidRDefault="00D23FCC" w:rsidP="006C7DCD">
      <w:pPr>
        <w:spacing w:line="360" w:lineRule="auto"/>
        <w:ind w:firstLine="709"/>
        <w:jc w:val="both"/>
        <w:rPr>
          <w:sz w:val="28"/>
          <w:szCs w:val="28"/>
        </w:rPr>
      </w:pPr>
    </w:p>
    <w:p w:rsidR="004E388F" w:rsidRPr="006C7DCD" w:rsidRDefault="004E388F" w:rsidP="006C7DC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6C7DCD">
        <w:rPr>
          <w:sz w:val="28"/>
          <w:szCs w:val="28"/>
        </w:rPr>
        <w:t>Бардиш Г. О.</w:t>
      </w:r>
      <w:r w:rsidRPr="006C7DCD">
        <w:rPr>
          <w:bCs/>
          <w:sz w:val="28"/>
          <w:szCs w:val="28"/>
        </w:rPr>
        <w:t xml:space="preserve"> Проектний аналіз</w:t>
      </w:r>
      <w:r w:rsidRPr="006C7DCD">
        <w:rPr>
          <w:sz w:val="28"/>
          <w:szCs w:val="28"/>
        </w:rPr>
        <w:t xml:space="preserve">: Підручник / Національний банк України; Львівський банківський ін-т. — 2. вид., стер. — К. : Знання, 2006. — 416с. </w:t>
      </w:r>
    </w:p>
    <w:p w:rsidR="00D23FCC" w:rsidRPr="006C7DCD" w:rsidRDefault="00D23FCC" w:rsidP="006C7DC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6C7DCD">
        <w:rPr>
          <w:sz w:val="28"/>
          <w:szCs w:val="28"/>
        </w:rPr>
        <w:t>Вітлінський В.В. Аналіз, оцінка і моделювання економічного ризику. — К.: Деміур, 2006. — 212 с.</w:t>
      </w:r>
    </w:p>
    <w:p w:rsidR="00946BB9" w:rsidRPr="006C7DCD" w:rsidRDefault="00946BB9" w:rsidP="006C7DC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6C7DCD">
        <w:rPr>
          <w:sz w:val="28"/>
          <w:szCs w:val="28"/>
        </w:rPr>
        <w:t>Чернявський А. Д.</w:t>
      </w:r>
      <w:r w:rsidRPr="006C7DCD">
        <w:rPr>
          <w:b/>
          <w:bCs/>
          <w:sz w:val="28"/>
          <w:szCs w:val="28"/>
        </w:rPr>
        <w:t xml:space="preserve"> </w:t>
      </w:r>
      <w:r w:rsidRPr="006C7DCD">
        <w:rPr>
          <w:bCs/>
          <w:sz w:val="28"/>
          <w:szCs w:val="28"/>
        </w:rPr>
        <w:t>Організаційне проектування</w:t>
      </w:r>
      <w:r w:rsidRPr="006C7DCD">
        <w:rPr>
          <w:sz w:val="28"/>
          <w:szCs w:val="28"/>
        </w:rPr>
        <w:t xml:space="preserve">: Навч. посібник / Міжрегіональна академія управління персоналом. — К. : МАУП, 2005. — 160с. </w:t>
      </w:r>
    </w:p>
    <w:p w:rsidR="00D23FCC" w:rsidRPr="006C7DCD" w:rsidRDefault="00D23FCC" w:rsidP="006C7DC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6C7DCD">
        <w:rPr>
          <w:sz w:val="28"/>
          <w:szCs w:val="28"/>
        </w:rPr>
        <w:t>Ястремський О.І. Моделювання економічного ризику. — К.: Либідь, 2002. — 176 с.</w:t>
      </w:r>
      <w:bookmarkStart w:id="4" w:name="_GoBack"/>
      <w:bookmarkEnd w:id="4"/>
    </w:p>
    <w:sectPr w:rsidR="00D23FCC" w:rsidRPr="006C7DCD" w:rsidSect="006C7DCD">
      <w:headerReference w:type="even" r:id="rId9"/>
      <w:pgSz w:w="11906" w:h="16838"/>
      <w:pgMar w:top="1134" w:right="851" w:bottom="1134" w:left="1701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E0" w:rsidRDefault="007438E0">
      <w:r>
        <w:separator/>
      </w:r>
    </w:p>
  </w:endnote>
  <w:endnote w:type="continuationSeparator" w:id="0">
    <w:p w:rsidR="007438E0" w:rsidRDefault="0074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E0" w:rsidRDefault="007438E0">
      <w:r>
        <w:separator/>
      </w:r>
    </w:p>
  </w:footnote>
  <w:footnote w:type="continuationSeparator" w:id="0">
    <w:p w:rsidR="007438E0" w:rsidRDefault="00743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96E" w:rsidRDefault="009F496E" w:rsidP="006C1392">
    <w:pPr>
      <w:pStyle w:val="a5"/>
      <w:framePr w:wrap="around" w:vAnchor="text" w:hAnchor="margin" w:xAlign="right" w:y="1"/>
      <w:rPr>
        <w:rStyle w:val="a7"/>
      </w:rPr>
    </w:pPr>
  </w:p>
  <w:p w:rsidR="009F496E" w:rsidRDefault="009F496E" w:rsidP="006C139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A0DEA"/>
    <w:multiLevelType w:val="multilevel"/>
    <w:tmpl w:val="F26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515EB"/>
    <w:multiLevelType w:val="multilevel"/>
    <w:tmpl w:val="F61E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63549"/>
    <w:multiLevelType w:val="hybridMultilevel"/>
    <w:tmpl w:val="D9D8C300"/>
    <w:lvl w:ilvl="0" w:tplc="5CDCCDF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B8867B1"/>
    <w:multiLevelType w:val="singleLevel"/>
    <w:tmpl w:val="61383028"/>
    <w:lvl w:ilvl="0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sz w:val="20"/>
        <w:u w:val="none"/>
      </w:rPr>
    </w:lvl>
  </w:abstractNum>
  <w:abstractNum w:abstractNumId="4">
    <w:nsid w:val="735F5E2E"/>
    <w:multiLevelType w:val="hybridMultilevel"/>
    <w:tmpl w:val="8C8A00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289"/>
    <w:rsid w:val="00091788"/>
    <w:rsid w:val="00092A0C"/>
    <w:rsid w:val="00154289"/>
    <w:rsid w:val="002331D2"/>
    <w:rsid w:val="00236CF7"/>
    <w:rsid w:val="0028043F"/>
    <w:rsid w:val="003B1A0E"/>
    <w:rsid w:val="003B3B76"/>
    <w:rsid w:val="003D3908"/>
    <w:rsid w:val="00413848"/>
    <w:rsid w:val="0045425D"/>
    <w:rsid w:val="004E1D94"/>
    <w:rsid w:val="004E388F"/>
    <w:rsid w:val="004E78A8"/>
    <w:rsid w:val="00504CF7"/>
    <w:rsid w:val="006C1392"/>
    <w:rsid w:val="006C7B2F"/>
    <w:rsid w:val="006C7DCD"/>
    <w:rsid w:val="006D103B"/>
    <w:rsid w:val="007438E0"/>
    <w:rsid w:val="007613F5"/>
    <w:rsid w:val="0093167B"/>
    <w:rsid w:val="00946BB9"/>
    <w:rsid w:val="00975829"/>
    <w:rsid w:val="009F496E"/>
    <w:rsid w:val="00A26DEB"/>
    <w:rsid w:val="00A57AA7"/>
    <w:rsid w:val="00AD45E4"/>
    <w:rsid w:val="00AD74D9"/>
    <w:rsid w:val="00AE5D86"/>
    <w:rsid w:val="00B52633"/>
    <w:rsid w:val="00BA243E"/>
    <w:rsid w:val="00C1305B"/>
    <w:rsid w:val="00CC7702"/>
    <w:rsid w:val="00CD43E2"/>
    <w:rsid w:val="00CE0390"/>
    <w:rsid w:val="00CF05B0"/>
    <w:rsid w:val="00D23FCC"/>
    <w:rsid w:val="00D864DD"/>
    <w:rsid w:val="00DA3F99"/>
    <w:rsid w:val="00E372E0"/>
    <w:rsid w:val="00EC2808"/>
    <w:rsid w:val="00ED6F11"/>
    <w:rsid w:val="00FB4636"/>
    <w:rsid w:val="00F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31B9940F-A63D-4CBB-AF8E-D896FAC1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AD74D9"/>
    <w:pPr>
      <w:keepNext/>
      <w:spacing w:after="240"/>
      <w:jc w:val="center"/>
      <w:outlineLvl w:val="0"/>
    </w:pPr>
    <w:rPr>
      <w:caps/>
      <w:color w:val="000000"/>
      <w:sz w:val="32"/>
      <w:szCs w:val="20"/>
      <w:lang w:val="ru-RU"/>
    </w:rPr>
  </w:style>
  <w:style w:type="paragraph" w:styleId="2">
    <w:name w:val="heading 2"/>
    <w:basedOn w:val="a"/>
    <w:next w:val="a"/>
    <w:link w:val="20"/>
    <w:autoRedefine/>
    <w:uiPriority w:val="9"/>
    <w:qFormat/>
    <w:rsid w:val="00AD74D9"/>
    <w:pPr>
      <w:keepNext/>
      <w:spacing w:before="240" w:after="60" w:line="480" w:lineRule="auto"/>
      <w:ind w:firstLine="720"/>
      <w:jc w:val="both"/>
      <w:outlineLvl w:val="1"/>
    </w:pPr>
    <w:rPr>
      <w:b/>
      <w:sz w:val="28"/>
      <w:szCs w:val="20"/>
      <w:lang w:val="ru-RU"/>
    </w:rPr>
  </w:style>
  <w:style w:type="paragraph" w:styleId="3">
    <w:name w:val="heading 3"/>
    <w:basedOn w:val="a"/>
    <w:next w:val="a"/>
    <w:link w:val="30"/>
    <w:autoRedefine/>
    <w:uiPriority w:val="9"/>
    <w:qFormat/>
    <w:rsid w:val="00AD74D9"/>
    <w:pPr>
      <w:keepNext/>
      <w:spacing w:before="120" w:after="120" w:line="480" w:lineRule="auto"/>
      <w:ind w:firstLine="720"/>
      <w:jc w:val="both"/>
      <w:outlineLvl w:val="2"/>
    </w:pPr>
    <w:rPr>
      <w:sz w:val="28"/>
      <w:szCs w:val="20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C130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uk-UA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uk-UA" w:eastAsia="x-none"/>
    </w:rPr>
  </w:style>
  <w:style w:type="paragraph" w:styleId="21">
    <w:name w:val="Body Text Indent 2"/>
    <w:basedOn w:val="a"/>
    <w:link w:val="22"/>
    <w:uiPriority w:val="99"/>
    <w:rsid w:val="00AD74D9"/>
    <w:pPr>
      <w:ind w:firstLine="720"/>
      <w:jc w:val="both"/>
    </w:pPr>
    <w:rPr>
      <w:i/>
      <w:sz w:val="28"/>
      <w:szCs w:val="20"/>
      <w:lang w:val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  <w:lang w:val="uk-UA" w:eastAsia="x-none"/>
    </w:rPr>
  </w:style>
  <w:style w:type="paragraph" w:styleId="a3">
    <w:name w:val="Body Text"/>
    <w:basedOn w:val="a"/>
    <w:link w:val="a4"/>
    <w:uiPriority w:val="99"/>
    <w:rsid w:val="00AD74D9"/>
    <w:pPr>
      <w:jc w:val="center"/>
    </w:pPr>
    <w:rPr>
      <w:sz w:val="20"/>
      <w:szCs w:val="20"/>
      <w:lang w:val="ru-RU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  <w:lang w:val="uk-UA" w:eastAsia="x-none"/>
    </w:rPr>
  </w:style>
  <w:style w:type="paragraph" w:styleId="11">
    <w:name w:val="toc 1"/>
    <w:basedOn w:val="a"/>
    <w:next w:val="a"/>
    <w:autoRedefine/>
    <w:uiPriority w:val="39"/>
    <w:semiHidden/>
    <w:rsid w:val="00AD74D9"/>
    <w:pPr>
      <w:spacing w:before="360"/>
    </w:pPr>
    <w:rPr>
      <w:rFonts w:ascii="Arial" w:hAnsi="Arial"/>
      <w:b/>
      <w:caps/>
      <w:szCs w:val="20"/>
      <w:lang w:val="ru-RU"/>
    </w:rPr>
  </w:style>
  <w:style w:type="paragraph" w:styleId="23">
    <w:name w:val="toc 2"/>
    <w:basedOn w:val="a"/>
    <w:next w:val="a"/>
    <w:autoRedefine/>
    <w:uiPriority w:val="39"/>
    <w:semiHidden/>
    <w:rsid w:val="00AD74D9"/>
    <w:pPr>
      <w:spacing w:before="240"/>
    </w:pPr>
    <w:rPr>
      <w:b/>
      <w:sz w:val="20"/>
      <w:szCs w:val="20"/>
      <w:lang w:val="ru-RU"/>
    </w:rPr>
  </w:style>
  <w:style w:type="paragraph" w:styleId="31">
    <w:name w:val="toc 3"/>
    <w:basedOn w:val="a"/>
    <w:next w:val="a"/>
    <w:autoRedefine/>
    <w:uiPriority w:val="39"/>
    <w:semiHidden/>
    <w:rsid w:val="00AD74D9"/>
    <w:pPr>
      <w:ind w:left="200"/>
    </w:pPr>
    <w:rPr>
      <w:sz w:val="20"/>
      <w:szCs w:val="20"/>
      <w:lang w:val="ru-RU"/>
    </w:rPr>
  </w:style>
  <w:style w:type="paragraph" w:styleId="a5">
    <w:name w:val="header"/>
    <w:basedOn w:val="a"/>
    <w:link w:val="a6"/>
    <w:uiPriority w:val="99"/>
    <w:rsid w:val="006C13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  <w:lang w:val="uk-UA" w:eastAsia="x-none"/>
    </w:rPr>
  </w:style>
  <w:style w:type="character" w:styleId="a7">
    <w:name w:val="page number"/>
    <w:uiPriority w:val="99"/>
    <w:rsid w:val="006C1392"/>
    <w:rPr>
      <w:rFonts w:cs="Times New Roman"/>
    </w:rPr>
  </w:style>
  <w:style w:type="paragraph" w:styleId="a8">
    <w:name w:val="Normal (Web)"/>
    <w:basedOn w:val="a"/>
    <w:uiPriority w:val="99"/>
    <w:rsid w:val="0045425D"/>
    <w:pPr>
      <w:spacing w:before="100" w:beforeAutospacing="1" w:after="100" w:afterAutospacing="1"/>
    </w:pPr>
    <w:rPr>
      <w:lang w:val="ru-RU"/>
    </w:rPr>
  </w:style>
  <w:style w:type="character" w:styleId="a9">
    <w:name w:val="Strong"/>
    <w:uiPriority w:val="22"/>
    <w:qFormat/>
    <w:rsid w:val="0045425D"/>
    <w:rPr>
      <w:rFonts w:cs="Times New Roman"/>
      <w:b/>
      <w:bCs/>
    </w:rPr>
  </w:style>
  <w:style w:type="paragraph" w:styleId="aa">
    <w:name w:val="footer"/>
    <w:basedOn w:val="a"/>
    <w:link w:val="ab"/>
    <w:uiPriority w:val="99"/>
    <w:semiHidden/>
    <w:unhideWhenUsed/>
    <w:rsid w:val="006C7D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6C7DCD"/>
    <w:rPr>
      <w:rFonts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9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інвестиційних проектів__МАУП_Сп-_к</vt:lpstr>
    </vt:vector>
  </TitlesOfParts>
  <Company>home</Company>
  <LinksUpToDate>false</LinksUpToDate>
  <CharactersWithSpaces>14374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інвестиційних проектів__МАУП_Сп-_к</dc:title>
  <dc:subject/>
  <dc:creator>vika</dc:creator>
  <cp:keywords/>
  <dc:description/>
  <cp:lastModifiedBy>admin</cp:lastModifiedBy>
  <cp:revision>2</cp:revision>
  <dcterms:created xsi:type="dcterms:W3CDTF">2014-02-23T02:14:00Z</dcterms:created>
  <dcterms:modified xsi:type="dcterms:W3CDTF">2014-02-23T02:14:00Z</dcterms:modified>
</cp:coreProperties>
</file>