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F63" w:rsidRDefault="003B2EBE">
      <w:pPr>
        <w:pStyle w:val="1"/>
        <w:jc w:val="center"/>
      </w:pPr>
      <w:r>
        <w:t>Оценка креативного потенциала развития региона: экологоориентированный подход</w:t>
      </w:r>
    </w:p>
    <w:p w:rsidR="00D92F63" w:rsidRPr="003B2EBE" w:rsidRDefault="003B2EBE">
      <w:pPr>
        <w:pStyle w:val="a3"/>
      </w:pPr>
      <w:r>
        <w:t> </w:t>
      </w:r>
    </w:p>
    <w:p w:rsidR="00D92F63" w:rsidRDefault="003B2EBE">
      <w:pPr>
        <w:pStyle w:val="a3"/>
      </w:pPr>
      <w:r>
        <w:t> </w:t>
      </w:r>
    </w:p>
    <w:p w:rsidR="00D92F63" w:rsidRDefault="003B2EBE">
      <w:pPr>
        <w:pStyle w:val="a3"/>
      </w:pPr>
      <w:r>
        <w:t>Шкарупа Елена Васильевна</w:t>
      </w:r>
    </w:p>
    <w:p w:rsidR="00D92F63" w:rsidRDefault="003B2EBE">
      <w:pPr>
        <w:pStyle w:val="a3"/>
      </w:pPr>
      <w:r>
        <w:t>к.э.н., доц.</w:t>
      </w:r>
    </w:p>
    <w:p w:rsidR="00D92F63" w:rsidRDefault="003B2EBE">
      <w:pPr>
        <w:pStyle w:val="a3"/>
      </w:pPr>
      <w:r>
        <w:t>Бурич Иван Васильевич</w:t>
      </w:r>
    </w:p>
    <w:p w:rsidR="00D92F63" w:rsidRDefault="003B2EBE">
      <w:pPr>
        <w:pStyle w:val="a3"/>
      </w:pPr>
      <w:r>
        <w:t>соискатель</w:t>
      </w:r>
    </w:p>
    <w:p w:rsidR="00D92F63" w:rsidRDefault="003B2EBE">
      <w:pPr>
        <w:pStyle w:val="a3"/>
      </w:pPr>
      <w:r>
        <w:t>Часнык Юлия Николаевна</w:t>
      </w:r>
    </w:p>
    <w:p w:rsidR="00D92F63" w:rsidRDefault="003B2EBE">
      <w:pPr>
        <w:pStyle w:val="a3"/>
      </w:pPr>
      <w:r>
        <w:t>студент</w:t>
      </w:r>
    </w:p>
    <w:p w:rsidR="00D92F63" w:rsidRDefault="003B2EBE">
      <w:pPr>
        <w:pStyle w:val="a3"/>
      </w:pPr>
      <w:r>
        <w:t>кафедра Экономики и бизнес-администрирования</w:t>
      </w:r>
    </w:p>
    <w:p w:rsidR="00D92F63" w:rsidRDefault="003B2EBE">
      <w:pPr>
        <w:pStyle w:val="a3"/>
      </w:pPr>
      <w:r>
        <w:t>Сумский государственный университет</w:t>
      </w:r>
    </w:p>
    <w:p w:rsidR="00D92F63" w:rsidRDefault="003B2EBE">
      <w:pPr>
        <w:pStyle w:val="a3"/>
      </w:pPr>
      <w:r>
        <w:t>г. Сумы, Украина</w:t>
      </w:r>
    </w:p>
    <w:p w:rsidR="00D92F63" w:rsidRDefault="003B2EBE">
      <w:pPr>
        <w:pStyle w:val="a3"/>
      </w:pPr>
      <w:r>
        <w:t>Проблема устойчивого развития, с необычайной остротой вставшая перед человечеством в наше время, требует поиска доступных способов решения экономических, социальных и экологических проблем на каждой отдельной территории региона. Регион являет собой пространственно-территориальную систему, действующую на основе институциональных механизмов. Это система, ориентированная на создание эффективной региональной экономической интеграции, основанной на взаимном интересе и равноправном партнерстве самостоятельных товаропроизводителей, которые руководствуются законами и общими правилами рыночных отношений в масштабах всей страны [1].</w:t>
      </w:r>
    </w:p>
    <w:p w:rsidR="00D92F63" w:rsidRDefault="003B2EBE">
      <w:pPr>
        <w:pStyle w:val="a3"/>
      </w:pPr>
      <w:r>
        <w:t>Учитывая активные процессы трансформации региональной системы, протекавшие в течение последних десятилетий, стоит обратить внимание на тот ряд проблем, которые касаются каждого современного региона, а именно: транспортные, жилищные, проблемы загрязнения, деградация экосистем, духовный кризис, повышение уровня заболеваний населения и т.д. Поэтому, вопрос о повышении качества регионального развития с учетом экологически ориентированных, инновационных, территориальных факторов, которые могли бы обеспечить решение существующих проблем стоит особенно остро.</w:t>
      </w:r>
    </w:p>
    <w:p w:rsidR="00D92F63" w:rsidRDefault="003B2EBE">
      <w:pPr>
        <w:pStyle w:val="a3"/>
      </w:pPr>
      <w:r>
        <w:t>На наш взгляд, в современных условиях социально-экономической дифференциации регионов, ограниченности финансовых, материальных и природных ресурсов все большее значение для развития экономики регионов приобретает инновационно-креативная составляющая. Активизация глобальных процессов и трансформация эколого-экономических отношений, их инновационная направленность требует понимания «креативности» как движущей силы современной экономической системы.</w:t>
      </w:r>
    </w:p>
    <w:p w:rsidR="00D92F63" w:rsidRDefault="003B2EBE">
      <w:pPr>
        <w:pStyle w:val="a3"/>
      </w:pPr>
      <w:r>
        <w:t>Именно поэтому, чрезвычайно важным является обеспечение креативных возможностей в регионах и городах, которые являются главными центрами экономической жизни общества, что будет способствовать повышению, как их инвестиционной привлекательности, так и эффективности функционирования.</w:t>
      </w:r>
    </w:p>
    <w:p w:rsidR="00D92F63" w:rsidRDefault="003B2EBE">
      <w:pPr>
        <w:pStyle w:val="a3"/>
      </w:pPr>
      <w:r>
        <w:t>Исследование особенностей креативного потенциала экономики региона является актуальным также в свете мирового финансового кризиса, последствия которого усилили вопрос о необходимости пересмотра существующих стратегических направлений регионального развития и формирования новых инновационных моделей, которые бы делали акцент на креативной составляющей.</w:t>
      </w:r>
    </w:p>
    <w:p w:rsidR="00D92F63" w:rsidRDefault="003B2EBE">
      <w:pPr>
        <w:pStyle w:val="a3"/>
      </w:pPr>
      <w:r>
        <w:t>Креативность – это термин, которым определяются «творческие способности индивида, характеризующиеся способностью к продуцированию принципиально новых идей и входящие в структуру одаренности в качестве независимого фактора» [1]. Креативный потенциал региона, на наш взгляд, основывается на дополнительных резервах повышения конкурентоспособности стратегий развития, ориентированных на устойчивость, так как именно креативность (нестандартность мышления) и лежит в основе всех изобретений, научных открытий.</w:t>
      </w:r>
    </w:p>
    <w:p w:rsidR="00D92F63" w:rsidRDefault="003B2EBE">
      <w:pPr>
        <w:pStyle w:val="a3"/>
      </w:pPr>
      <w:r>
        <w:t>В условиях информационного общества и трансформационных изменений в экономике, в обществе возникает потребность в личностях и способах принятия решений, которые имеют способность к саморазвитию, имеют нестандартный подход и могут внести новое качество в социальную и экономическую жизнь общества. Термином «креативный» обозначается творчество, которое «не только выдвигает идеи, но и доводит их до конкретного практического результата». В англоязычной литературе, как правило, термином «creativity» обозначают все, что имеет непосредственное отношение к созданию чего-то нового, собственно процесс такого создания; продукт этого процесса, его субъект; обстоятельства, в которых проходит творческий процесс; факторы, которые его обусловливают.</w:t>
      </w:r>
    </w:p>
    <w:p w:rsidR="00D92F63" w:rsidRDefault="003B2EBE">
      <w:pPr>
        <w:pStyle w:val="a3"/>
      </w:pPr>
      <w:r>
        <w:t>На наш взгляд, в условиях активизации глобальных процессов и соответствующей трансформации экономических систем, инновационная концепция общественного развития требует понимания креативности как движущей силы постиндустриальной экономики. Именно поэтому, чрезвычайно важным является обеспечение креативного бизнес-потенциала в регионах и городах, являющихся главными центрами экономической жизни, что будет способствовать повышению их инвестиционной привлекательности, эффективности функционирования, привлечению высококвалифицированных специалистов и повышения уровня и качества жизни в целом.</w:t>
      </w:r>
    </w:p>
    <w:p w:rsidR="00D92F63" w:rsidRDefault="003B2EBE">
      <w:pPr>
        <w:pStyle w:val="a3"/>
      </w:pPr>
      <w:r>
        <w:t>На основании данных [2] нами установлено, что для представителей организаций, которые определили креативность как ключевой фактор успешного развития, характерен набор качеств, к которым относятся: широкий кругозор и готовность к риску, сосредоточенность на долгосрочных целях и четкое понимание стратегии; способность работать, опираясь на местную специфику, и находить сильные стороны в очевидных недостатках, желание слушать и учиться. Эти черты обеспечивают креативный характер людям, проектам, организациям и, как следствие, регионам, в которых они функционируют.</w:t>
      </w:r>
    </w:p>
    <w:p w:rsidR="00D92F63" w:rsidRDefault="003B2EBE">
      <w:pPr>
        <w:pStyle w:val="a3"/>
      </w:pPr>
      <w:r>
        <w:t>Таким образом, креативный потенциал развития региона базируется на творческом мышлении людей, творческом планировании и творческой инициативной деятельности, а ключевыми факторами ее является адаптивность, гибкость и способность находить новые решения. Все чаще составляющими успеха предприятия или страны становятся гибкость в принятии решений и открытость к инновациям, в том числе экологоориентированным.</w:t>
      </w:r>
    </w:p>
    <w:p w:rsidR="00D92F63" w:rsidRDefault="003B2EBE">
      <w:pPr>
        <w:pStyle w:val="a3"/>
      </w:pPr>
      <w:r>
        <w:t>С целью определения важнейших критериев оценки и влияния факторов (миграция, инфраструктура, бюджет, экология, преступность, деловой потенциал, безработица, средняя зарплата, жилищно-коммунальные услуги, недвижимость, образование, культура, туристическая привлекательность) в рейтинге лучших для жизни городов Украины нами были проанализированы результаты рейтинговой оценки городов за 2011-2012 гг. путем нахождения коэффициентов парной корреляции. Графическое представление одного из показателей и зависимости результирующего фактора - рейтинга города в списке от рассматриваемого критерия представлено на рис. 1 и табл. 1.</w:t>
      </w:r>
    </w:p>
    <w:p w:rsidR="00D92F63" w:rsidRDefault="00F91CE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5.75pt;height:165.75pt">
            <v:imagedata r:id="rId4" o:title=""/>
          </v:shape>
        </w:pict>
      </w:r>
    </w:p>
    <w:p w:rsidR="00D92F63" w:rsidRDefault="003B2EBE">
      <w:pPr>
        <w:pStyle w:val="a3"/>
      </w:pPr>
      <w:r>
        <w:t>Рис. 1. Зависимость рейтинговой оценки региона от показателя «экология».</w:t>
      </w:r>
    </w:p>
    <w:p w:rsidR="00D92F63" w:rsidRDefault="003B2EBE">
      <w:pPr>
        <w:pStyle w:val="a3"/>
      </w:pPr>
      <w:r>
        <w:t>Исследование механизма рейтинговой оценки креативных городов Украины выявило, что факторами, которые больше всего влияют на рейтинг города в общем списке, являются туристическая привлекательность, культурные показатели, уровень образования и инфраструктура. Результаты проведенного корреляционно-регрессионного анализа панельных данных дают основания полагать, что место в общем рейтинге лучших городов в Украине зависит, прежде всего, от занятых позиций в таких категориях, как «культура», «туристическая привлекательность», «образование» и «инфраструктура», которым соответствуют наибольшие значения коэффициентов корреляции.</w:t>
      </w:r>
    </w:p>
    <w:p w:rsidR="00D92F63" w:rsidRDefault="003B2EBE">
      <w:pPr>
        <w:pStyle w:val="a3"/>
      </w:pPr>
      <w:r>
        <w:t>Таблица 1.</w:t>
      </w:r>
    </w:p>
    <w:p w:rsidR="00D92F63" w:rsidRDefault="003B2EBE">
      <w:pPr>
        <w:pStyle w:val="a3"/>
      </w:pPr>
      <w:r>
        <w:t>Влияние места по каждой категории на окончательное место в рейтинге.</w:t>
      </w:r>
    </w:p>
    <w:p w:rsidR="00D92F63" w:rsidRDefault="003B2EBE">
      <w:pPr>
        <w:pStyle w:val="a3"/>
      </w:pPr>
      <w:r>
        <w:t> </w:t>
      </w:r>
    </w:p>
    <w:p w:rsidR="00D92F63" w:rsidRDefault="003B2EBE">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36"/>
        <w:gridCol w:w="36"/>
        <w:gridCol w:w="36"/>
        <w:gridCol w:w="36"/>
        <w:gridCol w:w="36"/>
        <w:gridCol w:w="36"/>
        <w:gridCol w:w="36"/>
        <w:gridCol w:w="36"/>
        <w:gridCol w:w="36"/>
        <w:gridCol w:w="36"/>
        <w:gridCol w:w="36"/>
        <w:gridCol w:w="36"/>
        <w:gridCol w:w="48"/>
      </w:tblGrid>
      <w:tr w:rsidR="00D92F6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92F63" w:rsidRDefault="003B2EBE">
            <w:r>
              <w:t>Показатель</w:t>
            </w:r>
          </w:p>
        </w:tc>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D92F63" w:rsidRDefault="003B2EBE">
            <w:r>
              <w:t>Место по категории</w:t>
            </w:r>
          </w:p>
        </w:tc>
      </w:tr>
      <w:tr w:rsidR="00D92F63">
        <w:trPr>
          <w:trHeight w:val="216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2F63" w:rsidRDefault="00D92F63"/>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миграция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инфраструктура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бюджет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экология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преступность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деловой потенциал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безработица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средняя зарплата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жилищно-коммунальные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недвижимость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образование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культура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туристическая привлекательность</w:t>
            </w:r>
          </w:p>
        </w:tc>
      </w:tr>
      <w:tr w:rsidR="00D92F63">
        <w:trPr>
          <w:trHeight w:val="94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 </w:t>
            </w:r>
          </w:p>
          <w:p w:rsidR="00D92F63" w:rsidRPr="003B2EBE" w:rsidRDefault="003B2EBE">
            <w:pPr>
              <w:pStyle w:val="a3"/>
            </w:pPr>
            <w:r w:rsidRPr="003B2EBE">
              <w:t>Кп*</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0,36</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0,32</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0,27</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0,42</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0,48</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0,59</w:t>
            </w:r>
          </w:p>
        </w:tc>
      </w:tr>
    </w:tbl>
    <w:p w:rsidR="00D92F63" w:rsidRDefault="003B2EBE">
      <w:r>
        <w:t xml:space="preserve">  </w:t>
      </w:r>
    </w:p>
    <w:p w:rsidR="00D92F63" w:rsidRPr="003B2EBE" w:rsidRDefault="003B2EBE">
      <w:pPr>
        <w:pStyle w:val="a3"/>
      </w:pPr>
      <w:r>
        <w:t>*(Кп – коэффициент парной корреляции между результатом в рейтинге и местом в соответствующей категории)</w:t>
      </w:r>
    </w:p>
    <w:p w:rsidR="00D92F63" w:rsidRDefault="003B2EBE">
      <w:pPr>
        <w:pStyle w:val="a3"/>
      </w:pPr>
      <w:r>
        <w:t>Итак, на основе полученных данных можно сделать вывод, что именно культура, образование и туристическая привлекательность оказывают наибольшее влияние на уровень конкурентоспособности регионов, что полностью соответствует тенденциям современной экономики, поскольку именно благодаря этим факторам создается интеллектуальный потенциал общества, строится социальный капитал, повышается инвестиционная привлекательность, растет валовой региональный продукт, строятся новые конкурентные преимущества. Именно поэтому применение концепции «креативности» для регионов Украины целесообразно в условиях асимметрии регионов, их неравномерного экономического развития, социальных и культурных особенностей. Таким образом, можно считать именно влияние социокультурной детерминанты является решающим для улучшения показателей региональной экономики.</w:t>
      </w:r>
    </w:p>
    <w:p w:rsidR="00D92F63" w:rsidRDefault="003B2EBE">
      <w:pPr>
        <w:pStyle w:val="a3"/>
      </w:pPr>
      <w:r>
        <w:t>Нами была проведена оценка показателей креативного потенциала в период за 2011-2012 гг. по Сумскому региону. В целом тенденция является положительной, особенно по показателю туристической привлекательности (он вырос почти в 2 раза), что свидетельствует о стратегических возможностях повышения конкурентоспособности региона и дает основания считать Сумскую область перспективным регионом в плане развития ее экологоориентиованного креативного потенциала.</w:t>
      </w:r>
    </w:p>
    <w:p w:rsidR="00D92F63" w:rsidRDefault="003B2EBE">
      <w:pPr>
        <w:pStyle w:val="a3"/>
      </w:pPr>
      <w:r>
        <w:t>Таблица 2.</w:t>
      </w:r>
    </w:p>
    <w:p w:rsidR="00D92F63" w:rsidRDefault="003B2EBE">
      <w:pPr>
        <w:pStyle w:val="a3"/>
      </w:pPr>
      <w:r>
        <w:t>Тенденции показателей «креативности» Сумщины в 2011-2012 гг.</w:t>
      </w:r>
    </w:p>
    <w:p w:rsidR="00D92F63" w:rsidRDefault="003B2EBE">
      <w:pPr>
        <w:pStyle w:val="a3"/>
      </w:pPr>
      <w:r>
        <w:t> </w:t>
      </w:r>
    </w:p>
    <w:p w:rsidR="00D92F63" w:rsidRDefault="003B2EBE">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160"/>
        <w:gridCol w:w="160"/>
        <w:gridCol w:w="160"/>
      </w:tblGrid>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2011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2012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Тенденция</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Удельный объем услуг, предоставленных населению в сфере культуры и спорта, отдыха и развлечений в расчете на 1000 человек, грн.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18,64</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19,9</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Удельный объем услуг, предоставленных населению в сфере образования в расчете на 1000 человек, грн.</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21,41</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18,13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Удельное количество туристов (в расчете на 1000 человек), обслуживаемых субъектами туристической деятельности, лиц</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19,83</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38,89</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Отдача вложенных средств в сферу культуры и спорта, отдыха и развлечений по Украине, грн. на вложенную единицу средств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0,84</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0,86</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Эффективность вложений в бюджет развития сферы культуры, грн. на вложенную единицу средств</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 </w:t>
            </w:r>
          </w:p>
          <w:p w:rsidR="00D92F63" w:rsidRPr="003B2EBE" w:rsidRDefault="003B2EBE">
            <w:pPr>
              <w:pStyle w:val="a3"/>
            </w:pPr>
            <w:r w:rsidRPr="003B2EBE">
              <w:t>0,37</w:t>
            </w:r>
          </w:p>
        </w:tc>
      </w:tr>
    </w:tbl>
    <w:p w:rsidR="00D92F63" w:rsidRPr="003B2EBE" w:rsidRDefault="003B2EBE">
      <w:pPr>
        <w:pStyle w:val="a3"/>
      </w:pPr>
      <w:r>
        <w:t> </w:t>
      </w:r>
    </w:p>
    <w:p w:rsidR="00D92F63" w:rsidRDefault="003B2EBE">
      <w:pPr>
        <w:pStyle w:val="a3"/>
      </w:pPr>
      <w:r>
        <w:t>С целью разработки направлений экологоориентированной инновационной трансфорации социально-экномической системы Сумской области нами был сделан ряд аналитических исследований. С помощью SWOT-анализа были определены сильные стороны региона, такие как относительная экологическая чистота, потенциал к экономическому развитию, высокий уровень образования, креативный потенциал персонала предприятий. Среди слабых сторон – отток трудовых ресурсов, значительный износ инфраструктуры, отсутствие последовательной программы по рекламе города и региона, коррумпированность власти, отсутствие четкой программы регионального стратегического развития и т.п. (табл. 3). В рамках повышения потенциала креативности определяющим положением является формирование яркого территориального бренда с целью привлечения как внутренних, так и внешних инвестиций для улучшения экономического благосостояния жителей региона.</w:t>
      </w:r>
    </w:p>
    <w:p w:rsidR="00D92F63" w:rsidRDefault="003B2EBE">
      <w:pPr>
        <w:pStyle w:val="a3"/>
      </w:pPr>
      <w:r>
        <w:t>Необходимо отметить, что выбросы загрязняющих веществ в атмосферу и сбросы сточных вод в водоемы области составляют менее 1% общих выбросов по Украине. Сумщина также богата природными ресурсами. Настоящей жемчужиной является природный заповедник Михайловская целина. В целом 6,6% территории области составляет заповедный фонд, 19% – лес. Кроме того, Сумщина имеет большой исторический социально-экономическй опыт. В начале прошлого века здесь существовал настоящий, по нынешним меркам, экополис, где преобладало органическое земледелие, – Неплюйское братство на территории нынешнего Ямпольского района [1]. Таким образом, Сумщина может стать инкубатором товаров и услуг экологического назначения, приоритетными направлениями производства которых должны стать аграрная сфера, зеленая энергетика и строительство, экотуризм.</w:t>
      </w:r>
    </w:p>
    <w:p w:rsidR="00D92F63" w:rsidRDefault="003B2EBE">
      <w:pPr>
        <w:pStyle w:val="a3"/>
      </w:pPr>
      <w:r>
        <w:t>Таблица 3.</w:t>
      </w:r>
    </w:p>
    <w:p w:rsidR="00D92F63" w:rsidRDefault="003B2EBE">
      <w:pPr>
        <w:pStyle w:val="a3"/>
      </w:pPr>
      <w:r>
        <w:t>SWOT-анализ потенциала креативности Сумской области.</w:t>
      </w:r>
    </w:p>
    <w:p w:rsidR="00D92F63" w:rsidRDefault="003B2EBE">
      <w:pPr>
        <w:pStyle w:val="a3"/>
      </w:pPr>
      <w:r>
        <w:t> </w:t>
      </w:r>
    </w:p>
    <w:p w:rsidR="00D92F63" w:rsidRDefault="003B2EBE">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Сильные стороны/ strengths</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Слабые стороны/ weaknesses</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Имеющийся потенциал инновационного развития</w:t>
            </w:r>
          </w:p>
          <w:p w:rsidR="00D92F63" w:rsidRPr="003B2EBE" w:rsidRDefault="003B2EBE">
            <w:pPr>
              <w:pStyle w:val="a3"/>
            </w:pPr>
            <w:r w:rsidRPr="003B2EBE">
              <w:t>Древняя история и культура (Путивль, Глухов, Кролевец, Конотоп)</w:t>
            </w:r>
          </w:p>
          <w:p w:rsidR="00D92F63" w:rsidRPr="003B2EBE" w:rsidRDefault="003B2EBE">
            <w:pPr>
              <w:pStyle w:val="a3"/>
            </w:pPr>
            <w:r w:rsidRPr="003B2EBE">
              <w:t>Высокий уровень образования населения</w:t>
            </w:r>
          </w:p>
          <w:p w:rsidR="00D92F63" w:rsidRPr="003B2EBE" w:rsidRDefault="003B2EBE">
            <w:pPr>
              <w:pStyle w:val="a3"/>
            </w:pPr>
            <w:r w:rsidRPr="003B2EBE">
              <w:t>«Креативный» потенциал персонала предприятий</w:t>
            </w:r>
          </w:p>
          <w:p w:rsidR="00D92F63" w:rsidRPr="003B2EBE" w:rsidRDefault="003B2EBE">
            <w:pPr>
              <w:pStyle w:val="a3"/>
            </w:pPr>
            <w:r w:rsidRPr="003B2EBE">
              <w:t>Относительная экологическая чистота</w:t>
            </w:r>
          </w:p>
          <w:p w:rsidR="00D92F63" w:rsidRPr="003B2EBE" w:rsidRDefault="003B2EBE">
            <w:pPr>
              <w:pStyle w:val="a3"/>
            </w:pPr>
            <w:r w:rsidRPr="003B2EBE">
              <w:t>Живописная природа и ландшафты</w:t>
            </w:r>
          </w:p>
          <w:p w:rsidR="00D92F63" w:rsidRPr="003B2EBE" w:rsidRDefault="003B2EBE">
            <w:pPr>
              <w:pStyle w:val="a3"/>
            </w:pPr>
            <w:r w:rsidRPr="003B2EBE">
              <w:t>Низкий уровень преступности</w:t>
            </w:r>
          </w:p>
          <w:p w:rsidR="00D92F63" w:rsidRPr="003B2EBE" w:rsidRDefault="003B2EBE">
            <w:pPr>
              <w:pStyle w:val="a3"/>
            </w:pPr>
            <w:r w:rsidRPr="003B2EBE">
              <w:t>Наличие свободных рыночных ниш, широкое поле деятельности для развития бизнеса</w:t>
            </w:r>
          </w:p>
          <w:p w:rsidR="00D92F63" w:rsidRPr="003B2EBE" w:rsidRDefault="003B2EBE">
            <w:pPr>
              <w:pStyle w:val="a3"/>
            </w:pPr>
            <w:r w:rsidRPr="003B2EBE">
              <w:t>Достаточно высокое качество развития масмедиа и обеспечения свободы слова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Нестабильность и непредсказуемость в политике</w:t>
            </w:r>
          </w:p>
          <w:p w:rsidR="00D92F63" w:rsidRPr="003B2EBE" w:rsidRDefault="003B2EBE">
            <w:pPr>
              <w:pStyle w:val="a3"/>
            </w:pPr>
            <w:r w:rsidRPr="003B2EBE">
              <w:t>Отсутствие единой стратегии развития региона</w:t>
            </w:r>
          </w:p>
          <w:p w:rsidR="00D92F63" w:rsidRPr="003B2EBE" w:rsidRDefault="003B2EBE">
            <w:pPr>
              <w:pStyle w:val="a3"/>
            </w:pPr>
            <w:r w:rsidRPr="003B2EBE">
              <w:t>Недостаточный уровень бизнес ориентированной информации (имеющиеся ресурсы, состояние рынка)</w:t>
            </w:r>
          </w:p>
          <w:p w:rsidR="00D92F63" w:rsidRPr="003B2EBE" w:rsidRDefault="003B2EBE">
            <w:pPr>
              <w:pStyle w:val="a3"/>
            </w:pPr>
            <w:r w:rsidRPr="003B2EBE">
              <w:t>Недостаточная развитость третьего сектора (союзов, ассоциаций бизнеса, общественных организаций)</w:t>
            </w:r>
          </w:p>
          <w:p w:rsidR="00D92F63" w:rsidRPr="003B2EBE" w:rsidRDefault="003B2EBE">
            <w:pPr>
              <w:pStyle w:val="a3"/>
            </w:pPr>
            <w:r w:rsidRPr="003B2EBE">
              <w:t>Отсутствие последовательной программы по рекламе города и региона</w:t>
            </w:r>
          </w:p>
          <w:p w:rsidR="00D92F63" w:rsidRPr="003B2EBE" w:rsidRDefault="003B2EBE">
            <w:pPr>
              <w:pStyle w:val="a3"/>
            </w:pPr>
            <w:r w:rsidRPr="003B2EBE">
              <w:t>Отсутствие структур, которые занимались бы созданием и продвижением имиджа данной территории</w:t>
            </w:r>
          </w:p>
          <w:p w:rsidR="00D92F63" w:rsidRPr="003B2EBE" w:rsidRDefault="003B2EBE">
            <w:pPr>
              <w:pStyle w:val="a3"/>
            </w:pPr>
            <w:r w:rsidRPr="003B2EBE">
              <w:t>Значительный износ инфраструктуры</w:t>
            </w:r>
          </w:p>
          <w:p w:rsidR="00D92F63" w:rsidRPr="003B2EBE" w:rsidRDefault="003B2EBE">
            <w:pPr>
              <w:pStyle w:val="a3"/>
            </w:pPr>
            <w:r w:rsidRPr="003B2EBE">
              <w:t>Отсутствие мотивации по продвижению "бренда" Сумщины</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Возможности/opportunities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Default="003B2EBE">
            <w:r>
              <w:t>Угрозы/threats</w:t>
            </w:r>
          </w:p>
        </w:tc>
      </w:tr>
      <w:tr w:rsidR="00D92F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Крупные аграрные возможности</w:t>
            </w:r>
          </w:p>
          <w:p w:rsidR="00D92F63" w:rsidRPr="003B2EBE" w:rsidRDefault="003B2EBE">
            <w:pPr>
              <w:pStyle w:val="a3"/>
            </w:pPr>
            <w:r w:rsidRPr="003B2EBE">
              <w:t>Разработка и активное внедрение технических и индустриальных парков в Конотопе, Шостке и Сумах</w:t>
            </w:r>
          </w:p>
          <w:p w:rsidR="00D92F63" w:rsidRPr="003B2EBE" w:rsidRDefault="003B2EBE">
            <w:pPr>
              <w:pStyle w:val="a3"/>
            </w:pPr>
            <w:r w:rsidRPr="003B2EBE">
              <w:t>Использование фактора нефтегазоносного региона, где добывается более 40% украинской нефти</w:t>
            </w:r>
          </w:p>
          <w:p w:rsidR="00D92F63" w:rsidRPr="003B2EBE" w:rsidRDefault="003B2EBE">
            <w:pPr>
              <w:pStyle w:val="a3"/>
            </w:pPr>
            <w:r w:rsidRPr="003B2EBE">
              <w:t>Создание региональной структуры из местного экономического развития, которые занимались бы исключительно "брендированием" своей территории для привлечения прямых иностранных инвестиций</w:t>
            </w:r>
          </w:p>
          <w:p w:rsidR="00D92F63" w:rsidRPr="003B2EBE" w:rsidRDefault="003B2EBE">
            <w:pPr>
              <w:pStyle w:val="a3"/>
            </w:pPr>
            <w:r w:rsidRPr="003B2EBE">
              <w:t>"Раскрутка" региональных художественных фестивалей до серьезного европейского уровня</w:t>
            </w:r>
          </w:p>
          <w:p w:rsidR="00D92F63" w:rsidRPr="003B2EBE" w:rsidRDefault="003B2EBE">
            <w:pPr>
              <w:pStyle w:val="a3"/>
            </w:pPr>
            <w:r w:rsidRPr="003B2EBE">
              <w:t>Создание потенциального бренда "Инвестиционный оазис"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D92F63" w:rsidRPr="003B2EBE" w:rsidRDefault="003B2EBE">
            <w:pPr>
              <w:pStyle w:val="a3"/>
            </w:pPr>
            <w:r w:rsidRPr="003B2EBE">
              <w:t>Медленные изменения ментальности жителей территориальных общин</w:t>
            </w:r>
          </w:p>
          <w:p w:rsidR="00D92F63" w:rsidRPr="003B2EBE" w:rsidRDefault="003B2EBE">
            <w:pPr>
              <w:pStyle w:val="a3"/>
            </w:pPr>
            <w:r w:rsidRPr="003B2EBE">
              <w:t>Несовершенство дейтсивй исполнительной сферы власти</w:t>
            </w:r>
          </w:p>
          <w:p w:rsidR="00D92F63" w:rsidRPr="003B2EBE" w:rsidRDefault="003B2EBE">
            <w:pPr>
              <w:pStyle w:val="a3"/>
            </w:pPr>
            <w:r w:rsidRPr="003B2EBE">
              <w:t>Неудачные примеры иностранных инвестиций в Сумскую область</w:t>
            </w:r>
          </w:p>
          <w:p w:rsidR="00D92F63" w:rsidRPr="003B2EBE" w:rsidRDefault="003B2EBE">
            <w:pPr>
              <w:pStyle w:val="a3"/>
            </w:pPr>
            <w:r w:rsidRPr="003B2EBE">
              <w:t>Высокая смертность населения</w:t>
            </w:r>
          </w:p>
          <w:p w:rsidR="00D92F63" w:rsidRPr="003B2EBE" w:rsidRDefault="003B2EBE">
            <w:pPr>
              <w:pStyle w:val="a3"/>
            </w:pPr>
            <w:r w:rsidRPr="003B2EBE">
              <w:t>Сложные таможенные процедуры</w:t>
            </w:r>
          </w:p>
          <w:p w:rsidR="00D92F63" w:rsidRPr="003B2EBE" w:rsidRDefault="003B2EBE">
            <w:pPr>
              <w:pStyle w:val="a3"/>
            </w:pPr>
            <w:r w:rsidRPr="003B2EBE">
              <w:t>Отток человеческих ресурсов и миграция</w:t>
            </w:r>
          </w:p>
          <w:p w:rsidR="00D92F63" w:rsidRPr="003B2EBE" w:rsidRDefault="003B2EBE">
            <w:pPr>
              <w:pStyle w:val="a3"/>
            </w:pPr>
            <w:r w:rsidRPr="003B2EBE">
              <w:t>Агрессивная конкуренция (Черниговская и Полтавская как альтернатива для туристов)</w:t>
            </w:r>
          </w:p>
          <w:p w:rsidR="00D92F63" w:rsidRPr="003B2EBE" w:rsidRDefault="003B2EBE">
            <w:pPr>
              <w:pStyle w:val="a3"/>
            </w:pPr>
            <w:r w:rsidRPr="003B2EBE">
              <w:t>Износ инфраструктуры и коммуникаций</w:t>
            </w:r>
          </w:p>
        </w:tc>
      </w:tr>
    </w:tbl>
    <w:p w:rsidR="00D92F63" w:rsidRPr="003B2EBE" w:rsidRDefault="003B2EBE">
      <w:pPr>
        <w:pStyle w:val="a3"/>
      </w:pPr>
      <w:r>
        <w:t> </w:t>
      </w:r>
    </w:p>
    <w:p w:rsidR="00D92F63" w:rsidRDefault="003B2EBE">
      <w:pPr>
        <w:pStyle w:val="a3"/>
      </w:pPr>
      <w:r>
        <w:t>Выводы. В результате оценки и теоретического обоснования особенностей креативного потенциала в региональном стратегическом развитии было обнаружено, что системообразующим фактором является креативный потенциал региона, основу которого составляют творческие индустрии и креативный класс – работники предприятий, которые создают нематериальные активы, приносящие материальные выгоды, – новые идеи и технологии, то есть поддерживают современный уровень производства и услуг, в том числе и экологических.</w:t>
      </w:r>
    </w:p>
    <w:p w:rsidR="00D92F63" w:rsidRDefault="003B2EBE">
      <w:pPr>
        <w:pStyle w:val="a3"/>
      </w:pPr>
      <w:r>
        <w:t>В рамках рекомендаций можно предложить следующее: включить предложенные подходы к определению креативности потенциала региона к системе показателей инвестиционной перспективности, вариантов развития бизнеса; использовать показатель «креативность» инновационной среды отдельного города или региона при обосновании пространственных вариантов создания нового бизнеса и разработке стратегий развития; применять креативную составляющую эколого-экономической системы оценки при разработке стратегии развития региона; принять за приоритет инициирование как можно большего количества общественных креативных инициатив.</w:t>
      </w:r>
    </w:p>
    <w:p w:rsidR="00D92F63" w:rsidRDefault="003B2EBE">
      <w:pPr>
        <w:pStyle w:val="a3"/>
      </w:pPr>
      <w:r>
        <w:t>Актуализация проблем недоиспользования инновационных или креативных подходов в планировании на Украине сегодня растет в связи с мировыми процессами глобализации. Детальное стратегическое планирование регионального развития с ориентацией на «креативность» требует адаптации мировой управленческой практики, особенно в части дальнейших аналитических исследований.</w:t>
      </w:r>
    </w:p>
    <w:p w:rsidR="00D92F63" w:rsidRDefault="003B2EBE">
      <w:pPr>
        <w:pStyle w:val="a3"/>
      </w:pPr>
      <w:r>
        <w:t>Список литературы</w:t>
      </w:r>
    </w:p>
    <w:p w:rsidR="00D92F63" w:rsidRDefault="003B2EBE">
      <w:pPr>
        <w:pStyle w:val="a3"/>
      </w:pPr>
      <w:r>
        <w:t>Формування на території Сумської області ЕКОПОЛІСУ – науково-виробничо-освітнього комплексу з виробництва і реалізації товарів екологічного призначення (концептуальні положення). – Суми: ВТД «Университетская книга», 2003. – 36 с.</w:t>
      </w:r>
    </w:p>
    <w:p w:rsidR="00D92F63" w:rsidRDefault="003B2EBE">
      <w:pPr>
        <w:pStyle w:val="a3"/>
      </w:pPr>
      <w:r>
        <w:t>Статистика Европейской комиссии. – [Электронный ресурс]. – Режим доступа: http://epp.eurostat.ec.europa.eu</w:t>
      </w:r>
      <w:bookmarkStart w:id="0" w:name="_GoBack"/>
      <w:bookmarkEnd w:id="0"/>
    </w:p>
    <w:sectPr w:rsidR="00D92F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EBE"/>
    <w:rsid w:val="003B2EBE"/>
    <w:rsid w:val="00D92F63"/>
    <w:rsid w:val="00F91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4484430-ED43-4A87-B5B0-2CE13866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Words>
  <Characters>12636</Characters>
  <Application>Microsoft Office Word</Application>
  <DocSecurity>0</DocSecurity>
  <Lines>105</Lines>
  <Paragraphs>29</Paragraphs>
  <ScaleCrop>false</ScaleCrop>
  <Company>diakov.net</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креативного потенциала развития региона: экологоориентированный подход</dc:title>
  <dc:subject/>
  <dc:creator>Irina</dc:creator>
  <cp:keywords/>
  <dc:description/>
  <cp:lastModifiedBy>Irina</cp:lastModifiedBy>
  <cp:revision>2</cp:revision>
  <dcterms:created xsi:type="dcterms:W3CDTF">2014-09-05T06:34:00Z</dcterms:created>
  <dcterms:modified xsi:type="dcterms:W3CDTF">2014-09-05T06:34:00Z</dcterms:modified>
</cp:coreProperties>
</file>