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F43" w:rsidRDefault="00BF50D3">
      <w:pPr>
        <w:pStyle w:val="1"/>
        <w:jc w:val="center"/>
      </w:pPr>
      <w:r>
        <w:t>Триглицериды масел семян некоторых хвойных растений</w:t>
      </w:r>
    </w:p>
    <w:p w:rsidR="000C1F43" w:rsidRPr="00BF50D3" w:rsidRDefault="00BF50D3">
      <w:pPr>
        <w:pStyle w:val="a3"/>
      </w:pPr>
      <w:r>
        <w:t> </w:t>
      </w:r>
    </w:p>
    <w:p w:rsidR="000C1F43" w:rsidRDefault="00BF50D3">
      <w:pPr>
        <w:pStyle w:val="a3"/>
      </w:pPr>
      <w:r>
        <w:t>В.И. Дейнека, И.С. Ефимова, А.В. Туртыгин, В.Н. Сорокопудов</w:t>
      </w:r>
    </w:p>
    <w:p w:rsidR="000C1F43" w:rsidRDefault="00BF50D3">
      <w:pPr>
        <w:pStyle w:val="a3"/>
      </w:pPr>
      <w:r>
        <w:t>Белгородский государственный университет</w:t>
      </w:r>
    </w:p>
    <w:p w:rsidR="000C1F43" w:rsidRDefault="00BF50D3">
      <w:pPr>
        <w:pStyle w:val="a3"/>
      </w:pPr>
      <w:r>
        <w:t>В работе методом обращенно-фазовой ВЭЖХ с рефрактометрическим детектированием исследован триглицеридный и рассчитан жирнокислотный состав масел семян некоторых растений семейства Pinaceae. Показано,что 5Z-,9Z-,^Z-октадекатриеновая(пиноленовая)кислота в количестве 20-30 моль % входит в состав триглицеридов большинства исследованных масел, причем триглицериды, содержащие более одного радикала, для этих масел не характерны. Установлено, что в ряде семян растений трибы сосновые возможно снижение содержания пиноленовой кислоты вплоть до полного отсутствия.</w:t>
      </w:r>
    </w:p>
    <w:p w:rsidR="000C1F43" w:rsidRDefault="00BF50D3">
      <w:pPr>
        <w:pStyle w:val="a3"/>
      </w:pPr>
      <w:r>
        <w:t>Введение</w:t>
      </w:r>
    </w:p>
    <w:p w:rsidR="000C1F43" w:rsidRDefault="00BF50D3">
      <w:pPr>
        <w:pStyle w:val="a3"/>
      </w:pPr>
      <w:r>
        <w:t>Семейство Pinaceae насчитывает 10 - 11 родов и не менее 250 видов, по распространению почти нацело ограниченных северным полушарием [1]. Семейство делится на 3 трибы: пихтовые (Abieteae), лиственничные (Lariceae) и сосновые (Pinасeae). В трибе пихтовые - 6 родов, среди которых пихта (Abies) и ель (Picea). В трибе лиственничные - 3 рода, среди которых лиственница (Larix) и кедр (Cedrus). Триба сосновые содержит род сосен (Pinus), среди которых имеется группа видов, объединенная в секцию Cembra, одну из древнейших в роде. В секцию Cembra включают несколько растений: сосну кедровую сибирскую (кедр сибирский) - Pinus sibirica; сосну кедровую корейскую (кедр корейский) - P. koraiensis; сосну кедровую европейскую (кедр европейский) - P. cembra и кедровый стланник (сосна кедровая стланниковая) - P. pumila. Именно кедр сибирский представляет наибольший интерес как источник растительного масла, которое в наше время поступает в аптеки от целого ряда производителей. Строго говоря, семена пиний (P. pinea) крупнее и считаются вкуснее «кедровых орешек», но по площадям естественного произрастания сосне сибирской нет равных.</w:t>
      </w:r>
    </w:p>
    <w:p w:rsidR="000C1F43" w:rsidRDefault="00BF50D3">
      <w:pPr>
        <w:pStyle w:val="a3"/>
      </w:pPr>
      <w:r>
        <w:t>Кедровое масло в настоящее время рассматривается как ценный питательный и лечебнопрофилактический продукт [2]. Но, как отмечалось в работе [3], относительно жирнокислотного состава кедрового масла даже в научной литературе можно найти работы с невнятным или неверным определением октадекатриеновой кислоты. На сайте http://www.siberiagoldenherbs.com/, ориентированном на экспорт продукта, обоснование ценности масла начинается с названия, в котором кедровое масло рекламируется как продукт, обогащенный у-линоленовой кислотой. Основная октадекатриеновая (пиноленовая) кислота масла содержит двойные связи в положениях 5, 9 и 12 [4], что лишь довольно близко к расположениюдвойныхсвязейв у-линоленовой кислоте (6Z-, 9Z-, ^Z-октадекатриеновой кислоте). Соответственно ошибочно утверждение на другом сайте - о благоприятном, по современным представлениям, соотношении 1:4 для ю-3 и ю-6 жирных кислот в кедровом масле, поскольку в нем ю-3 кислот вообще нет. Ошибочно и утверждение о том, что кедровое масло многократно упоминается в Священном писании (речь идет о кедре ливанском). Впрочем, на сайте http://www.pinenut.com/ приводится верная информация о жирнокислотном составе масла; наконец весьма интересно сообщение об исследовании, выполненном голландской фирмой Lipid Nutrition, показавшем способность кедрового масла подавлять аппетит, защищая организм от переедания.</w:t>
      </w:r>
    </w:p>
    <w:p w:rsidR="000C1F43" w:rsidRDefault="00BF50D3">
      <w:pPr>
        <w:pStyle w:val="a3"/>
      </w:pPr>
      <w:r>
        <w:t>Цель настоящей работы - исследование триглицеридного состава масел семян растений семейства сосновые методом высокоэффективной жидкостной хроматографии. Данная работа является продолжением серии исследований триглицеридного состава растительных масел белгородской флоры.</w:t>
      </w:r>
    </w:p>
    <w:p w:rsidR="000C1F43" w:rsidRDefault="00BF50D3">
      <w:pPr>
        <w:pStyle w:val="a3"/>
      </w:pPr>
      <w:r>
        <w:t>Экспериментальная часть</w:t>
      </w:r>
    </w:p>
    <w:p w:rsidR="000C1F43" w:rsidRDefault="00BF50D3">
      <w:pPr>
        <w:pStyle w:val="a3"/>
      </w:pPr>
      <w:r>
        <w:t>Для обращенно-фазовой ВЭЖХ использовали хроматографическую систему, составленную из насоса Altex 110A, крана-дозатора Rheodyne 7100 с петлей объемом 20 мкл, детектора RI 401 Waters. Для регистрации и обработки хроматограмм использовали ПП Мультихром 1,5 (Ampersand Ltd. 2005). Хроматографические условия: колонка 250x4 мм, Диасфер-110-С18, 5 мкм; подвижная фаза ацетонитрил - ацетон (10 : 90 об.) 1 мл/мин.</w:t>
      </w:r>
    </w:p>
    <w:p w:rsidR="000C1F43" w:rsidRDefault="00BF50D3">
      <w:pPr>
        <w:pStyle w:val="a3"/>
      </w:pPr>
      <w:r>
        <w:t>Масла экстрагировали ацетоном из семян, измельченных с кварцевым песком, в течение 30 мин. При определении времен удерживания триглицеридов первоначально использовали предварительную экстракцию гидрофильных составляющих ацетонитрилом.</w:t>
      </w:r>
    </w:p>
    <w:p w:rsidR="000C1F43" w:rsidRDefault="00BF50D3">
      <w:pPr>
        <w:pStyle w:val="a3"/>
      </w:pPr>
      <w:r>
        <w:t>Определение триглицеридного состава, расчет жирнокислотного состава масел выполняли по инкрементной модели [3]. Способ обозначения кислот и триглицеридов: Х - радикалы пиноленовой, Л - линолевой, О - олеиновой, П - пальмитиновой и С - стеариновой кислот; ХЛ2 - триглицерид, содержащий радикалы пиноленовой и два радикала линолевой кислот без уточнения их положения в молекуле. В качестве образца сравнения использовали масло кедрового ореха (ООО ТПК «Ароматы жизни»).</w:t>
      </w:r>
    </w:p>
    <w:p w:rsidR="000C1F43" w:rsidRDefault="00BF50D3">
      <w:pPr>
        <w:pStyle w:val="a3"/>
      </w:pPr>
      <w:r>
        <w:t>Результаты и обсуждение</w:t>
      </w:r>
    </w:p>
    <w:p w:rsidR="000C1F43" w:rsidRDefault="00BF50D3">
      <w:pPr>
        <w:pStyle w:val="a3"/>
      </w:pPr>
      <w:r>
        <w:t>Типичные хроматограммы ряда исследованных масел представлены на рис. 1.</w:t>
      </w:r>
    </w:p>
    <w:p w:rsidR="000C1F43" w:rsidRDefault="00AD3855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75pt;height:264.75pt">
            <v:imagedata r:id="rId4" o:title=""/>
          </v:shape>
        </w:pict>
      </w:r>
    </w:p>
    <w:p w:rsidR="000C1F43" w:rsidRDefault="00BF50D3">
      <w:pPr>
        <w:pStyle w:val="a3"/>
      </w:pPr>
      <w:r>
        <w:t>Рис.1. Разделение триглицеридов масел семян некоторых растений семейства Pinaceae:</w:t>
      </w:r>
    </w:p>
    <w:p w:rsidR="000C1F43" w:rsidRDefault="00BF50D3">
      <w:pPr>
        <w:pStyle w:val="a3"/>
      </w:pPr>
      <w:r>
        <w:t>А - сосна обыкновенная, Б - ель обыкновенная, В - пихта сибирская,</w:t>
      </w:r>
    </w:p>
    <w:p w:rsidR="000C1F43" w:rsidRDefault="00BF50D3">
      <w:pPr>
        <w:pStyle w:val="a3"/>
      </w:pPr>
      <w:r>
        <w:t>Г - лиственница сибирская. Триглицериды: 1 - Х2Л; 2 - ХЛ2; 3 - Л3; 4 - ХЛО;</w:t>
      </w:r>
    </w:p>
    <w:p w:rsidR="000C1F43" w:rsidRDefault="00BF50D3">
      <w:pPr>
        <w:pStyle w:val="a3"/>
      </w:pPr>
      <w:r>
        <w:t>5 - ХЛП; 6 - Л2О; 7 - ХО2+Л2П; 8 - ЛО2; 9 - ЛОП+Л2С Основным триглицеридом исследованных масел является ХЛ2, конкуренцию ему составляют только триглицериды состава ХЛО, особенно при высокой доле олеиновой кислоты (табл.1). В данном отношении очевидно преимущество использованного в работе метода анализа триглицеридного состава. В работе [5], в которой исследовали позиционное распределение пиноленовой кислоты анализом продуктов частичного омыления триглицеридов, пришли к выводу о том, что положение 2 глицерина практически не ацилируется этой кислотой. По полученным в настоящей работе результатам можно утверждать, что для масел исследованных семян вообще маловероятно образование триглицеридов, содержащих более одного радикала пиноленовой кислоты.</w:t>
      </w:r>
    </w:p>
    <w:p w:rsidR="000C1F43" w:rsidRDefault="00BF50D3">
      <w:pPr>
        <w:pStyle w:val="a3"/>
      </w:pPr>
      <w:r>
        <w:t>Таблица 1</w:t>
      </w:r>
    </w:p>
    <w:p w:rsidR="000C1F43" w:rsidRDefault="00BF50D3">
      <w:pPr>
        <w:pStyle w:val="a3"/>
      </w:pPr>
      <w:r>
        <w:t>Триглицеридный состав масел семян некоторых растений семейства Pinaceae</w:t>
      </w:r>
    </w:p>
    <w:p w:rsidR="000C1F43" w:rsidRDefault="00BF50D3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60"/>
        <w:gridCol w:w="160"/>
        <w:gridCol w:w="160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48"/>
      </w:tblGrid>
      <w:tr w:rsidR="000C1F43">
        <w:trPr>
          <w:trHeight w:val="39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0C1F43" w:rsidRPr="00BF50D3" w:rsidRDefault="00BF50D3">
            <w:pPr>
              <w:pStyle w:val="a3"/>
            </w:pPr>
            <w:r w:rsidRPr="00BF50D3">
              <w:t>Вид</w:t>
            </w:r>
          </w:p>
          <w:p w:rsidR="000C1F43" w:rsidRPr="00BF50D3" w:rsidRDefault="00BF50D3">
            <w:pPr>
              <w:pStyle w:val="a3"/>
            </w:pPr>
            <w:r w:rsidRPr="00BF50D3">
              <w:t>триг</w:t>
            </w:r>
          </w:p>
          <w:p w:rsidR="000C1F43" w:rsidRPr="00BF50D3" w:rsidRDefault="00BF50D3">
            <w:pPr>
              <w:pStyle w:val="a3"/>
            </w:pPr>
            <w:r w:rsidRPr="00BF50D3">
              <w:t>лице</w:t>
            </w:r>
          </w:p>
          <w:p w:rsidR="000C1F43" w:rsidRPr="00BF50D3" w:rsidRDefault="00BF50D3">
            <w:pPr>
              <w:pStyle w:val="a3"/>
            </w:pPr>
            <w:r w:rsidRPr="00BF50D3">
              <w:t>рида</w:t>
            </w:r>
          </w:p>
        </w:tc>
        <w:tc>
          <w:tcPr>
            <w:tcW w:w="0" w:type="auto"/>
            <w:gridSpan w:val="13"/>
            <w:vAlign w:val="center"/>
            <w:hideMark/>
          </w:tcPr>
          <w:p w:rsidR="000C1F43" w:rsidRDefault="00BF50D3">
            <w:r>
              <w:t>Содержание триглицеридов, моль %</w:t>
            </w:r>
          </w:p>
        </w:tc>
      </w:tr>
      <w:tr w:rsidR="000C1F43">
        <w:trPr>
          <w:trHeight w:val="39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C1F43" w:rsidRPr="00BF50D3" w:rsidRDefault="000C1F43"/>
        </w:tc>
        <w:tc>
          <w:tcPr>
            <w:tcW w:w="0" w:type="auto"/>
            <w:gridSpan w:val="3"/>
            <w:vAlign w:val="center"/>
            <w:hideMark/>
          </w:tcPr>
          <w:p w:rsidR="000C1F43" w:rsidRDefault="00BF50D3">
            <w:r>
              <w:t>Abies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1F43" w:rsidRDefault="00BF50D3">
            <w:r>
              <w:t>Picea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C1F43" w:rsidRDefault="00BF50D3">
            <w:r>
              <w:t>Pinus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1F43" w:rsidRDefault="00BF50D3">
            <w:r>
              <w:t>Larix</w:t>
            </w:r>
          </w:p>
        </w:tc>
      </w:tr>
      <w:tr w:rsidR="000C1F43">
        <w:trPr>
          <w:trHeight w:val="36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C1F43" w:rsidRPr="00BF50D3" w:rsidRDefault="000C1F43"/>
        </w:tc>
        <w:tc>
          <w:tcPr>
            <w:tcW w:w="0" w:type="auto"/>
            <w:vAlign w:val="center"/>
            <w:hideMark/>
          </w:tcPr>
          <w:p w:rsidR="000C1F43" w:rsidRDefault="00BF50D3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13</w:t>
            </w:r>
          </w:p>
        </w:tc>
      </w:tr>
      <w:tr w:rsidR="000C1F4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C1F43" w:rsidRDefault="00BF50D3">
            <w:r>
              <w:t>Х2Л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0,3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3,1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2,7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2,2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11,7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2,0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1,8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0,6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3,4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0,4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Сл.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5,9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9,9</w:t>
            </w:r>
          </w:p>
        </w:tc>
      </w:tr>
      <w:tr w:rsidR="000C1F4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C1F43" w:rsidRDefault="00BF50D3">
            <w:r>
              <w:t>ХЛ2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22,4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21,2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22,5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40,0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38,2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41,4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6,2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37,7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45,2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14,8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0,4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36,9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37,6</w:t>
            </w:r>
          </w:p>
        </w:tc>
      </w:tr>
      <w:tr w:rsidR="000C1F4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C1F43" w:rsidRDefault="00BF50D3">
            <w:r>
              <w:t>ХЛО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22,3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18,8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23,6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25,4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26,3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28,7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3,6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19,0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19,2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7,8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0,5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27,6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23,9</w:t>
            </w:r>
          </w:p>
        </w:tc>
      </w:tr>
      <w:tr w:rsidR="000C1F4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C1F43" w:rsidRDefault="00BF50D3">
            <w:r>
              <w:t>ХЛП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2,5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2,8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2,3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4,8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2,8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4,6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2,2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4,0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4,4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2,8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0,4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4,2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4,1</w:t>
            </w:r>
          </w:p>
        </w:tc>
      </w:tr>
      <w:tr w:rsidR="000C1F4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C1F43" w:rsidRDefault="00BF50D3">
            <w:r>
              <w:t>Х02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7,7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12,2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7,4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4,6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1,8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3,6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0,2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13,4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7,0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2,3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0,2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12,4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8,3</w:t>
            </w:r>
          </w:p>
        </w:tc>
      </w:tr>
      <w:tr w:rsidR="000C1F4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C1F43" w:rsidRDefault="00BF50D3">
            <w:r>
              <w:t>Лз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14,2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11,0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12,5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8,2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9,8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7,7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32,0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8,7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10,7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33,5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17,3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6,5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5,1</w:t>
            </w:r>
          </w:p>
        </w:tc>
      </w:tr>
      <w:tr w:rsidR="000C1F4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C1F43" w:rsidRDefault="00BF50D3">
            <w:r>
              <w:t>Л20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15,5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12,2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13,3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6,3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5,2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6,5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25,5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7,9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7,4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20,9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28,6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4,1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5,5</w:t>
            </w:r>
          </w:p>
        </w:tc>
      </w:tr>
      <w:tr w:rsidR="000C1F4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C1F43" w:rsidRDefault="00BF50D3">
            <w:r>
              <w:t>Л2П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6,8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2,8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7,4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6,8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2,6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3,5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7,1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1,1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0,9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3,6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6,6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0,3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2,8</w:t>
            </w:r>
          </w:p>
        </w:tc>
      </w:tr>
      <w:tr w:rsidR="000C1F4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C1F43" w:rsidRDefault="00BF50D3">
            <w:r>
              <w:t>Л02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6,5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6,6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5,7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1,1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1,1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1,3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10,4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4,0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1,0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7,2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19,9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1,6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2,1</w:t>
            </w:r>
          </w:p>
        </w:tc>
      </w:tr>
      <w:tr w:rsidR="000C1F4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C1F43" w:rsidRDefault="00BF50D3">
            <w:r>
              <w:t>ЛОП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1,8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7,6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2,1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0,4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0,4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0,7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4,4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1,9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0,1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2,5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9,0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0,2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0,7</w:t>
            </w:r>
          </w:p>
        </w:tc>
      </w:tr>
      <w:tr w:rsidR="000C1F4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C1F43" w:rsidRDefault="00BF50D3">
            <w:r>
              <w:t>ЛП2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Сл.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Сл.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Сл.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0.1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Сл.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Сл.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Сл.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0,2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Сл.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0,6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2,0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0,2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Сл.</w:t>
            </w:r>
          </w:p>
        </w:tc>
      </w:tr>
      <w:tr w:rsidR="000C1F4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C1F43" w:rsidRDefault="00BF50D3">
            <w:r>
              <w:t>Оз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Сл.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1,6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0,5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0,1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Сл.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Сл.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2,7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1,5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0,7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0,6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5,9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0,1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Сл.</w:t>
            </w:r>
          </w:p>
        </w:tc>
      </w:tr>
    </w:tbl>
    <w:p w:rsidR="000C1F43" w:rsidRPr="00BF50D3" w:rsidRDefault="00BF50D3">
      <w:pPr>
        <w:pStyle w:val="a3"/>
      </w:pPr>
      <w:r>
        <w:t>Примечание. 1 - fraseri, 2 - mayriana, 3 - sibirica, 4 - abies, 5 - canadensis, 6 - pungens, 7 - brutia, 8 - pumilla, 9 - sylvestris, 10, 11 - неизвестн., 12 - deciduas, 13 - leptolepis.</w:t>
      </w:r>
    </w:p>
    <w:p w:rsidR="000C1F43" w:rsidRDefault="00BF50D3">
      <w:pPr>
        <w:pStyle w:val="a3"/>
      </w:pPr>
      <w:r>
        <w:t>По жирнокислотному составу (табл. 2) большая часть исследованных масел близка к кедровому маслу [3]. Это неудивительно, поскольку пиноленовая кислота используется как своеобразный таксохимический маркер для хвойных растений [6]. В маслах семян елей и лиственниц найдено высокое содержание пиноленовой кислоты (порядка 30,0 моль %), что согласуется с результатами исследования 26 видов и сортов елей и 10 видов и сортов елей, представленных в работе [6]. Высокое содержание этой кислоты характерно и для масел семян пихт.</w:t>
      </w:r>
    </w:p>
    <w:p w:rsidR="000C1F43" w:rsidRDefault="00BF50D3">
      <w:pPr>
        <w:pStyle w:val="a3"/>
      </w:pPr>
      <w:r>
        <w:t>Таблица 2</w:t>
      </w:r>
    </w:p>
    <w:p w:rsidR="000C1F43" w:rsidRDefault="00BF50D3">
      <w:pPr>
        <w:pStyle w:val="a3"/>
      </w:pPr>
      <w:r>
        <w:t>Жирнокислотный состав триглицеридов масел семян некоторых растений семейства Pinaceae</w:t>
      </w:r>
    </w:p>
    <w:p w:rsidR="000C1F43" w:rsidRDefault="00BF50D3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60"/>
        <w:gridCol w:w="160"/>
        <w:gridCol w:w="160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48"/>
      </w:tblGrid>
      <w:tr w:rsidR="000C1F43">
        <w:trPr>
          <w:trHeight w:val="27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0C1F43" w:rsidRDefault="00BF50D3">
            <w:r>
              <w:t> </w:t>
            </w:r>
          </w:p>
        </w:tc>
        <w:tc>
          <w:tcPr>
            <w:tcW w:w="0" w:type="auto"/>
            <w:gridSpan w:val="13"/>
            <w:vAlign w:val="center"/>
            <w:hideMark/>
          </w:tcPr>
          <w:p w:rsidR="000C1F43" w:rsidRDefault="00BF50D3">
            <w:r>
              <w:t>Содержание жирнокислотных радикалов, моль %</w:t>
            </w:r>
          </w:p>
        </w:tc>
      </w:tr>
      <w:tr w:rsidR="000C1F43">
        <w:trPr>
          <w:trHeight w:val="2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C1F43" w:rsidRDefault="000C1F43"/>
        </w:tc>
        <w:tc>
          <w:tcPr>
            <w:tcW w:w="0" w:type="auto"/>
            <w:gridSpan w:val="3"/>
            <w:vAlign w:val="center"/>
            <w:hideMark/>
          </w:tcPr>
          <w:p w:rsidR="000C1F43" w:rsidRDefault="00BF50D3">
            <w:r>
              <w:t>Abies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1F43" w:rsidRDefault="00BF50D3">
            <w:r>
              <w:t>Picea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C1F43" w:rsidRDefault="00BF50D3">
            <w:r>
              <w:t>Pinus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1F43" w:rsidRDefault="00BF50D3">
            <w:r>
              <w:t>Larix</w:t>
            </w:r>
          </w:p>
        </w:tc>
      </w:tr>
      <w:tr w:rsidR="000C1F43">
        <w:trPr>
          <w:trHeight w:val="2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C1F43" w:rsidRDefault="000C1F43"/>
        </w:tc>
        <w:tc>
          <w:tcPr>
            <w:tcW w:w="0" w:type="auto"/>
            <w:vAlign w:val="center"/>
            <w:hideMark/>
          </w:tcPr>
          <w:p w:rsidR="000C1F43" w:rsidRDefault="00BF50D3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13</w:t>
            </w:r>
          </w:p>
        </w:tc>
      </w:tr>
      <w:tr w:rsidR="000C1F4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C1F43" w:rsidRDefault="00BF50D3">
            <w:r>
              <w:t>Х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18,6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20,6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20,6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26,8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31,2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27,8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5,2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25,5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27,9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9,6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0,5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31,4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31,6</w:t>
            </w:r>
          </w:p>
        </w:tc>
      </w:tr>
      <w:tr w:rsidR="000C1F4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C1F43" w:rsidRDefault="00BF50D3">
            <w:r>
              <w:t>Л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55,6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48,6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53,8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55,8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55,1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55,2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68,7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50,4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56,5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68,9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51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47,9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50</w:t>
            </w:r>
          </w:p>
        </w:tc>
      </w:tr>
      <w:tr w:rsidR="000C1F4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C1F43" w:rsidRDefault="00BF50D3">
            <w:r>
              <w:t>O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22,9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27,3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22,4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14,9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12,7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15,5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20,9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22,9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15,3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18,2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39,5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20,4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17,2</w:t>
            </w:r>
          </w:p>
        </w:tc>
      </w:tr>
      <w:tr w:rsidR="000C1F4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0C1F43" w:rsidRDefault="00BF50D3">
            <w:r>
              <w:t>П+С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2,9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3,5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3,2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2,5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1,5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5,2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1,2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0,3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3,3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0,3</w:t>
            </w:r>
          </w:p>
        </w:tc>
        <w:tc>
          <w:tcPr>
            <w:tcW w:w="0" w:type="auto"/>
            <w:vAlign w:val="center"/>
            <w:hideMark/>
          </w:tcPr>
          <w:p w:rsidR="000C1F43" w:rsidRDefault="00BF50D3">
            <w:r>
              <w:t>1,2</w:t>
            </w:r>
          </w:p>
        </w:tc>
      </w:tr>
    </w:tbl>
    <w:p w:rsidR="000C1F43" w:rsidRPr="00BF50D3" w:rsidRDefault="00BF50D3">
      <w:pPr>
        <w:pStyle w:val="a3"/>
      </w:pPr>
      <w:r>
        <w:t>Примечание. Радикалы кислот:Х- 5Z-,9Z-,12Z-октадекатриеновой (пиноленовой),</w:t>
      </w:r>
    </w:p>
    <w:p w:rsidR="000C1F43" w:rsidRDefault="00BF50D3">
      <w:pPr>
        <w:pStyle w:val="a3"/>
      </w:pPr>
      <w:r>
        <w:t>Л - 9Z-, 12Z-октадекадиеновой (линолевой), О - 9Z-октадекаеновой (олеиновой), П - гексадекановой (пальмитиновой), С - октадекановой (стеариновой). 1 - 13 - см. прим. к табл. 1.</w:t>
      </w:r>
    </w:p>
    <w:p w:rsidR="000C1F43" w:rsidRDefault="00BF50D3">
      <w:pPr>
        <w:pStyle w:val="a3"/>
      </w:pPr>
      <w:r>
        <w:t>У сосен состав масел семян не столь однороден. Для масел семян сосен секции Cembra высокое содержание пиноленовой кислоты в целом характерно. Но в упоминавшемся ранее масле семян P. pinea обнаружено следовое содержание этой кислоты, лишь порядка 5 % ее содержится в масле P. halepensis [7]. Известны и другие виды сосен с относительно невысоким содержанием пиноленовой кислоты [8].</w:t>
      </w:r>
    </w:p>
    <w:p w:rsidR="000C1F43" w:rsidRDefault="00BF50D3">
      <w:pPr>
        <w:pStyle w:val="a3"/>
      </w:pPr>
      <w:r>
        <w:t>В табл. 1 и 2 представлены данные исследования состава масел семян двух сосен, шишки которых были приобретены на рынке Сочи под названием кедр кавказский и кедр крымский. Морфологически эти шишки (и семена) не отличались от шишек сосны сибирской. Но, судя по химическому составу масел (рис. 2), они вряд ли могут принадлежать к секции Cembra.</w:t>
      </w:r>
    </w:p>
    <w:p w:rsidR="000C1F43" w:rsidRDefault="00BF50D3">
      <w:pPr>
        <w:pStyle w:val="a3"/>
      </w:pPr>
      <w:r>
        <w:t>Наконец, по виду хроматограммы особенно выделяется масло семян кедра ливанского (рис. 3). Впрочем, триглицериды этого масла по методу инкрементов идентифицируются легко. Основное отличие масла - в необычно высоком по сравнению с маслами остальных рассматриваемых растений содержании радикалов олеиновой кислоты. В принципе полученные результаты для этого масла соответствуют литературным данным [9]; поскольку использованные при анализе плоды были недозрелыми, вероятно, вследствие этого содержание триглицерида Х2Л оказалось высоким.</w:t>
      </w:r>
    </w:p>
    <w:p w:rsidR="000C1F43" w:rsidRDefault="00AD3855">
      <w:pPr>
        <w:pStyle w:val="a3"/>
      </w:pPr>
      <w:r>
        <w:rPr>
          <w:noProof/>
        </w:rPr>
        <w:pict>
          <v:shape id="_x0000_i1032" type="#_x0000_t75" style="width:328.5pt;height:192pt">
            <v:imagedata r:id="rId5" o:title=""/>
          </v:shape>
        </w:pict>
      </w:r>
    </w:p>
    <w:p w:rsidR="000C1F43" w:rsidRDefault="00AD3855">
      <w:pPr>
        <w:pStyle w:val="a3"/>
      </w:pPr>
      <w:r>
        <w:rPr>
          <w:noProof/>
        </w:rPr>
        <w:pict>
          <v:shape id="_x0000_i1035" type="#_x0000_t75" style="width:354pt;height:177pt">
            <v:imagedata r:id="rId6" o:title=""/>
          </v:shape>
        </w:pict>
      </w:r>
    </w:p>
    <w:p w:rsidR="000C1F43" w:rsidRDefault="00BF50D3">
      <w:pPr>
        <w:pStyle w:val="a3"/>
      </w:pPr>
      <w:r>
        <w:t>Рис. 3. Разделение триглицеридов масел семян кедра ливанского:</w:t>
      </w:r>
    </w:p>
    <w:p w:rsidR="000C1F43" w:rsidRDefault="00BF50D3">
      <w:pPr>
        <w:pStyle w:val="a3"/>
      </w:pPr>
      <w:r>
        <w:t>А - масло семян кедра ливанского; Б - масло семян лиственницы сибирской</w:t>
      </w:r>
    </w:p>
    <w:p w:rsidR="000C1F43" w:rsidRDefault="00BF50D3">
      <w:pPr>
        <w:pStyle w:val="a3"/>
      </w:pPr>
      <w:r>
        <w:t>Выводы</w:t>
      </w:r>
    </w:p>
    <w:p w:rsidR="000C1F43" w:rsidRDefault="00BF50D3">
      <w:pPr>
        <w:pStyle w:val="a3"/>
      </w:pPr>
      <w:r>
        <w:t>С использованием метода обращенно-фазовой ВЭЖХ с рефрактометрическим детектированием и применением инкрементного подхода исследован триглицеридный и рассчитан жирнокислотный состав масел семян некоторых растений семейства Pinaceae.</w:t>
      </w:r>
    </w:p>
    <w:p w:rsidR="000C1F43" w:rsidRDefault="00BF50D3">
      <w:pPr>
        <w:pStyle w:val="a3"/>
      </w:pPr>
      <w:r>
        <w:t>Установлено, что все исследованные масла являются высоконенасыщенными. Основными кислотами, образовавшими масла, являются линолевая (примерно 50 моль% и более); на олеиновую и пиноленовую приходится 15- 20 моль % и 0,4 - 30 моль % соответственно.</w:t>
      </w:r>
    </w:p>
    <w:p w:rsidR="000C1F43" w:rsidRDefault="00BF50D3">
      <w:pPr>
        <w:pStyle w:val="a3"/>
      </w:pPr>
      <w:r>
        <w:t>Установлено, что в маслах семян некоторых видов трибы сосновые содержание октадекатриеновой кислоты может быть снижено до полного отсутствия.</w:t>
      </w:r>
    </w:p>
    <w:p w:rsidR="000C1F43" w:rsidRDefault="00BF50D3">
      <w:pPr>
        <w:pStyle w:val="a3"/>
      </w:pPr>
      <w:r>
        <w:t>Рис .2. Разделение триглицеридов масел семян некоторых сосен Б - сосна №10 (крымская), В - №11 (кавказская) на фоне А - сосны обыкновенной.</w:t>
      </w:r>
    </w:p>
    <w:p w:rsidR="000C1F43" w:rsidRDefault="00BF50D3">
      <w:pPr>
        <w:pStyle w:val="a3"/>
      </w:pPr>
      <w:r>
        <w:t>Список литературы</w:t>
      </w:r>
    </w:p>
    <w:p w:rsidR="000C1F43" w:rsidRDefault="00BF50D3">
      <w:pPr>
        <w:pStyle w:val="a3"/>
      </w:pPr>
      <w:r>
        <w:t>Чавчавадзе У.С., Яценко-Хмелевский А.А. Семейство сосновые (Pinaceae) // Жизнь растений: в 6 т. - М.: Просвещение, 1978. - Т.4. - С. 350-374.</w:t>
      </w:r>
    </w:p>
    <w:p w:rsidR="000C1F43" w:rsidRDefault="00BF50D3">
      <w:pPr>
        <w:pStyle w:val="a3"/>
      </w:pPr>
      <w:r>
        <w:t>Озерова В.М. Кедровое масло против склероза и хронической усталости. - СПб.: ИД «Весь», 2006. - 128 с.</w:t>
      </w:r>
    </w:p>
    <w:p w:rsidR="000C1F43" w:rsidRDefault="00BF50D3">
      <w:pPr>
        <w:pStyle w:val="a3"/>
      </w:pPr>
      <w:r>
        <w:t>Дейнека В.И., Дейнека Л.А. Исследование триглицеридного состава масла Pirns Sibirica Du Tour. // Химия природн. соединен. - 2003. - № 2. - С. 126-128.</w:t>
      </w:r>
    </w:p>
    <w:p w:rsidR="000C1F43" w:rsidRDefault="00BF50D3">
      <w:pPr>
        <w:pStyle w:val="a3"/>
      </w:pPr>
      <w:r>
        <w:t>Wolff R.L., Marpeau A.M. Delta5-Olefinic Acids in the Edible Seeds of Nut Pines (Pinus cembroides edulis) from the United States // J. Amer. Oil Chem. Soc. - 1997. - V. 74. - P. 613-614.</w:t>
      </w:r>
    </w:p>
    <w:p w:rsidR="000C1F43" w:rsidRDefault="00BF50D3">
      <w:pPr>
        <w:pStyle w:val="a3"/>
      </w:pPr>
      <w:r>
        <w:t>Blaise P., Tropini V., Farines M., Wolff R.L. Positional Distribution of Delta5-Acids in Triacylglycerols from Conifer Seeds As Determined by Partial Chemical Cleavage // J. Amer. Oil Chem. Soc. - 1977. - V. 74. - P. 165-168.</w:t>
      </w:r>
    </w:p>
    <w:p w:rsidR="000C1F43" w:rsidRDefault="00BF50D3">
      <w:pPr>
        <w:pStyle w:val="a3"/>
      </w:pPr>
      <w:r>
        <w:t>Wolff R.L., Lavialle O., Pedrono F., Pasquier E., Deluc L.G., Marpeau A.M., Aitzetmuller K. Fatty acid composition of Pinaceae as taxonomic markers. // Lipids. - 2001. - V. 36. - P. 439-451.</w:t>
      </w:r>
    </w:p>
    <w:p w:rsidR="000C1F43" w:rsidRDefault="00BF50D3">
      <w:pPr>
        <w:pStyle w:val="a3"/>
      </w:pPr>
      <w:r>
        <w:t>Nasri N., Khaldi A., Hammami M., Triki S. Fatty acid composition of two Tunisian pine seed oil. //Biotechnol. Prog. - 2005. - V.21. - P. 998-1001.</w:t>
      </w:r>
    </w:p>
    <w:p w:rsidR="000C1F43" w:rsidRDefault="00BF50D3">
      <w:pPr>
        <w:pStyle w:val="a3"/>
      </w:pPr>
      <w:r>
        <w:t>Bagci E., Karaagacli Y. Fatty acid and tocochromanol patterns of Turkish pines // Acta Biol. Cracov. - 2004. - V. 46. - P. 95-100.</w:t>
      </w:r>
    </w:p>
    <w:p w:rsidR="000C1F43" w:rsidRDefault="00BF50D3">
      <w:pPr>
        <w:pStyle w:val="a3"/>
      </w:pPr>
      <w:r>
        <w:t>Wolff R.L., Deluc L.G., Marpeau A.M., Comps B. Chemotaxonomic differentiation of conifer families and genera based on the seed oil fatty acid compositions: multivariate analyses. // Trees. - 1997. - V.</w:t>
      </w:r>
    </w:p>
    <w:p w:rsidR="000C1F43" w:rsidRDefault="00BF50D3">
      <w:pPr>
        <w:pStyle w:val="a3"/>
      </w:pPr>
      <w:r>
        <w:t>- Р. 57-65.</w:t>
      </w:r>
    </w:p>
    <w:p w:rsidR="000C1F43" w:rsidRDefault="000C1F43">
      <w:bookmarkStart w:id="0" w:name="_GoBack"/>
      <w:bookmarkEnd w:id="0"/>
    </w:p>
    <w:sectPr w:rsidR="000C1F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50D3"/>
    <w:rsid w:val="000C1F43"/>
    <w:rsid w:val="00AD3855"/>
    <w:rsid w:val="00BF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69A9B70E-4A01-4532-AF17-790443AD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1748</Words>
  <Characters>9964</Characters>
  <Application>Microsoft Office Word</Application>
  <DocSecurity>0</DocSecurity>
  <Lines>83</Lines>
  <Paragraphs>23</Paragraphs>
  <ScaleCrop>false</ScaleCrop>
  <Company>diakov.net</Company>
  <LinksUpToDate>false</LinksUpToDate>
  <CharactersWithSpaces>11689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Триглицериды масел семян некоторых хвойных растений</dc:title>
  <dc:subject/>
  <dc:creator>Irina</dc:creator>
  <cp:keywords/>
  <dc:description/>
  <cp:lastModifiedBy>Irina</cp:lastModifiedBy>
  <cp:revision>2</cp:revision>
  <dcterms:created xsi:type="dcterms:W3CDTF">2014-08-02T20:25:00Z</dcterms:created>
  <dcterms:modified xsi:type="dcterms:W3CDTF">2014-08-02T20:25:00Z</dcterms:modified>
</cp:coreProperties>
</file>