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5BD" w:rsidRPr="00100F1E" w:rsidRDefault="001335BD" w:rsidP="001335BD">
      <w:pPr>
        <w:pStyle w:val="ConsPlusTitle"/>
        <w:widowControl/>
        <w:spacing w:line="360" w:lineRule="auto"/>
        <w:jc w:val="center"/>
        <w:rPr>
          <w:rFonts w:ascii="Courier New" w:hAnsi="Courier New" w:cs="Courier New"/>
          <w:sz w:val="28"/>
          <w:szCs w:val="28"/>
        </w:rPr>
      </w:pPr>
      <w:r w:rsidRPr="00100F1E">
        <w:rPr>
          <w:rFonts w:ascii="Courier New" w:hAnsi="Courier New" w:cs="Courier New"/>
          <w:sz w:val="28"/>
          <w:szCs w:val="28"/>
        </w:rPr>
        <w:t>ЗАЩИТА КОНКУРЕНЦИИ НА РЫНКЕ ФИНАНСОВЫХ УСЛУГ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p>
    <w:p w:rsidR="005C029D" w:rsidRPr="00100F1E" w:rsidRDefault="001D49E8" w:rsidP="005C029D">
      <w:pPr>
        <w:pStyle w:val="ConsPlusNormal"/>
        <w:widowControl/>
        <w:spacing w:line="360" w:lineRule="auto"/>
        <w:ind w:firstLine="0"/>
        <w:rPr>
          <w:rFonts w:ascii="Courier New" w:hAnsi="Courier New" w:cs="Courier New"/>
          <w:sz w:val="28"/>
          <w:szCs w:val="28"/>
        </w:rPr>
      </w:pPr>
      <w:r w:rsidRPr="00100F1E">
        <w:rPr>
          <w:rFonts w:ascii="Courier New" w:hAnsi="Courier New" w:cs="Courier New"/>
          <w:sz w:val="28"/>
          <w:szCs w:val="28"/>
        </w:rPr>
        <w:t>1. Понятие финансовой услуги.</w:t>
      </w:r>
      <w:r w:rsidR="005C029D" w:rsidRPr="005C029D">
        <w:rPr>
          <w:rFonts w:ascii="Courier New" w:hAnsi="Courier New" w:cs="Courier New"/>
          <w:sz w:val="28"/>
          <w:szCs w:val="28"/>
        </w:rPr>
        <w:t xml:space="preserve"> </w:t>
      </w:r>
      <w:r w:rsidR="005C029D" w:rsidRPr="00100F1E">
        <w:rPr>
          <w:rFonts w:ascii="Courier New" w:hAnsi="Courier New" w:cs="Courier New"/>
          <w:sz w:val="28"/>
          <w:szCs w:val="28"/>
        </w:rPr>
        <w:t>Хозяйствующие субъекты на рынке финансовых услуг</w:t>
      </w:r>
    </w:p>
    <w:p w:rsidR="001D49E8" w:rsidRPr="00100F1E" w:rsidRDefault="001D49E8" w:rsidP="001D49E8">
      <w:pPr>
        <w:pStyle w:val="ConsPlusNormal"/>
        <w:widowControl/>
        <w:spacing w:line="360" w:lineRule="auto"/>
        <w:ind w:firstLine="0"/>
        <w:rPr>
          <w:rFonts w:ascii="Courier New" w:hAnsi="Courier New" w:cs="Courier New"/>
          <w:sz w:val="28"/>
          <w:szCs w:val="28"/>
        </w:rPr>
      </w:pPr>
      <w:r w:rsidRPr="00100F1E">
        <w:rPr>
          <w:rFonts w:ascii="Courier New" w:hAnsi="Courier New" w:cs="Courier New"/>
          <w:sz w:val="28"/>
          <w:szCs w:val="28"/>
        </w:rPr>
        <w:t>2. Особенности доминирования на финансовых рынках</w:t>
      </w:r>
    </w:p>
    <w:p w:rsidR="005C029D" w:rsidRPr="00100F1E" w:rsidRDefault="001D49E8" w:rsidP="005C029D">
      <w:pPr>
        <w:pStyle w:val="ConsPlusNormal"/>
        <w:widowControl/>
        <w:spacing w:line="360" w:lineRule="auto"/>
        <w:ind w:firstLine="0"/>
        <w:rPr>
          <w:rFonts w:ascii="Courier New" w:hAnsi="Courier New" w:cs="Courier New"/>
          <w:sz w:val="28"/>
          <w:szCs w:val="28"/>
        </w:rPr>
      </w:pPr>
      <w:r w:rsidRPr="00100F1E">
        <w:rPr>
          <w:rFonts w:ascii="Courier New" w:hAnsi="Courier New" w:cs="Courier New"/>
          <w:sz w:val="28"/>
          <w:szCs w:val="28"/>
        </w:rPr>
        <w:t>3. Государственный контроль за концентрацией капитала</w:t>
      </w:r>
      <w:r w:rsidR="005C029D" w:rsidRPr="005C029D">
        <w:rPr>
          <w:rFonts w:ascii="Courier New" w:hAnsi="Courier New" w:cs="Courier New"/>
          <w:sz w:val="28"/>
          <w:szCs w:val="28"/>
        </w:rPr>
        <w:t xml:space="preserve"> </w:t>
      </w:r>
      <w:r w:rsidR="005C029D" w:rsidRPr="00100F1E">
        <w:rPr>
          <w:rFonts w:ascii="Courier New" w:hAnsi="Courier New" w:cs="Courier New"/>
          <w:sz w:val="28"/>
          <w:szCs w:val="28"/>
        </w:rPr>
        <w:t>на рынке финансовых услуг</w:t>
      </w:r>
    </w:p>
    <w:p w:rsidR="001D49E8" w:rsidRPr="00100F1E" w:rsidRDefault="001D49E8" w:rsidP="001D49E8">
      <w:pPr>
        <w:pStyle w:val="ConsPlusNormal"/>
        <w:widowControl/>
        <w:spacing w:line="360" w:lineRule="auto"/>
        <w:ind w:firstLine="0"/>
        <w:rPr>
          <w:rFonts w:ascii="Courier New" w:hAnsi="Courier New" w:cs="Courier New"/>
          <w:sz w:val="28"/>
          <w:szCs w:val="28"/>
        </w:rPr>
      </w:pPr>
    </w:p>
    <w:p w:rsidR="001D49E8" w:rsidRDefault="001D49E8" w:rsidP="001D49E8">
      <w:pPr>
        <w:pStyle w:val="ConsPlusNormal"/>
        <w:widowControl/>
        <w:spacing w:line="360" w:lineRule="auto"/>
        <w:ind w:firstLine="0"/>
        <w:rPr>
          <w:rFonts w:ascii="Courier New" w:hAnsi="Courier New" w:cs="Courier New"/>
          <w:sz w:val="28"/>
          <w:szCs w:val="28"/>
        </w:rPr>
      </w:pPr>
    </w:p>
    <w:p w:rsidR="001D49E8" w:rsidRDefault="001D49E8" w:rsidP="001335BD">
      <w:pPr>
        <w:pStyle w:val="ConsPlusNormal"/>
        <w:widowControl/>
        <w:spacing w:line="360" w:lineRule="auto"/>
        <w:ind w:firstLine="0"/>
        <w:jc w:val="center"/>
        <w:rPr>
          <w:rFonts w:ascii="Courier New" w:hAnsi="Courier New" w:cs="Courier New"/>
          <w:sz w:val="28"/>
          <w:szCs w:val="28"/>
        </w:rPr>
      </w:pPr>
    </w:p>
    <w:p w:rsidR="001D49E8" w:rsidRDefault="001D49E8" w:rsidP="001335BD">
      <w:pPr>
        <w:pStyle w:val="ConsPlusNormal"/>
        <w:widowControl/>
        <w:spacing w:line="360" w:lineRule="auto"/>
        <w:ind w:firstLine="0"/>
        <w:jc w:val="center"/>
        <w:rPr>
          <w:rFonts w:ascii="Courier New" w:hAnsi="Courier New" w:cs="Courier New"/>
          <w:sz w:val="28"/>
          <w:szCs w:val="28"/>
        </w:rPr>
      </w:pPr>
    </w:p>
    <w:p w:rsidR="001D49E8" w:rsidRDefault="001D49E8" w:rsidP="001335BD">
      <w:pPr>
        <w:pStyle w:val="ConsPlusNormal"/>
        <w:widowControl/>
        <w:spacing w:line="360" w:lineRule="auto"/>
        <w:ind w:firstLine="0"/>
        <w:jc w:val="center"/>
        <w:rPr>
          <w:rFonts w:ascii="Courier New" w:hAnsi="Courier New" w:cs="Courier New"/>
          <w:sz w:val="28"/>
          <w:szCs w:val="28"/>
        </w:rPr>
      </w:pPr>
    </w:p>
    <w:p w:rsidR="001D49E8" w:rsidRDefault="001D49E8" w:rsidP="001335BD">
      <w:pPr>
        <w:pStyle w:val="ConsPlusNormal"/>
        <w:widowControl/>
        <w:spacing w:line="360" w:lineRule="auto"/>
        <w:ind w:firstLine="0"/>
        <w:jc w:val="center"/>
        <w:rPr>
          <w:rFonts w:ascii="Courier New" w:hAnsi="Courier New" w:cs="Courier New"/>
          <w:sz w:val="28"/>
          <w:szCs w:val="28"/>
        </w:rPr>
      </w:pPr>
    </w:p>
    <w:p w:rsidR="001335BD" w:rsidRPr="00100F1E" w:rsidRDefault="001335BD" w:rsidP="004759DB">
      <w:pPr>
        <w:pStyle w:val="ConsPlusNormal"/>
        <w:pageBreakBefore/>
        <w:widowControl/>
        <w:spacing w:line="360" w:lineRule="auto"/>
        <w:ind w:firstLine="0"/>
        <w:jc w:val="center"/>
        <w:rPr>
          <w:rFonts w:ascii="Courier New" w:hAnsi="Courier New" w:cs="Courier New"/>
          <w:sz w:val="28"/>
          <w:szCs w:val="28"/>
        </w:rPr>
      </w:pPr>
      <w:r w:rsidRPr="00100F1E">
        <w:rPr>
          <w:rFonts w:ascii="Courier New" w:hAnsi="Courier New" w:cs="Courier New"/>
          <w:sz w:val="28"/>
          <w:szCs w:val="28"/>
        </w:rPr>
        <w:t xml:space="preserve"> 1. Понятие финансовой услуги.</w:t>
      </w:r>
    </w:p>
    <w:p w:rsidR="001335BD" w:rsidRPr="00100F1E" w:rsidRDefault="001335BD" w:rsidP="001335BD">
      <w:pPr>
        <w:pStyle w:val="ConsPlusNormal"/>
        <w:widowControl/>
        <w:spacing w:line="360" w:lineRule="auto"/>
        <w:ind w:firstLine="0"/>
        <w:jc w:val="center"/>
        <w:rPr>
          <w:rFonts w:ascii="Courier New" w:hAnsi="Courier New" w:cs="Courier New"/>
          <w:sz w:val="28"/>
          <w:szCs w:val="28"/>
        </w:rPr>
      </w:pPr>
      <w:r w:rsidRPr="00100F1E">
        <w:rPr>
          <w:rFonts w:ascii="Courier New" w:hAnsi="Courier New" w:cs="Courier New"/>
          <w:sz w:val="28"/>
          <w:szCs w:val="28"/>
        </w:rPr>
        <w:t>Хозяйствующие субъекты на рынке финансовых услуг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Законодательство о конкуренции на товарных рынках появилось в нашей стране почти одновременно с началом рыночных реформ. Но специальный Федеральный закон о защите и регулировании конкуренции в финансовой сфере вступил в силу только в конце 1999 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К этому моменту монополизация финансовых рынков значительно усилилась, на многих из них постепенно сложилась олигополия. Олигополия характеризуется тем, что покупателей на рынке обслуживает небольшое число хозяйствующих субъектов. Если на рынке присутствует всего несколько господствующих субъектов, то каждый из них может воздействовать на рыночную цену, получать за счет этого более высокие прибыли и ущемлять интересы других участников рыночных отношений.</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Типичным примером усиления монополистических тенденций в финансовой сфере является банковский сектор. Вот лишь несколько статистических данных. На долю пяти крупнейших банков приходится более 40% суммарных активов. Сберегательному банку России, в котором государство имеет контрольный пакет акций, принадлежит свыше 80% рынка вкладов населения. Частные коммерческие банки занимают всего 15% рынка банковских услуг.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Аналогичные тенденции наблюдаются и на страховых рынках. Здесь почти половина страховых взносов приходится на 10 компаний-лидеров, а 86% взносов - на первую сотню фирм.</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Поэтому в таких условиях необходима правовая основа для антимонопольного контроля на финансовых рынках, которой стал Федеральный закон от 23 июня 1999 г. N 117-ФЗ "О защите конкуренции на рынке финансовых услуг".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Закон распространяется на все финансовые рынки. Финансовой услугой признается деятельность по привлечению и использованию денежных средств физических и юридических лиц. Перечень видов финансовых услуг, подлежащих антимонопольному регулированию, приводится в Приказе МАП России от 21 июня 2000 г. N 467. К ним относятся:</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1) банковские операции и сделки согласно ст. 5 Закона о банках и банковской деятельности (привлечение денежных средств во вклады, размещение этих средств от своего имени и за свой счет, открытие и ведение банковских счетов и пр.);</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2) страховые услуги:</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обязательное страхование;</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добровольное страхование жизни и иные виды личного страхования;</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добровольное имущественное страхование;</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добровольное страхование ответственности;</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перестрахование;</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взаимное страхование;</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3) управление ценными бумагами и денежными средствами;</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4) негосударственное пенсионное обеспечение;</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5) приобретение имущества и передача его в аренду юридическим и физическим лицам (лизинг).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Вряд ли к финансовым услугам можно относить услуги по продаже валюты, включая проведение валютных торгов. Здесь необходимо воспользоваться критерием определения денежного обязательства. Согласно п. 1 Постановления Пленумов ВС РФ и ВАС РФ от 8 октября 1998 г. N 13/14 "О практике применения положений ГК РФ о процентах за пользование чужими денежными средствами" не являются денежными обязательства, в которых валюта исполняет роль товара.</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Хозяйствующими субъектами на финансовых рынках признаются: юридические лица, осуществляющие на основе лицензии банковские операции, предоставляющие услуги на рынке ценных бумаг, услуги по страхованию; негосударственные пенсионные фонды, их управляющие компании, управляющие компании паевых инвестиционных фондов, лизинговые компании, кредитный потребительский союз .</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Таким образом, хозяйствующими субъектами на финансовых рынках являются организации, обладающие специальной правоспособностью, зачастую осложненной необходимостью получения лицензии. Например, кредитные организации не вправе заниматься производственной, торговой и страховой деятельностью. Страховщики, напротив, не могут осуществлять банковскую деятельность.</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Важно подчеркнуть, что к финансовым организациям не относятся аудиторские компании. Они устанавливают достоверность проведенных финансовых операций, но саму их деятельность нельзя назвать финансовой услугой. Индивидуальные предприниматели также не могут быть признаны хозяйствующими субъектами на рынке финансовых услуг.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p>
    <w:p w:rsidR="001335BD" w:rsidRPr="00100F1E" w:rsidRDefault="001335BD" w:rsidP="001335BD">
      <w:pPr>
        <w:pStyle w:val="ConsPlusNormal"/>
        <w:widowControl/>
        <w:spacing w:line="360" w:lineRule="auto"/>
        <w:ind w:firstLine="0"/>
        <w:jc w:val="center"/>
        <w:rPr>
          <w:rFonts w:ascii="Courier New" w:hAnsi="Courier New" w:cs="Courier New"/>
          <w:sz w:val="28"/>
          <w:szCs w:val="28"/>
        </w:rPr>
      </w:pPr>
      <w:r w:rsidRPr="00100F1E">
        <w:rPr>
          <w:rFonts w:ascii="Courier New" w:hAnsi="Courier New" w:cs="Courier New"/>
          <w:sz w:val="28"/>
          <w:szCs w:val="28"/>
        </w:rPr>
        <w:t xml:space="preserve"> 2. Особенности доминирования на финансовых рынках</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Доминирующее положение финансовой организации - это объем финансовых услуг, которые она предоставляет на рынке, если этот объем услуг дает возможность оказывать решающее влияние на общие условия предоставления финансовых услуг на данном рынке или затруднять доступ на этот рынок другим организациям. Такова качественная характеристика доминирования.</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Доминирующее положение оценивается с учетом:</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продуктовых (товарных) границ рынка, т.е. определяется вид финансовой услуги;</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географических границ рынка. В данном случае критерием является место предоставления финансовой услуги потребителям. Согласно п. 2 Методики определения оборота и границ рынка финансовых услуг финансовых организаций (см. Постановление Правительства РФ от 7 марта 2000 г. N 194) место предоставления финансовой услуги - это место нахождения финансовой организации, указанное при регистрации в налоговом органе этой организации или ее филиалов.</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Однако согласно ст. 83 Налогового кодекса РФ речь идет о постановке на учет в налоговых органах, которая, в свою очередь, проводится по месту нахождения организации, ее обособленных подразделений. В соответствии со ст. 11 НК РФ место нахождения организации - это место ее государственной регистрации. А согласно Закону о государственной регистрации юридических лиц и индивидуальных предпринимателей при регистрации организации ее местом нахождения считается место нахождения постоянно действующего исполнительного органа.</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Таким образом, при определении географических границ финансового рынка во внимание принимается формальный критерий, а не экономическая характеристика, которая используется при определении границ товарного рынка (исключение - местом оказания услуг на рынке ценных бумаг считается место заключения договора управляющего с клиентом).</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При определении нормативов доминирования нужно различать следующие виды рынков:</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а) региональный рынок финансовой услуги, который соответствует территории субъекта РФ;</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б) федеральный рынок финансовой услуги, который соответствует территории Российской Федерации в целом.</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Для негосударственных пенсионных фондов (см. Приказ МАП России от 6 мая 2000 г. N 337а) норматив доминирования на федеральном рынке определяется при условии, что НПФ осуществляет деятельность более чем в двух субъектах РФ. Количественная характеристика доминирования - это объем сформированного пенсионного резерва.</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Для страховых организаций, перестраховщиков и обществ взаимного страхования (см. Приказ ФАС России от 10 марта 2005 г. N 36) норматив доминирования на федеральном рынке определяется при условии, что страховщик имеет не менее двух дочерних (зависимых) обществ, расположенных в разных субъектах Российской Федерации, либо сам страховщик осуществляет деятельность более чем в двух субъектах РФ. Количественная характеристика оборота - это общий объем собранной страховой премии.</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Для лизинговых организаций (см. Приказ ФАС России от 23 сентября 2005 г. N 213) норматив доминирования на федеральном рынке определяется при условии, что лизинговая организация осуществляет деятельность не менее чем в двух субъектах РФ. Количественной характеристикой оборота лизинговых услуг является общая стоимость всех действующих договоров лизинга за вычетом лизинговых платежей.</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Для управляющих ценными бумагами (см. Приказ ФАС России от 23 сентября 2005 г. N 212) норматив доминирования на федеральном рынке определяется при условии, что управляющий осуществляет деятельность не менее чем в двух субъектах РФ. Количественной характеристикой оборота услуг по доверительному управлению ценными бумагами является общая стоимость имущества, находящегося в доверительном управлении, которая определяется на основании данных бухгалтерского учета.</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Для кредитных организаций (см. Приказ ФАС России от 25 октября 2005 г. N 247) специальных условий определения нормативов доминирования не предусмотрено.</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Правовые последствия установления факта доминирования:</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антимонопольный контроль за злоупотреблениями со стороны хозяйствующих субъектов;</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контроль за концентрацией капитала на финансовых рынках.</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p>
    <w:p w:rsidR="00AC3E79" w:rsidRPr="00100F1E" w:rsidRDefault="00AC3E79" w:rsidP="001335BD">
      <w:pPr>
        <w:pStyle w:val="ConsPlusNormal"/>
        <w:widowControl/>
        <w:spacing w:line="360" w:lineRule="auto"/>
        <w:ind w:firstLine="0"/>
        <w:jc w:val="center"/>
        <w:rPr>
          <w:rFonts w:ascii="Courier New" w:hAnsi="Courier New" w:cs="Courier New"/>
          <w:sz w:val="28"/>
          <w:szCs w:val="28"/>
        </w:rPr>
      </w:pPr>
    </w:p>
    <w:p w:rsidR="001335BD" w:rsidRPr="00100F1E" w:rsidRDefault="001335BD" w:rsidP="001335BD">
      <w:pPr>
        <w:pStyle w:val="ConsPlusNormal"/>
        <w:widowControl/>
        <w:spacing w:line="360" w:lineRule="auto"/>
        <w:ind w:firstLine="0"/>
        <w:jc w:val="center"/>
        <w:rPr>
          <w:rFonts w:ascii="Courier New" w:hAnsi="Courier New" w:cs="Courier New"/>
          <w:sz w:val="28"/>
          <w:szCs w:val="28"/>
        </w:rPr>
      </w:pPr>
      <w:r w:rsidRPr="00100F1E">
        <w:rPr>
          <w:rFonts w:ascii="Courier New" w:hAnsi="Courier New" w:cs="Courier New"/>
          <w:sz w:val="28"/>
          <w:szCs w:val="28"/>
        </w:rPr>
        <w:t xml:space="preserve"> 3. Государственный контроль за концентрацией капитала</w:t>
      </w:r>
    </w:p>
    <w:p w:rsidR="001335BD" w:rsidRPr="00100F1E" w:rsidRDefault="001335BD" w:rsidP="001335BD">
      <w:pPr>
        <w:pStyle w:val="ConsPlusNormal"/>
        <w:widowControl/>
        <w:spacing w:line="360" w:lineRule="auto"/>
        <w:ind w:firstLine="0"/>
        <w:jc w:val="center"/>
        <w:rPr>
          <w:rFonts w:ascii="Courier New" w:hAnsi="Courier New" w:cs="Courier New"/>
          <w:sz w:val="28"/>
          <w:szCs w:val="28"/>
        </w:rPr>
      </w:pPr>
      <w:r w:rsidRPr="00100F1E">
        <w:rPr>
          <w:rFonts w:ascii="Courier New" w:hAnsi="Courier New" w:cs="Courier New"/>
          <w:sz w:val="28"/>
          <w:szCs w:val="28"/>
        </w:rPr>
        <w:t>на рынке финансовых услуг</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Если размер уставного капитала финансовой организации меньше указанного в таблице, то достаточно последующего контроля в форме уведомления.</w:t>
      </w:r>
    </w:p>
    <w:p w:rsidR="005E0E0C" w:rsidRDefault="001335BD" w:rsidP="001335BD">
      <w:pPr>
        <w:pStyle w:val="ConsPlusNormal"/>
        <w:widowControl/>
        <w:spacing w:line="360" w:lineRule="auto"/>
        <w:ind w:firstLine="540"/>
        <w:jc w:val="both"/>
        <w:rPr>
          <w:rFonts w:ascii="Courier New" w:hAnsi="Courier New" w:cs="Courier New"/>
          <w:sz w:val="28"/>
          <w:szCs w:val="28"/>
        </w:rPr>
      </w:pPr>
      <w:r w:rsidRPr="00100F1E">
        <w:rPr>
          <w:rFonts w:ascii="Courier New" w:hAnsi="Courier New" w:cs="Courier New"/>
          <w:sz w:val="28"/>
          <w:szCs w:val="28"/>
        </w:rPr>
        <w:t>Порядок дачи согласия на совершение сделок установлен Приказом МАП России от 28 февраля 2001 г. N 210.</w:t>
      </w:r>
    </w:p>
    <w:p w:rsidR="00EB2C42" w:rsidRPr="00EB2C42" w:rsidRDefault="005E0E0C" w:rsidP="00EB2C42">
      <w:pPr>
        <w:autoSpaceDE w:val="0"/>
        <w:autoSpaceDN w:val="0"/>
        <w:adjustRightInd w:val="0"/>
        <w:jc w:val="center"/>
        <w:rPr>
          <w:rFonts w:ascii="Courier New" w:hAnsi="Courier New" w:cs="Courier New"/>
          <w:sz w:val="28"/>
          <w:szCs w:val="28"/>
        </w:rPr>
      </w:pPr>
      <w:r>
        <w:rPr>
          <w:rFonts w:ascii="Courier New" w:hAnsi="Courier New" w:cs="Courier New"/>
          <w:sz w:val="28"/>
          <w:szCs w:val="28"/>
        </w:rPr>
        <w:br w:type="page"/>
      </w:r>
      <w:r w:rsidR="00EB2C42" w:rsidRPr="00EB2C42">
        <w:rPr>
          <w:rFonts w:ascii="Courier New" w:hAnsi="Courier New" w:cs="Courier New"/>
          <w:sz w:val="28"/>
          <w:szCs w:val="28"/>
        </w:rPr>
        <w:t>Литература</w:t>
      </w:r>
    </w:p>
    <w:p w:rsidR="00EB2C42" w:rsidRDefault="00EB2C42">
      <w:pPr>
        <w:autoSpaceDE w:val="0"/>
        <w:autoSpaceDN w:val="0"/>
        <w:adjustRightInd w:val="0"/>
        <w:rPr>
          <w:rFonts w:ascii="Courier New" w:hAnsi="Courier New" w:cs="Courier New"/>
          <w:sz w:val="28"/>
          <w:szCs w:val="28"/>
        </w:rPr>
      </w:pPr>
    </w:p>
    <w:p w:rsidR="005E0E0C" w:rsidRDefault="005E0E0C">
      <w:pPr>
        <w:autoSpaceDE w:val="0"/>
        <w:autoSpaceDN w:val="0"/>
        <w:adjustRightInd w:val="0"/>
        <w:rPr>
          <w:rFonts w:ascii="Courier New" w:hAnsi="Courier New" w:cs="Courier New"/>
          <w:sz w:val="28"/>
          <w:szCs w:val="28"/>
        </w:rPr>
      </w:pPr>
      <w:r>
        <w:rPr>
          <w:rFonts w:ascii="Courier New" w:hAnsi="Courier New" w:cs="Courier New"/>
          <w:sz w:val="28"/>
          <w:szCs w:val="28"/>
        </w:rPr>
        <w:t>"РАСШИРЕННЫЙ ЭКОНОМИКО-ПРАВОВОЙ КОММЕНТАРИЙ К ФЕДЕРАЛЬНОМУ ЗАКОНУ ОТ 23 ИЮНЯ 1999 Г. N 117-ФЗ "О ЗАЩИТЕ КОНКУРЕНЦИИ НА РЫНКЕ ФИНАНСОВЫХ УСЛУГ"</w:t>
      </w:r>
      <w:r>
        <w:rPr>
          <w:rFonts w:ascii="Courier New" w:hAnsi="Courier New" w:cs="Courier New"/>
          <w:sz w:val="28"/>
          <w:szCs w:val="28"/>
        </w:rPr>
        <w:br/>
        <w:t>(постатейный)</w:t>
      </w:r>
      <w:r>
        <w:rPr>
          <w:rFonts w:ascii="Courier New" w:hAnsi="Courier New" w:cs="Courier New"/>
          <w:sz w:val="28"/>
          <w:szCs w:val="28"/>
        </w:rPr>
        <w:br/>
        <w:t>(Л.Н. Борисова, В.А. Ларионова)</w:t>
      </w:r>
      <w:r>
        <w:rPr>
          <w:rFonts w:ascii="Courier New" w:hAnsi="Courier New" w:cs="Courier New"/>
          <w:sz w:val="28"/>
          <w:szCs w:val="28"/>
        </w:rPr>
        <w:br/>
        <w:t>(Подготовлен для Системы КонсультантПлюс, 2006)</w:t>
      </w:r>
      <w:r>
        <w:rPr>
          <w:rFonts w:ascii="Courier New" w:hAnsi="Courier New" w:cs="Courier New"/>
          <w:sz w:val="28"/>
          <w:szCs w:val="28"/>
        </w:rPr>
        <w:br/>
        <w:t xml:space="preserve"> </w:t>
      </w:r>
    </w:p>
    <w:p w:rsidR="005E0E0C" w:rsidRDefault="005E0E0C">
      <w:pPr>
        <w:autoSpaceDE w:val="0"/>
        <w:autoSpaceDN w:val="0"/>
        <w:adjustRightInd w:val="0"/>
        <w:rPr>
          <w:rFonts w:ascii="Courier New" w:hAnsi="Courier New" w:cs="Courier New"/>
          <w:sz w:val="28"/>
          <w:szCs w:val="28"/>
        </w:rPr>
      </w:pPr>
      <w:r>
        <w:rPr>
          <w:rFonts w:ascii="Courier New" w:hAnsi="Courier New" w:cs="Courier New"/>
          <w:sz w:val="28"/>
          <w:szCs w:val="28"/>
        </w:rPr>
        <w:t>"КОММЕНТАРИЙ К ФЕДЕРАЛЬНОМУ ЗАКОНУ "О ЗАЩИТЕ КОНКУРЕНЦИИ НА РЫНКЕ ФИНАНСОВЫХ УСЛУГ"</w:t>
      </w:r>
      <w:r>
        <w:rPr>
          <w:rFonts w:ascii="Courier New" w:hAnsi="Courier New" w:cs="Courier New"/>
          <w:sz w:val="28"/>
          <w:szCs w:val="28"/>
        </w:rPr>
        <w:br/>
        <w:t>(постатейный)</w:t>
      </w:r>
      <w:r>
        <w:rPr>
          <w:rFonts w:ascii="Courier New" w:hAnsi="Courier New" w:cs="Courier New"/>
          <w:sz w:val="28"/>
          <w:szCs w:val="28"/>
        </w:rPr>
        <w:br/>
        <w:t>(А.А. Ткачев)</w:t>
      </w:r>
      <w:r>
        <w:rPr>
          <w:rFonts w:ascii="Courier New" w:hAnsi="Courier New" w:cs="Courier New"/>
          <w:sz w:val="28"/>
          <w:szCs w:val="28"/>
        </w:rPr>
        <w:br/>
        <w:t>(Юридический Дом "Юстицинформ", 2002)</w:t>
      </w:r>
      <w:r>
        <w:rPr>
          <w:rFonts w:ascii="Courier New" w:hAnsi="Courier New" w:cs="Courier New"/>
          <w:sz w:val="28"/>
          <w:szCs w:val="28"/>
        </w:rPr>
        <w:br/>
        <w:t xml:space="preserve"> </w:t>
      </w:r>
    </w:p>
    <w:p w:rsidR="005E0E0C" w:rsidRDefault="005E0E0C">
      <w:pPr>
        <w:autoSpaceDE w:val="0"/>
        <w:autoSpaceDN w:val="0"/>
        <w:adjustRightInd w:val="0"/>
        <w:rPr>
          <w:rFonts w:ascii="Courier New" w:hAnsi="Courier New" w:cs="Courier New"/>
          <w:sz w:val="28"/>
          <w:szCs w:val="28"/>
        </w:rPr>
      </w:pPr>
      <w:r>
        <w:rPr>
          <w:rFonts w:ascii="Courier New" w:hAnsi="Courier New" w:cs="Courier New"/>
          <w:sz w:val="28"/>
          <w:szCs w:val="28"/>
        </w:rPr>
        <w:t>"ПОСТАТЕЙНЫЙ КОММЕНТАРИЙ К ФЕДЕРАЛЬНОМУ ЗАКОНУ "О ЗАЩИТЕ КОНКУРЕНЦИИ НА РЫНКЕ ФИНАНСОВЫХ УСЛУГ"</w:t>
      </w:r>
      <w:r>
        <w:rPr>
          <w:rFonts w:ascii="Courier New" w:hAnsi="Courier New" w:cs="Courier New"/>
          <w:sz w:val="28"/>
          <w:szCs w:val="28"/>
        </w:rPr>
        <w:br/>
        <w:t>(Г.А. Тосунян, А.Ю. Викулин)</w:t>
      </w:r>
      <w:r>
        <w:rPr>
          <w:rFonts w:ascii="Courier New" w:hAnsi="Courier New" w:cs="Courier New"/>
          <w:sz w:val="28"/>
          <w:szCs w:val="28"/>
        </w:rPr>
        <w:br/>
        <w:t>(Издательство "Дело", 2001)</w:t>
      </w:r>
      <w:r>
        <w:rPr>
          <w:rFonts w:ascii="Courier New" w:hAnsi="Courier New" w:cs="Courier New"/>
          <w:sz w:val="28"/>
          <w:szCs w:val="28"/>
        </w:rPr>
        <w:br/>
        <w:t xml:space="preserve"> </w:t>
      </w:r>
    </w:p>
    <w:p w:rsidR="001335BD" w:rsidRPr="00100F1E" w:rsidRDefault="001335BD" w:rsidP="001335BD">
      <w:pPr>
        <w:pStyle w:val="ConsPlusNormal"/>
        <w:widowControl/>
        <w:spacing w:line="360" w:lineRule="auto"/>
        <w:ind w:firstLine="540"/>
        <w:jc w:val="both"/>
        <w:rPr>
          <w:rFonts w:ascii="Courier New" w:hAnsi="Courier New" w:cs="Courier New"/>
          <w:sz w:val="28"/>
          <w:szCs w:val="28"/>
        </w:rPr>
      </w:pPr>
      <w:bookmarkStart w:id="0" w:name="_GoBack"/>
      <w:bookmarkEnd w:id="0"/>
    </w:p>
    <w:sectPr w:rsidR="001335BD" w:rsidRPr="00100F1E" w:rsidSect="00EE73F4">
      <w:footerReference w:type="default" r:id="rId6"/>
      <w:type w:val="nextColumn"/>
      <w:pgSz w:w="11907" w:h="16840" w:code="9"/>
      <w:pgMar w:top="1134" w:right="851" w:bottom="1134" w:left="1701" w:header="720" w:footer="720" w:gutter="0"/>
      <w:paperSrc w:first="7" w:other="7"/>
      <w:pgNumType w:start="3"/>
      <w:cols w:space="708"/>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31F" w:rsidRDefault="00CC231F">
      <w:r>
        <w:separator/>
      </w:r>
    </w:p>
  </w:endnote>
  <w:endnote w:type="continuationSeparator" w:id="0">
    <w:p w:rsidR="00CC231F" w:rsidRDefault="00CC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3F4" w:rsidRDefault="00782EC7" w:rsidP="00D6050A">
    <w:pPr>
      <w:pStyle w:val="a3"/>
      <w:framePr w:wrap="auto" w:vAnchor="text" w:hAnchor="margin" w:xAlign="right" w:y="1"/>
      <w:rPr>
        <w:rStyle w:val="a5"/>
      </w:rPr>
    </w:pPr>
    <w:r>
      <w:rPr>
        <w:rStyle w:val="a5"/>
        <w:noProof/>
      </w:rPr>
      <w:t>3</w:t>
    </w:r>
  </w:p>
  <w:p w:rsidR="00EE73F4" w:rsidRDefault="00EE73F4" w:rsidP="00EE73F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31F" w:rsidRDefault="00CC231F">
      <w:r>
        <w:separator/>
      </w:r>
    </w:p>
  </w:footnote>
  <w:footnote w:type="continuationSeparator" w:id="0">
    <w:p w:rsidR="00CC231F" w:rsidRDefault="00CC2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24"/>
  <w:drawingGridVerticalSpacing w:val="3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5BD"/>
    <w:rsid w:val="00100F1E"/>
    <w:rsid w:val="00105845"/>
    <w:rsid w:val="001335BD"/>
    <w:rsid w:val="001D49E8"/>
    <w:rsid w:val="00285A11"/>
    <w:rsid w:val="004759DB"/>
    <w:rsid w:val="00536C0D"/>
    <w:rsid w:val="005C029D"/>
    <w:rsid w:val="005E0E0C"/>
    <w:rsid w:val="00670B3C"/>
    <w:rsid w:val="00782EC7"/>
    <w:rsid w:val="00957ACC"/>
    <w:rsid w:val="00985CD5"/>
    <w:rsid w:val="009F38A6"/>
    <w:rsid w:val="00AC3E79"/>
    <w:rsid w:val="00B62720"/>
    <w:rsid w:val="00C362C4"/>
    <w:rsid w:val="00CC231F"/>
    <w:rsid w:val="00D6050A"/>
    <w:rsid w:val="00DF14F8"/>
    <w:rsid w:val="00EB2C42"/>
    <w:rsid w:val="00EE73F4"/>
    <w:rsid w:val="00FA4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990B70-9E15-4402-9D29-33846B5C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335BD"/>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335BD"/>
    <w:pPr>
      <w:widowControl w:val="0"/>
      <w:autoSpaceDE w:val="0"/>
      <w:autoSpaceDN w:val="0"/>
      <w:adjustRightInd w:val="0"/>
    </w:pPr>
    <w:rPr>
      <w:rFonts w:ascii="Arial" w:hAnsi="Arial" w:cs="Arial"/>
      <w:b/>
      <w:bCs/>
    </w:rPr>
  </w:style>
  <w:style w:type="paragraph" w:customStyle="1" w:styleId="ConsPlusNonformat">
    <w:name w:val="ConsPlusNonformat"/>
    <w:uiPriority w:val="99"/>
    <w:rsid w:val="001335BD"/>
    <w:pPr>
      <w:widowControl w:val="0"/>
      <w:autoSpaceDE w:val="0"/>
      <w:autoSpaceDN w:val="0"/>
      <w:adjustRightInd w:val="0"/>
    </w:pPr>
    <w:rPr>
      <w:rFonts w:ascii="Courier New" w:hAnsi="Courier New" w:cs="Courier New"/>
    </w:rPr>
  </w:style>
  <w:style w:type="paragraph" w:styleId="a3">
    <w:name w:val="footer"/>
    <w:basedOn w:val="a"/>
    <w:link w:val="a4"/>
    <w:uiPriority w:val="99"/>
    <w:rsid w:val="00EE73F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E7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Words>
  <Characters>7888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ЗАЩИТА КОНКУРЕНЦИИ НА РЫНКЕ ФИНАНСОВЫХ УСЛУГ</vt:lpstr>
    </vt:vector>
  </TitlesOfParts>
  <Company>ОАО "НЭК"</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КОНКУРЕНЦИИ НА РЫНКЕ ФИНАНСОВЫХ УСЛУГ</dc:title>
  <dc:subject/>
  <dc:creator>pto5</dc:creator>
  <cp:keywords/>
  <dc:description/>
  <cp:lastModifiedBy>admin</cp:lastModifiedBy>
  <cp:revision>2</cp:revision>
  <dcterms:created xsi:type="dcterms:W3CDTF">2014-03-12T13:16:00Z</dcterms:created>
  <dcterms:modified xsi:type="dcterms:W3CDTF">2014-03-12T13:16:00Z</dcterms:modified>
</cp:coreProperties>
</file>