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F9" w:rsidRPr="00CC10D8" w:rsidRDefault="00BA55F9" w:rsidP="00BA55F9">
      <w:pPr>
        <w:spacing w:before="120"/>
        <w:jc w:val="center"/>
        <w:rPr>
          <w:b/>
          <w:bCs/>
          <w:sz w:val="32"/>
          <w:szCs w:val="32"/>
        </w:rPr>
      </w:pPr>
      <w:r w:rsidRPr="00CC10D8">
        <w:rPr>
          <w:b/>
          <w:bCs/>
          <w:sz w:val="32"/>
          <w:szCs w:val="32"/>
        </w:rPr>
        <w:t>Реклама в научной медицинской периодике</w:t>
      </w:r>
    </w:p>
    <w:p w:rsidR="00BA55F9" w:rsidRPr="00CC10D8" w:rsidRDefault="00BA55F9" w:rsidP="00BA55F9">
      <w:pPr>
        <w:spacing w:before="120"/>
        <w:jc w:val="center"/>
        <w:rPr>
          <w:b/>
          <w:bCs/>
          <w:sz w:val="28"/>
          <w:szCs w:val="28"/>
        </w:rPr>
      </w:pPr>
      <w:r w:rsidRPr="00CC10D8">
        <w:rPr>
          <w:b/>
          <w:bCs/>
          <w:sz w:val="28"/>
          <w:szCs w:val="28"/>
        </w:rPr>
        <w:t>Ю.С. Ветошкина, О. П. Фельдман, Е.А.Вольская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Научная и научно-практическая медицинская периодика по-прежнему остается наиболее влиятельным источником профессиональной информации для специалистов здравоохранения как в России, так и за рубежом. Многочисленные исследования предпочтений врачей неизменно подтверждают высокую степень их доверия к солидным медицинским журналам. Анализ цитирования показывает, что наибольшее количество ссылок относится именно к научной периодике, особенно если речь идет о новых направлениях разработок. Публикации результатов исследований в рецензируемых научных медицинских журналах приравниваются к публичной апробации. Доверие к этим изданиям не в малой степени поддерживается за счет авторитетного состава авторов и реномированных редакторов.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Можно сказать, что научные и научно-практические</w:t>
      </w:r>
      <w:r>
        <w:t xml:space="preserve"> </w:t>
      </w:r>
      <w:r w:rsidRPr="008F27ED">
        <w:t>медицинские периодические издания в наибольшей степени приближения отражают резонанс научных исследований и передовой практический опыт и это делает их незаменимыми для врачей. Именно эти журналы играют ключевую роль в медицинском информационном поле, кумулируя научные гипотезы, данные международных мультицентровых клинических исследований, результаты пострегистрационных исследований и клинических наблюдений и т.д. По сравнению с периодикой фундаментальные книжные издания сильно запаздывают, брошюры, как правило, не дают полного представления о проблематике, лекции и выступления специалистов на мероприятиях являются скорее импульсом к подробному изучению вопроса и поиску дополнительной информации. О фирменных изданиях, посвященных конкретным продуктам и служащих их продвижению, при сравнении с научной медицинской периодикой говорить не приходится: все они воспринимаются как рекламные, а следовательно, не объективные. В то же время специализированные журналы обладают имиджем независимых и свободных от коммерческих целей источников информации.</w:t>
      </w:r>
    </w:p>
    <w:p w:rsidR="00BA55F9" w:rsidRPr="00CC10D8" w:rsidRDefault="00BA55F9" w:rsidP="00BA55F9">
      <w:pPr>
        <w:spacing w:before="120"/>
        <w:jc w:val="center"/>
        <w:rPr>
          <w:b/>
          <w:bCs/>
          <w:sz w:val="28"/>
          <w:szCs w:val="28"/>
        </w:rPr>
      </w:pPr>
      <w:r w:rsidRPr="00CC10D8">
        <w:rPr>
          <w:b/>
          <w:bCs/>
          <w:sz w:val="28"/>
          <w:szCs w:val="28"/>
        </w:rPr>
        <w:t>Научные издания и фарма-маркетинг: симбиоз интересов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Перечисленные преимущества научных и научно-практических медицинских периодических изданий закономерно привлекают к специализированным медицинским журналам внимание компаний-производителей лекарственных средств и медицинских изделий. С точки зрения задач маркетинга, эти издания являются</w:t>
      </w:r>
      <w:r>
        <w:t xml:space="preserve"> идеальным инструментов для контак</w:t>
      </w:r>
      <w:r w:rsidRPr="008F27ED">
        <w:t>тов с целевой аудиторией: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</w:t>
      </w:r>
      <w:r>
        <w:t xml:space="preserve"> </w:t>
      </w:r>
      <w:r w:rsidRPr="008F27ED">
        <w:t>во-первых, они привлекают и концентрируют целевую группу специалистов, оперативно транслируют для нее информацию;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« во-вторых, эта аудитория лояльна к данным изданиям и готова воспринимать предложенную в них информацию;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</w:t>
      </w:r>
      <w:r>
        <w:t xml:space="preserve"> </w:t>
      </w:r>
      <w:r w:rsidRPr="008F27ED">
        <w:t>в-третьих, медицинские журналы дают дополнительные возможности для продвижения продуктов. Естественно, осуществляющие маркетинг</w:t>
      </w:r>
      <w:r>
        <w:t xml:space="preserve"> </w:t>
      </w:r>
      <w:r w:rsidRPr="008F27ED">
        <w:t>своих</w:t>
      </w:r>
      <w:r>
        <w:t xml:space="preserve"> </w:t>
      </w:r>
      <w:r w:rsidRPr="008F27ED">
        <w:t>продуктов</w:t>
      </w:r>
      <w:r>
        <w:t xml:space="preserve"> </w:t>
      </w:r>
      <w:r w:rsidRPr="008F27ED">
        <w:t>компании активно пользуются этим эффективным</w:t>
      </w:r>
      <w:r>
        <w:t xml:space="preserve"> </w:t>
      </w:r>
      <w:r w:rsidRPr="008F27ED">
        <w:t>инструментом.</w:t>
      </w:r>
      <w:r>
        <w:t xml:space="preserve"> </w:t>
      </w:r>
      <w:r w:rsidRPr="008F27ED">
        <w:t>В</w:t>
      </w:r>
      <w:r>
        <w:t xml:space="preserve"> </w:t>
      </w:r>
      <w:r w:rsidRPr="008F27ED">
        <w:t>результате научная и научно-практическая медицинская</w:t>
      </w:r>
      <w:r>
        <w:t xml:space="preserve"> </w:t>
      </w:r>
      <w:r w:rsidRPr="008F27ED">
        <w:t>периодика</w:t>
      </w:r>
      <w:r>
        <w:t xml:space="preserve"> </w:t>
      </w:r>
      <w:r w:rsidRPr="008F27ED">
        <w:t>становится основой рекламного сектора фармацевтического рынка при продвижении ЛС на специалистов здравоохранения. Несмотря на бурное развитие все новых средств информации и коммуникации, этот феномен характерен как для стран с развитым фармрынком, так и для нашей страны. Со своей стороны, медицинские издания серьезно заинтересованы в коммерческом сотрудничестве с фармкомпаниями. Между ними развиваются отношения на уровне «рекламодатель-рекламораспространитель», в рамках которых издания оказывают услуги по предоставлению рекламных площадей на своих страницах, а заказчики оплачивают эти услуги. В настоящее время в России львиную долю бюджета подавляющего большинства медицинских журналов составляют поступления за размещение рекламных материалов. Особенно активными рекламодателями являются производители лекарственных препаратов. К тому же для них специализированные медицинские журналы — одно из немногих средств распространения рекламы рецептурных лекарств в соответствии с законодательными ограничениями (п.2 ст. 16 Федерального закона «О рекламе»). Очевидно, что именно фармацевтическая реклама зачастую определяет ситуацию в сфере медицинской рекламы, нередко ее наличие и количество играют решающую роль для благополучия издательского бизнеса в области научной медицинской периодики. Рекламодатели имеют широкие возможности для выбора подходящего распространителя рекламы — по тематике, по охвату целевой аудитории, по периодичности выхода в свет номеров, по территориальному охвату, по методам распространения, по ценовой политике, наконец, по сервисным услугам. В настоящее время в России издается более 270 журналов для врачей и провизоров/фармацевтов. Их тиражи составляют от 1000 до 50 000 экземпляров и более, периодичность колеблется от 2 до 24 номеров в год. Не все журналы одинаково доступны для врачей: стоимость подписки резко различается (от бесплатной до 170 у.е. в год). Эти журналы выпускают более 10 специализированных издательств, а также неспециализированные издательства, вузы, научные институты и центры. При кажущейся ясности вопроса на самом деле обширный информационный массив, который образуют специализированные медицинские периодические издания, мало изучен. Непрозрачными являются многие параметры, о которых желательно иметь представление рекламодателям для принятия верного решения при выборе изданий-трансляторов своей информации. Речь идет не только о тиражах, но и о реальной периодичности выхода в свет, доступности издания широкой аудитории и проч. Нет достоверных данных о фактической рекламной емкости изданий, не составляются рейтинги наиболее активных рекламодателей. Вовсе закрытым остается вопрос о финансовых вложениях в рекламу лекарственных препаратов, направленную на специалистов здравоохранения. Перечисленные вопросы носят чисто практический характер как для рекламодателей, так и для рекламораспространителей: специализированные медицинские издания с достаточной точностью отражают соотно</w:t>
      </w:r>
      <w:r>
        <w:t>ш</w:t>
      </w:r>
      <w:r w:rsidRPr="008F27ED">
        <w:t>ение рекламной</w:t>
      </w:r>
      <w:r>
        <w:t xml:space="preserve"> </w:t>
      </w:r>
      <w:r w:rsidRPr="008F27ED">
        <w:t>активности конкурентов-рекламодателей, а значит, позволяют судить о расстановке сил в конкурентной нише. Обладание перечисленной информацией позволило бы и тем и другим строить собственную маркетинговую политику, опираясь на достоверные данные.</w:t>
      </w:r>
    </w:p>
    <w:p w:rsidR="00BA55F9" w:rsidRPr="00CC10D8" w:rsidRDefault="00BA55F9" w:rsidP="00BA55F9">
      <w:pPr>
        <w:spacing w:before="120"/>
        <w:jc w:val="center"/>
        <w:rPr>
          <w:b/>
          <w:bCs/>
          <w:sz w:val="28"/>
          <w:szCs w:val="28"/>
        </w:rPr>
      </w:pPr>
      <w:r w:rsidRPr="00CC10D8">
        <w:rPr>
          <w:b/>
          <w:bCs/>
          <w:sz w:val="28"/>
          <w:szCs w:val="28"/>
        </w:rPr>
        <w:t>Мониторинг издани</w:t>
      </w:r>
      <w:r>
        <w:rPr>
          <w:b/>
          <w:bCs/>
          <w:sz w:val="28"/>
          <w:szCs w:val="28"/>
        </w:rPr>
        <w:t>й</w:t>
      </w:r>
    </w:p>
    <w:p w:rsidR="00BA55F9" w:rsidRDefault="00BA55F9" w:rsidP="00BA55F9">
      <w:pPr>
        <w:spacing w:before="120"/>
        <w:ind w:firstLine="567"/>
        <w:jc w:val="both"/>
      </w:pPr>
      <w:r w:rsidRPr="008F27ED">
        <w:t>С целью получения по возможности более точной картины рынка специализированных периодических изданий, начиная с января этого года, мы начали регулярный мониторинг научных и научно-практических медицинских и фармацевтических изданий. В мониторинг включили 110 журналов для врачей и провизоров/фармацевтов. Критериями выбора являются достаточный охват целевой аудитории и доступность изданий. Кроме того, эти издания охватывают основные разделы клинической медицины и несут</w:t>
      </w:r>
      <w:r>
        <w:t xml:space="preserve"> </w:t>
      </w:r>
      <w:r w:rsidRPr="008F27ED">
        <w:t>информацию, предназначенную для врачей большинства специальностей и фармацевтических работников. Основными</w:t>
      </w:r>
      <w:r>
        <w:t xml:space="preserve"> </w:t>
      </w:r>
      <w:r w:rsidRPr="008F27ED">
        <w:t>принципами</w:t>
      </w:r>
      <w:r>
        <w:t xml:space="preserve"> </w:t>
      </w:r>
      <w:r w:rsidRPr="008F27ED">
        <w:t xml:space="preserve">мониторинга в нашем случае являются: 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 непрерывность;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</w:t>
      </w:r>
      <w:r>
        <w:t xml:space="preserve"> </w:t>
      </w:r>
      <w:r w:rsidRPr="008F27ED">
        <w:t>полный охват;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</w:t>
      </w:r>
      <w:r>
        <w:t xml:space="preserve"> </w:t>
      </w:r>
      <w:r w:rsidRPr="008F27ED">
        <w:t>de visu (воочию);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 контроль качества; - возможность ретроспективного анализа (архив).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Методика исследования заключается в анализе контента журналов, выявлении упоминаний лекарственных препаратов в статьях и рекламе, описании по определенным параметрам статей и рекламных модулей, их классификации. Фиксируется также доступность изданий, дата их поступления к читателям (для этого на журналы оформлена подписка). Уже первые месяцы мониторинга показали нерегулярность выхода в свет целого ряда журналов. По расчетам, основанным на заявленной периодичности выпусков, число поступивших журналов должно было бы равномерно распределиться между I и II кварталами (в квартал ожидалось порядка 130 выпусков). В реальности этого не произошло (рис. 1). За I полугодие 2005 г. в мониторинге проанализированы 308 выпусков 98 научных и научно-практических медицинских и фармацевтических журналов и газет, дошедших до подписчиков с 1 января до 30 июня 2005 г. В них было опубликовано 3034 статьи, размещено 1 794 рекламных модулей и материалов на правах рекламы. В статьях 20 127 раз упомянуто 875 наименований лекарственных средств (ЛС). В рекламных модулях 1 269 наименований препаратов зафиксированы 2 762 раза.</w:t>
      </w:r>
    </w:p>
    <w:p w:rsidR="00BA55F9" w:rsidRPr="00CC10D8" w:rsidRDefault="00BA55F9" w:rsidP="00BA55F9">
      <w:pPr>
        <w:spacing w:before="120"/>
        <w:jc w:val="center"/>
        <w:rPr>
          <w:b/>
          <w:bCs/>
          <w:sz w:val="28"/>
          <w:szCs w:val="28"/>
        </w:rPr>
      </w:pPr>
      <w:r w:rsidRPr="00CC10D8">
        <w:rPr>
          <w:b/>
          <w:bCs/>
          <w:sz w:val="28"/>
          <w:szCs w:val="28"/>
        </w:rPr>
        <w:t>Научная периодика как площадка для промоушена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Самая распространенная группа препаратов среди упоминавшихся в статьях во II квартале J01 — «Антибактериальные препараты для системного использования» (рис. 2). Анализ содержания статей позволяет получать показатели активности в</w:t>
      </w:r>
      <w:r>
        <w:t xml:space="preserve"> </w:t>
      </w:r>
      <w:r w:rsidRPr="008F27ED">
        <w:t>сфере научно-исследовательской медицинской деятельности. Так, оказалось, что в I полугодии лидером в плане научных публикаций по лечебному делу является класс «Болезни системы кровообращения». На втором месте класс «Некоторые инфекционные и паразитарные болезни» (следует подчеркнуть, что мониторинг не учитывает изданий стоматологического профиля). Результаты собственных клинических исследований или наблюдений опубликовали более 3 000 авторов. Наиболее часто результаты авторских исследований среди журналов, поступивших к подписчикам во II квартале, публиковали «Терапевтический архив», «Журнал неврологии и психиатрии им. С.С.Корсакова», «Кардиология». Статьи обзорного характера предпочитают публиковать «Русский медицинский журнал», «Лечащий врач», «Фарматека» (рис. 3).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Иначе распределялась тематика рекламных модулей и рекламных материалов (рис. 4).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Самыми емкими в плане рекламы ЛС в I квартале оказались периодические медицинские издания широкого профиля (рис. 5), первые места занимают Consilium Medicum, наиболее часто выходящая в свет газета «Фармацевтический вестник» и «Русский медицинский журнал». Интересно отметить, что по специальным медицинским направлениям по объемам рекламы также лидируют не узкоспециальные, а общетерапевтические журналы (рис. 6).</w:t>
      </w:r>
    </w:p>
    <w:p w:rsidR="00BA55F9" w:rsidRPr="00CC10D8" w:rsidRDefault="00BA55F9" w:rsidP="00BA55F9">
      <w:pPr>
        <w:spacing w:before="120"/>
        <w:jc w:val="center"/>
        <w:rPr>
          <w:b/>
          <w:bCs/>
          <w:sz w:val="28"/>
          <w:szCs w:val="28"/>
        </w:rPr>
      </w:pPr>
      <w:r w:rsidRPr="00CC10D8">
        <w:rPr>
          <w:b/>
          <w:bCs/>
          <w:sz w:val="28"/>
          <w:szCs w:val="28"/>
        </w:rPr>
        <w:t>Оценка рекламной активности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Компании-производители активно размещают рекламу в специализированных медицинских изданиях (рис. 7). Так, в I квартале лидировали по объемам условных полос такие компании, как Sender, Gedeon Richter, Sanofi-Aventis.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Для рекламы ЛС применяется широкий спектр приемов, сочетающих разнообразные формы подачи материала в разных изданиях. Наряду с традиционным размещением стандартного рекламного модуля в одном или нескольких журналах и их выпусках, широко используются следующие методы продвижения: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</w:t>
      </w:r>
      <w:r>
        <w:t xml:space="preserve"> </w:t>
      </w:r>
      <w:r w:rsidRPr="008F27ED">
        <w:t>статьи рекламного характера;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</w:t>
      </w:r>
      <w:r>
        <w:t xml:space="preserve"> </w:t>
      </w:r>
      <w:r w:rsidRPr="008F27ED">
        <w:t>комбинация рекламных статей и модулей в одном номере;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</w:t>
      </w:r>
      <w:r>
        <w:t xml:space="preserve"> </w:t>
      </w:r>
      <w:r w:rsidRPr="008F27ED">
        <w:t>комбинация научных статьей и модулей в одном выпуске;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 модуль в рамках статьи (как рекламной, так и научной);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</w:t>
      </w:r>
      <w:r>
        <w:t xml:space="preserve"> </w:t>
      </w:r>
      <w:r w:rsidRPr="008F27ED">
        <w:t>научная статья с упоминанием препарата;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 статьи обзорного характера;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</w:t>
      </w:r>
      <w:r>
        <w:t xml:space="preserve"> </w:t>
      </w:r>
      <w:r w:rsidRPr="008F27ED">
        <w:t>сообщения о собственном опыте (наблюдения);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-</w:t>
      </w:r>
      <w:r>
        <w:t xml:space="preserve"> </w:t>
      </w:r>
      <w:r w:rsidRPr="008F27ED">
        <w:t>результаты КИ.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Использование таких приемов расширяет возможности рекламы, привлекает дополнительное внимание к препарату, создает нужные акценты, воздействует на читателя суггестивно и закрепляет брэнд в памяти. По сути, речь идет об увеличении информационного поля, поддерживающего рекламу. Нередко такие возможности рекламораспространители предоставляют своим партнерам-заказчикам в качестве бонуса при размещении рекламы. Понятно, что гибкая рекламная политика позволяет варьировать и объемы затрат на рекламу.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Еще интересно, что при публикации рекламных модулей препаратов безрецептурного отпуска производители, как правило, не заботятся о заказе особого объявления, предназначенного для врачей и провизоров/фармацевтов, и используют те же стандартные модули, что и в средствах массовой информации, т. е. предназначенные для населения. Очевидно, это обусловлено, в первую очередь, отсутствием в российском рекламном законодательстве специальных требований к рекламе для специалистов здравоохранения. Надо полагать, что при соответствующем изменении законодательства, преобразятся и рекламные модули препаратов безрецептурного отпуска, предназначенные для продвижения на врачей и провизоров/фармацевтов, хотя число таких размещений может снизиться.</w:t>
      </w:r>
    </w:p>
    <w:p w:rsidR="00BA55F9" w:rsidRPr="00CC10D8" w:rsidRDefault="00BA55F9" w:rsidP="00BA55F9">
      <w:pPr>
        <w:spacing w:before="120"/>
        <w:jc w:val="center"/>
        <w:rPr>
          <w:b/>
          <w:bCs/>
          <w:sz w:val="28"/>
          <w:szCs w:val="28"/>
        </w:rPr>
      </w:pPr>
      <w:r w:rsidRPr="00CC10D8">
        <w:rPr>
          <w:b/>
          <w:bCs/>
          <w:sz w:val="28"/>
          <w:szCs w:val="28"/>
        </w:rPr>
        <w:t>Затраты на рекламу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Затраты компаний-производителей на продвижение своих продуктов вообще и на рекламу для специалистов в медицинской периодике в частности, остаются одним из самых закрытых и самых волнующих вопросов, особенно когда речь идет о вложениях в рекламу конкурентных продуктов. Для исследователей фармрынка это не менее интересная тема, ведь, определив хотя бы приблизительно уровень затрат, можно получить представление об общих объемах оборотов в рекламном секторе фармрынка.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 xml:space="preserve">Поэтому данной проблеме было уделено особое внимание при анализе данных мониторинга. Была разработана методика расчета затрат, исходя из фактических рекламных площадей и полученной от редакций и издательств информации о расценках на рекламу. Так, во II квартале наибольший объем средств привлечен на рекламу антибактериальных препаратов, психоаналептиков, препаратов, влияющих на систему ренин-ангиотензин {рис. 8). Расчетная величина затрат на рекламу в научных и научно-практических медицинских изданиях только за </w:t>
      </w:r>
      <w:r>
        <w:rPr>
          <w:lang w:val="en-US"/>
        </w:rPr>
        <w:t>I</w:t>
      </w:r>
      <w:r w:rsidRPr="005E7AB4">
        <w:t xml:space="preserve"> </w:t>
      </w:r>
      <w:r w:rsidRPr="008F27ED">
        <w:t>квартал составила 2,23 млн. долл. А значит, справедливо говорить о том, что фармрынок реально больше, по меньшей мере, на эту цифру, если учитывать наряду с его товарным сектором указанный рекламный сегмент.</w:t>
      </w:r>
    </w:p>
    <w:p w:rsidR="00BA55F9" w:rsidRPr="008F27ED" w:rsidRDefault="00BA55F9" w:rsidP="00BA55F9">
      <w:pPr>
        <w:spacing w:before="120"/>
        <w:ind w:firstLine="567"/>
        <w:jc w:val="both"/>
      </w:pPr>
      <w:r w:rsidRPr="008F27ED">
        <w:t>Таким образом, анализ контента медицинских периодических изданий, предназначенных для специалистов здравоохранения, позволяет достаточно ясно представить себе информационное поле, отражающее процессы, развивающиеся в области медицинской науки и практики применения ЛС, а также оценить маркетинговую активность компаний по продвижению своих продуктов.</w:t>
      </w:r>
    </w:p>
    <w:p w:rsidR="00BA55F9" w:rsidRPr="00CC10D8" w:rsidRDefault="00BA55F9" w:rsidP="00BA55F9">
      <w:pPr>
        <w:spacing w:before="120"/>
        <w:jc w:val="center"/>
        <w:rPr>
          <w:b/>
          <w:bCs/>
          <w:sz w:val="28"/>
          <w:szCs w:val="28"/>
        </w:rPr>
      </w:pPr>
      <w:r w:rsidRPr="00CC10D8">
        <w:rPr>
          <w:b/>
          <w:bCs/>
          <w:sz w:val="28"/>
          <w:szCs w:val="28"/>
        </w:rPr>
        <w:t>Список литературы</w:t>
      </w:r>
    </w:p>
    <w:p w:rsidR="00BA55F9" w:rsidRPr="00CC10D8" w:rsidRDefault="00BA55F9" w:rsidP="00BA55F9">
      <w:pPr>
        <w:spacing w:before="120"/>
        <w:ind w:firstLine="567"/>
        <w:jc w:val="both"/>
      </w:pPr>
      <w:r>
        <w:t>Журнал «Ремедиум», №9, 2005 год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5F9"/>
    <w:rsid w:val="005E7AB4"/>
    <w:rsid w:val="00616072"/>
    <w:rsid w:val="007056BB"/>
    <w:rsid w:val="00751A57"/>
    <w:rsid w:val="008B35EE"/>
    <w:rsid w:val="008F27ED"/>
    <w:rsid w:val="00B42C45"/>
    <w:rsid w:val="00B47B6A"/>
    <w:rsid w:val="00BA55F9"/>
    <w:rsid w:val="00C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53FFA2-B58E-44C5-8458-D19A38F4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F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8387</Words>
  <Characters>4782</Characters>
  <Application>Microsoft Office Word</Application>
  <DocSecurity>0</DocSecurity>
  <Lines>39</Lines>
  <Paragraphs>26</Paragraphs>
  <ScaleCrop>false</ScaleCrop>
  <Company>Home</Company>
  <LinksUpToDate>false</LinksUpToDate>
  <CharactersWithSpaces>13143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в научной медицинской периодике</dc:title>
  <dc:subject/>
  <dc:creator>User</dc:creator>
  <cp:keywords/>
  <dc:description/>
  <cp:lastModifiedBy>admin</cp:lastModifiedBy>
  <cp:revision>2</cp:revision>
  <dcterms:created xsi:type="dcterms:W3CDTF">2014-01-24T17:15:00Z</dcterms:created>
  <dcterms:modified xsi:type="dcterms:W3CDTF">2014-01-24T17:15:00Z</dcterms:modified>
</cp:coreProperties>
</file>