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9F" w:rsidRDefault="002A3F9F">
      <w:pPr>
        <w:pStyle w:val="24"/>
      </w:pPr>
      <w:bookmarkStart w:id="0" w:name="_Toc467506117"/>
      <w:r>
        <w:t>ПОТЕНЦИАЛЬНО ОПАСНЫЕ И ВРЕДНЫЕ ПРОИЗВОДСТВЕННЫЕ ФАКТОРЫ</w:t>
      </w:r>
    </w:p>
    <w:p w:rsidR="002A3F9F" w:rsidRDefault="002A3F9F">
      <w:pPr>
        <w:spacing w:before="0" w:after="0"/>
        <w:ind w:firstLine="567"/>
        <w:jc w:val="both"/>
        <w:rPr>
          <w:kern w:val="20"/>
          <w:lang w:val="en-US"/>
        </w:rPr>
      </w:pPr>
    </w:p>
    <w:p w:rsidR="002A3F9F" w:rsidRDefault="002A3F9F">
      <w:pPr>
        <w:spacing w:before="0" w:after="0"/>
        <w:ind w:firstLine="567"/>
        <w:jc w:val="both"/>
        <w:rPr>
          <w:kern w:val="20"/>
        </w:rPr>
      </w:pPr>
      <w:r>
        <w:rPr>
          <w:kern w:val="20"/>
        </w:rPr>
        <w:t>ВВЕДЕНИЕ</w:t>
      </w:r>
      <w:bookmarkEnd w:id="0"/>
    </w:p>
    <w:p w:rsidR="002A3F9F" w:rsidRDefault="002A3F9F">
      <w:pPr>
        <w:spacing w:before="0" w:after="0"/>
        <w:ind w:firstLine="567"/>
        <w:jc w:val="both"/>
        <w:rPr>
          <w:kern w:val="20"/>
        </w:rPr>
      </w:pPr>
      <w:r>
        <w:rPr>
          <w:kern w:val="20"/>
        </w:rPr>
        <w:t xml:space="preserve">Важным моментом в комплексе мероприятий направленных на совершенствование условий труда являются мероприятия по охране труда. Этим вопросам с каждым годом уделяется все большее внимание, т.к. забота о здоровье человека стала не только делом государственной важности, но и элементом конкуренции работодателей в вопросе привлечения кадров. Для успешного воплощения в жизнь всех мероприятий по охране труда необходимы знания в области физиологии труда, которые позволяют правильно организовать процесс трудовой деятельности человека. </w:t>
      </w:r>
    </w:p>
    <w:p w:rsidR="002A3F9F" w:rsidRDefault="002A3F9F">
      <w:pPr>
        <w:spacing w:before="0" w:after="0"/>
        <w:ind w:firstLine="567"/>
        <w:jc w:val="both"/>
        <w:rPr>
          <w:kern w:val="20"/>
        </w:rPr>
      </w:pPr>
      <w:r>
        <w:rPr>
          <w:kern w:val="20"/>
        </w:rPr>
        <w:t>В данном разделе дипломного проекта освещаются основные вопросы техники безопасности и экологии труда. В качестве примера оптимального рабочего места программиста приводится анализ характеристик помещения и расчет искусственного освещения на примере отдела информационных технологий корпорации “УНО”.</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1" w:name="_Toc467506118"/>
      <w:r>
        <w:rPr>
          <w:kern w:val="20"/>
        </w:rPr>
        <w:t>ПОТЕНЦИАЛЬНО ОПАСНЫЕ И ВРЕДНЫЕ ПРОИЗВОДСТВЕННЫЕ ФАКТОРЫ</w:t>
      </w:r>
      <w:bookmarkEnd w:id="1"/>
    </w:p>
    <w:p w:rsidR="002A3F9F" w:rsidRDefault="002A3F9F">
      <w:pPr>
        <w:spacing w:before="0" w:after="0"/>
        <w:ind w:firstLine="567"/>
        <w:jc w:val="both"/>
        <w:rPr>
          <w:kern w:val="20"/>
        </w:rPr>
      </w:pPr>
      <w:r>
        <w:rPr>
          <w:kern w:val="20"/>
        </w:rPr>
        <w:t xml:space="preserve"> Имеющийся в настоящее время комплекс разработанных организационных мероприятий и технических средств защиты, накопленный опыт работы ряда вычислительных центров (далее ВЦ) показывает, что имеется возможность добиться значительно больших успехов в деле устранения воздействия на работающих опасных и вредных производственных факторов. </w:t>
      </w:r>
    </w:p>
    <w:p w:rsidR="002A3F9F" w:rsidRDefault="002A3F9F">
      <w:pPr>
        <w:spacing w:before="0" w:after="0"/>
        <w:ind w:firstLine="567"/>
        <w:jc w:val="both"/>
        <w:rPr>
          <w:kern w:val="20"/>
        </w:rPr>
      </w:pPr>
      <w:r>
        <w:rPr>
          <w:kern w:val="20"/>
        </w:rPr>
        <w:t>Опасным называется производственный фактор, воздействие которого на работающего человека в определенных условиях приводит к травме или другому внезапному резкому ухудшению здоровья. Если же производственный фактор приводит к заболеванию или снижению трудоспособности, то его считают вредным. В зависимости от уровня и продолжительности воздействия вредный производственный фактор может стать опасным. Опасные и вредные производственный факторы подразделяются на четыре группы: физические, химические, биологические и психофизические.</w:t>
      </w:r>
    </w:p>
    <w:p w:rsidR="002A3F9F" w:rsidRDefault="002A3F9F">
      <w:pPr>
        <w:spacing w:before="0" w:after="0"/>
        <w:ind w:firstLine="567"/>
        <w:jc w:val="both"/>
        <w:rPr>
          <w:kern w:val="20"/>
        </w:rPr>
      </w:pPr>
      <w:r>
        <w:rPr>
          <w:kern w:val="20"/>
        </w:rPr>
        <w:t xml:space="preserve">Состояние условий труда работников ВЦ и его безопасности, на сегодняшний день, еще не удовлетворяют современным требованиям. Работники ВЦ сталкиваются с воздействием таких физически опасных и вредных производственных факторов, как повышенный уровень шума, повышенная температура внешней среды, отсутствие или недостаточная освещенность рабочей зоны, электрический ток, статическое электричество и другие. </w:t>
      </w:r>
    </w:p>
    <w:p w:rsidR="002A3F9F" w:rsidRDefault="002A3F9F">
      <w:pPr>
        <w:spacing w:before="0" w:after="0"/>
        <w:ind w:firstLine="567"/>
        <w:jc w:val="both"/>
        <w:rPr>
          <w:kern w:val="20"/>
        </w:rPr>
      </w:pPr>
      <w:r>
        <w:t xml:space="preserve"> Многие сотрудники ВЦ связаны с воздействием таких психофизических факторов, как умственное перенапряжение, перенапряжение зрительных и слуховых анализаторов, монотонность труда, эмоциональные перегрузки. Воздействие указанных неблагоприятных факторов приводит к снижению работоспособности, вызванное развивающимся утомлением. Появление и развитие утомления связано с изменениями,</w:t>
      </w:r>
      <w:r>
        <w:rPr>
          <w:kern w:val="20"/>
        </w:rPr>
        <w:t xml:space="preserve"> возникающими во время работы в центральной нервной системе, с тормозными процессами в коре головного мозга. </w:t>
      </w:r>
    </w:p>
    <w:p w:rsidR="002A3F9F" w:rsidRDefault="002A3F9F">
      <w:pPr>
        <w:spacing w:before="0" w:after="0"/>
        <w:ind w:firstLine="567"/>
        <w:jc w:val="both"/>
        <w:rPr>
          <w:kern w:val="20"/>
        </w:rPr>
      </w:pPr>
      <w:r>
        <w:rPr>
          <w:kern w:val="20"/>
        </w:rPr>
        <w:t xml:space="preserve">Медицинские обследования работников ВЦ показали, что помимо снижения производительности труда высокие уровни шума приводят к ухудшению слуха. Длительное нахождение человека в зоне комбинированного воздействия различных неблагоприятных факторов может привести к профессиональному заболеванию. Анализ травматизма среди работников ВЦ показывает, что в основном несчастные случаи происходят от воздействия физически опасных производственных факторов при выполнении сотрудниками несвойственных им работ. На втором месте случаи, связанные с воздействием электрического тока. </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2" w:name="_Toc467506119"/>
      <w:r>
        <w:rPr>
          <w:caps/>
          <w:kern w:val="20"/>
        </w:rPr>
        <w:t>ОБЕСПЕЧЕНИЕ ЭЛЕКТРОБЕЗОПАСНОСТИ</w:t>
      </w:r>
      <w:bookmarkEnd w:id="2"/>
    </w:p>
    <w:p w:rsidR="002A3F9F" w:rsidRDefault="002A3F9F">
      <w:pPr>
        <w:spacing w:before="0" w:after="0"/>
        <w:ind w:firstLine="567"/>
        <w:jc w:val="both"/>
        <w:rPr>
          <w:kern w:val="20"/>
          <w:lang w:val="en-US"/>
        </w:rPr>
      </w:pPr>
      <w:r>
        <w:rPr>
          <w:kern w:val="20"/>
        </w:rPr>
        <w:t>Электрический ток представляет собой скрытый тип опасности, т.к. его трудно определить в токо- и нетоковедущих частях оборудования, которые являются хорошими проводниками электричества. Смертельно опасным для жизни человека считают ток, величина которого превышает 0,05А, ток менее 0,05А – безопасен (до 1000 В). С целью предупреждения поражений электрическим током к работе должны допускаться только лица, хорошо изучившие основные правила по технике безопасности.</w:t>
      </w:r>
    </w:p>
    <w:p w:rsidR="002A3F9F" w:rsidRDefault="002A3F9F">
      <w:pPr>
        <w:spacing w:before="0" w:after="0"/>
        <w:ind w:firstLine="567"/>
        <w:jc w:val="both"/>
        <w:rPr>
          <w:b/>
          <w:bCs/>
          <w:kern w:val="20"/>
        </w:rPr>
      </w:pPr>
      <w:r>
        <w:rPr>
          <w:kern w:val="20"/>
        </w:rPr>
        <w:t>В соответствии с правилами электробезопасности в служебном помещении должен осуществляться постоянный контроль состояния электропроводки, предохранительных щитов, шнуров, с помощью которых включаются в электросеть компьютеры, осветительные приборы, другие электроприборы.</w:t>
      </w:r>
    </w:p>
    <w:p w:rsidR="002A3F9F" w:rsidRDefault="002A3F9F">
      <w:pPr>
        <w:spacing w:before="0" w:after="0"/>
        <w:ind w:firstLine="567"/>
        <w:jc w:val="both"/>
        <w:rPr>
          <w:kern w:val="20"/>
        </w:rPr>
      </w:pPr>
      <w:r>
        <w:rPr>
          <w:kern w:val="20"/>
        </w:rPr>
        <w:t xml:space="preserve">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 Специфическая опасность электроустановок </w:t>
      </w:r>
      <w:r>
        <w:rPr>
          <w:kern w:val="20"/>
          <w:lang w:val="en-US"/>
        </w:rPr>
        <w:t xml:space="preserve">– </w:t>
      </w:r>
      <w:r>
        <w:rPr>
          <w:kern w:val="20"/>
        </w:rPr>
        <w:t>токоведущие проводники, корпуса стоек ЭВМ и прочего оборудования, оказавшегося под напряжением в результате повреждения (пробоя)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Исключительно важное значение для предотвращения электротравмотизма имеет правильная организация обслуживания действующих электроустановок ВЦ, проведения ремонтных, монтажных и профилактических работ.</w:t>
      </w:r>
    </w:p>
    <w:p w:rsidR="002A3F9F" w:rsidRDefault="002A3F9F">
      <w:pPr>
        <w:spacing w:before="0" w:after="0"/>
        <w:ind w:firstLine="567"/>
        <w:jc w:val="both"/>
        <w:rPr>
          <w:kern w:val="20"/>
        </w:rPr>
      </w:pPr>
      <w:r>
        <w:rPr>
          <w:kern w:val="20"/>
        </w:rPr>
        <w:t xml:space="preserve">В зависимости от категории помещения необходимо принять определенные меры, обеспечивающие достаточную электробезопасность при эксплуатации и ремонте электрооборудования. </w:t>
      </w:r>
    </w:p>
    <w:p w:rsidR="002A3F9F" w:rsidRDefault="002A3F9F">
      <w:pPr>
        <w:spacing w:before="0" w:after="0"/>
        <w:ind w:firstLine="567"/>
        <w:jc w:val="both"/>
        <w:rPr>
          <w:kern w:val="20"/>
        </w:rPr>
      </w:pPr>
      <w:r>
        <w:rPr>
          <w:kern w:val="20"/>
        </w:rPr>
        <w:t>В ВЦ разрядные токи статического электричества чаще всего возникают при прикосновении к любому из элементов ЭВМ. Такие разряды опасности для человека не представляют, но кроме неприятных ощущений они могут привести к выходу из строя ЭВМ. Для снижения величины возникающих зарядов статического электричества в ВЦ покрытие технологических полов следует выполнять из однослойного поливинилхлоридного антистатического линолеума. Другим методом защиты является нейтрализация заряда статического электричества ионизированным газом. В промышленности широко применяются радиоактивные нитрализаторы. К общим мерам защиты от статического электричества в ВЦ можно отнести общие и местное увлажнение воздуха.</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3" w:name="_Toc467506120"/>
      <w:r>
        <w:rPr>
          <w:caps/>
          <w:kern w:val="20"/>
        </w:rPr>
        <w:t>ОБЕСПЕЧЕНИЕ САНИТАРНО-ГИГИЕНИЧЕСКИХ ТРЕБОВАНИЙ К ПОМЕЩЕНИЯМ ВЦ</w:t>
      </w:r>
      <w:r>
        <w:rPr>
          <w:caps/>
          <w:kern w:val="20"/>
          <w:lang w:val="en-US"/>
        </w:rPr>
        <w:t xml:space="preserve"> </w:t>
      </w:r>
      <w:r>
        <w:rPr>
          <w:caps/>
          <w:kern w:val="20"/>
        </w:rPr>
        <w:t>И РАБОЧИМ МЕСТАМ ПРОГРАММИСТОВ</w:t>
      </w:r>
      <w:bookmarkEnd w:id="3"/>
    </w:p>
    <w:p w:rsidR="002A3F9F" w:rsidRDefault="002A3F9F">
      <w:pPr>
        <w:spacing w:before="0" w:after="0"/>
        <w:ind w:firstLine="567"/>
        <w:jc w:val="both"/>
        <w:rPr>
          <w:kern w:val="20"/>
        </w:rPr>
      </w:pPr>
      <w:bookmarkStart w:id="4" w:name="_Toc467506121"/>
      <w:r>
        <w:rPr>
          <w:kern w:val="20"/>
        </w:rPr>
        <w:t>ТРЕБОВАНИЯ К ПОМЕЩЕНИЯМ ВЫЧИСЛИТЕЛЬНЫХ ЦЕНТРОВ</w:t>
      </w:r>
      <w:bookmarkEnd w:id="4"/>
    </w:p>
    <w:p w:rsidR="002A3F9F" w:rsidRDefault="002A3F9F">
      <w:pPr>
        <w:spacing w:before="0" w:after="0"/>
        <w:ind w:firstLine="567"/>
        <w:jc w:val="both"/>
        <w:rPr>
          <w:kern w:val="20"/>
        </w:rPr>
      </w:pPr>
      <w:r>
        <w:rPr>
          <w:kern w:val="20"/>
        </w:rPr>
        <w:t>Помещения ВЦ, их размеры (площадь, объем) должны в первую очередь соответствовать количеству работающих и размещаемому в них комплекту технических средств. В них предусматриваются соответствующие параметры температуры, освещения, чистоты воздуха, обеспечивают изоляцию, от производственных шумов и т.п. Для обеспечения нормальных условий труда санитарные нормы СН 245-71 устанавливают на одного работающего, объем производственного помещения не менее 15 м</w:t>
      </w:r>
      <w:r>
        <w:rPr>
          <w:kern w:val="20"/>
          <w:vertAlign w:val="superscript"/>
        </w:rPr>
        <w:t>3</w:t>
      </w:r>
      <w:r>
        <w:rPr>
          <w:kern w:val="20"/>
        </w:rPr>
        <w:t>, площадь помещения выгороженного стенами или глухими перегородками не менее 4,5 м</w:t>
      </w:r>
      <w:r>
        <w:rPr>
          <w:kern w:val="20"/>
          <w:vertAlign w:val="superscript"/>
        </w:rPr>
        <w:t>3</w:t>
      </w:r>
      <w:r>
        <w:rPr>
          <w:kern w:val="20"/>
        </w:rPr>
        <w:t xml:space="preserve">. </w:t>
      </w:r>
    </w:p>
    <w:p w:rsidR="002A3F9F" w:rsidRDefault="002A3F9F">
      <w:pPr>
        <w:spacing w:before="0" w:after="0"/>
        <w:ind w:firstLine="567"/>
        <w:jc w:val="both"/>
        <w:rPr>
          <w:kern w:val="20"/>
        </w:rPr>
      </w:pPr>
      <w:r>
        <w:rPr>
          <w:kern w:val="20"/>
        </w:rPr>
        <w:t xml:space="preserve"> Для эксплуатации ЭВМ следует предусматривать следующие помещения:</w:t>
      </w:r>
    </w:p>
    <w:p w:rsidR="002A3F9F" w:rsidRDefault="002A3F9F" w:rsidP="002A3F9F">
      <w:pPr>
        <w:numPr>
          <w:ilvl w:val="0"/>
          <w:numId w:val="1"/>
        </w:numPr>
        <w:tabs>
          <w:tab w:val="clear" w:pos="360"/>
          <w:tab w:val="num" w:pos="927"/>
        </w:tabs>
        <w:spacing w:before="0" w:after="0"/>
        <w:ind w:left="927"/>
        <w:jc w:val="both"/>
        <w:rPr>
          <w:kern w:val="20"/>
        </w:rPr>
      </w:pPr>
      <w:r>
        <w:rPr>
          <w:kern w:val="20"/>
        </w:rPr>
        <w:t>машинный зал, помещение для размещения сервисной и периферийной аппаратуры, помещение для хранения запасных деталей, инструментов, приборов (ЗИП);</w:t>
      </w:r>
    </w:p>
    <w:p w:rsidR="002A3F9F" w:rsidRDefault="002A3F9F" w:rsidP="002A3F9F">
      <w:pPr>
        <w:numPr>
          <w:ilvl w:val="0"/>
          <w:numId w:val="1"/>
        </w:numPr>
        <w:tabs>
          <w:tab w:val="clear" w:pos="360"/>
          <w:tab w:val="num" w:pos="927"/>
        </w:tabs>
        <w:spacing w:before="0" w:after="0"/>
        <w:ind w:left="927"/>
        <w:jc w:val="both"/>
        <w:rPr>
          <w:kern w:val="20"/>
        </w:rPr>
      </w:pPr>
      <w:r>
        <w:rPr>
          <w:kern w:val="20"/>
        </w:rPr>
        <w:t>помещения для размещения приточно-вытяжных вентиляторов;</w:t>
      </w:r>
    </w:p>
    <w:p w:rsidR="002A3F9F" w:rsidRDefault="002A3F9F" w:rsidP="002A3F9F">
      <w:pPr>
        <w:numPr>
          <w:ilvl w:val="0"/>
          <w:numId w:val="1"/>
        </w:numPr>
        <w:tabs>
          <w:tab w:val="clear" w:pos="360"/>
          <w:tab w:val="num" w:pos="927"/>
        </w:tabs>
        <w:spacing w:before="0" w:after="0"/>
        <w:ind w:left="927"/>
        <w:jc w:val="both"/>
        <w:rPr>
          <w:kern w:val="20"/>
        </w:rPr>
      </w:pPr>
      <w:r>
        <w:rPr>
          <w:kern w:val="20"/>
        </w:rPr>
        <w:t>помещение для персонала;</w:t>
      </w:r>
    </w:p>
    <w:p w:rsidR="002A3F9F" w:rsidRDefault="002A3F9F" w:rsidP="002A3F9F">
      <w:pPr>
        <w:numPr>
          <w:ilvl w:val="0"/>
          <w:numId w:val="1"/>
        </w:numPr>
        <w:tabs>
          <w:tab w:val="clear" w:pos="360"/>
          <w:tab w:val="num" w:pos="927"/>
        </w:tabs>
        <w:spacing w:before="0" w:after="0"/>
        <w:ind w:left="927"/>
        <w:jc w:val="both"/>
        <w:rPr>
          <w:kern w:val="20"/>
        </w:rPr>
      </w:pPr>
      <w:r>
        <w:rPr>
          <w:kern w:val="20"/>
        </w:rPr>
        <w:t xml:space="preserve">помещение для приема-выдачи информации. </w:t>
      </w:r>
    </w:p>
    <w:p w:rsidR="002A3F9F" w:rsidRDefault="002A3F9F">
      <w:pPr>
        <w:spacing w:before="0" w:after="0"/>
        <w:ind w:firstLine="567"/>
        <w:jc w:val="both"/>
        <w:rPr>
          <w:kern w:val="20"/>
        </w:rPr>
      </w:pPr>
    </w:p>
    <w:p w:rsidR="002A3F9F" w:rsidRDefault="002A3F9F">
      <w:pPr>
        <w:spacing w:before="0" w:after="0"/>
        <w:ind w:firstLine="567"/>
        <w:jc w:val="both"/>
        <w:rPr>
          <w:kern w:val="20"/>
        </w:rPr>
      </w:pPr>
      <w:r>
        <w:rPr>
          <w:kern w:val="20"/>
        </w:rPr>
        <w:t>Основные помещения ВЦ располагаются в непосредственной близости друг от друга. Их оборудуют общеобменной вентиляцией и искусственным освещением. К помещению машинного зала и хранения магнитных носителей информации предъявляются особые требования. Площадь машинного зала должна соответствовать площади необходимой по заводским техническим условиям данного типа ЭВМ.</w:t>
      </w:r>
    </w:p>
    <w:p w:rsidR="002A3F9F" w:rsidRDefault="002A3F9F">
      <w:pPr>
        <w:spacing w:before="0" w:after="0"/>
        <w:ind w:firstLine="567"/>
        <w:jc w:val="both"/>
        <w:rPr>
          <w:kern w:val="20"/>
        </w:rPr>
      </w:pPr>
      <w:r>
        <w:rPr>
          <w:kern w:val="20"/>
        </w:rPr>
        <w:t xml:space="preserve"> Высота зала над технологическим полом до подвесного потолка должна быть 3</w:t>
      </w:r>
      <w:r>
        <w:rPr>
          <w:kern w:val="20"/>
        </w:rPr>
        <w:softHyphen/>
        <w:t>3,5 м. Расстояние подвесным и основным потолками при этом должно быть 0,5</w:t>
      </w:r>
      <w:r>
        <w:rPr>
          <w:kern w:val="20"/>
        </w:rPr>
        <w:noBreakHyphen/>
        <w:t>0,8 м. Высоту подпольного пространства принимают равной 0,2</w:t>
      </w:r>
      <w:r>
        <w:rPr>
          <w:kern w:val="20"/>
        </w:rPr>
        <w:softHyphen/>
      </w:r>
      <w:r>
        <w:rPr>
          <w:kern w:val="20"/>
        </w:rPr>
        <w:softHyphen/>
      </w:r>
      <w:r>
        <w:rPr>
          <w:kern w:val="20"/>
        </w:rPr>
        <w:noBreakHyphen/>
      </w:r>
      <w:r>
        <w:rPr>
          <w:kern w:val="20"/>
        </w:rPr>
        <w:softHyphen/>
      </w:r>
      <w:r>
        <w:rPr>
          <w:kern w:val="20"/>
        </w:rPr>
        <w:softHyphen/>
      </w:r>
      <w:r>
        <w:rPr>
          <w:kern w:val="20"/>
        </w:rPr>
        <w:softHyphen/>
      </w:r>
      <w:r>
        <w:rPr>
          <w:kern w:val="20"/>
        </w:rPr>
        <w:softHyphen/>
        <w:t>0,6 м.</w:t>
      </w:r>
    </w:p>
    <w:p w:rsidR="002A3F9F" w:rsidRDefault="002A3F9F">
      <w:pPr>
        <w:spacing w:before="0" w:after="0"/>
        <w:ind w:firstLine="567"/>
        <w:jc w:val="both"/>
        <w:rPr>
          <w:kern w:val="20"/>
        </w:rPr>
      </w:pPr>
      <w:r>
        <w:rPr>
          <w:kern w:val="20"/>
        </w:rPr>
        <w:t xml:space="preserve"> В ВЦ, как правило, применяется боковое естественное освещение. Рабочие комнаты и кабинеты должны иметь естественное освещение. В остальных помещениях допускается искусственное освещение.</w:t>
      </w:r>
    </w:p>
    <w:p w:rsidR="002A3F9F" w:rsidRDefault="002A3F9F">
      <w:pPr>
        <w:spacing w:before="0" w:after="0"/>
        <w:ind w:firstLine="567"/>
        <w:jc w:val="both"/>
        <w:rPr>
          <w:kern w:val="20"/>
        </w:rPr>
      </w:pPr>
      <w:r>
        <w:rPr>
          <w:kern w:val="20"/>
        </w:rPr>
        <w:t xml:space="preserve"> В тех случаях, когда одного естественного освещения не хватает, устанавливается совмещенное освещение. При этом дополнительное искусственное освещение применяется не только в темное, но и в светлое время суток.</w:t>
      </w:r>
    </w:p>
    <w:p w:rsidR="002A3F9F" w:rsidRDefault="002A3F9F">
      <w:pPr>
        <w:spacing w:before="0" w:after="0"/>
        <w:ind w:firstLine="567"/>
        <w:jc w:val="both"/>
        <w:rPr>
          <w:kern w:val="20"/>
        </w:rPr>
      </w:pPr>
      <w:r>
        <w:rPr>
          <w:kern w:val="20"/>
        </w:rPr>
        <w:t xml:space="preserve"> Искусственное освещение по характеру выполняемых задач делится на рабочее, аварийное, эвакуационное. </w:t>
      </w:r>
    </w:p>
    <w:p w:rsidR="002A3F9F" w:rsidRDefault="002A3F9F">
      <w:pPr>
        <w:spacing w:before="0" w:after="0"/>
        <w:ind w:firstLine="567"/>
        <w:jc w:val="both"/>
        <w:rPr>
          <w:kern w:val="20"/>
        </w:rPr>
      </w:pPr>
      <w:r>
        <w:rPr>
          <w:kern w:val="20"/>
        </w:rPr>
        <w:t xml:space="preserve"> Рациональное цветовое оформление помещения направленно на улучшение санитарно-гигиенических условий труда, повышение его производительности и безопасности. Окраска помещений ВЦ влияет на нервную систему человека, его настроение и в конечном счете на производительность труда. Основные производственные помещения целесообразно окрашивать в соответствии с цветом технических средств. Освещение помещения и оборудования должно быть мягким, без блеска.</w:t>
      </w:r>
    </w:p>
    <w:p w:rsidR="002A3F9F" w:rsidRDefault="002A3F9F">
      <w:pPr>
        <w:spacing w:before="0" w:after="0"/>
        <w:ind w:firstLine="567"/>
        <w:jc w:val="both"/>
        <w:rPr>
          <w:kern w:val="20"/>
        </w:rPr>
      </w:pPr>
      <w:r>
        <w:rPr>
          <w:kern w:val="20"/>
        </w:rPr>
        <w:t xml:space="preserve"> Снижение шума, создаваемого на рабочих местах ВЦ внутренними источниками, а также шума проникающего извне, является очень важной задачей. Снижение шума в источнике излучения можно обеспечить применением упругих прокладок между основанием машины, прибора и опорной поверхностью. В качестве прокладок используются резина, войлок, пробка, различной конструкции амортизаторы. Под настольные шумящие аппараты можно подкладывать мягкие коврики из синтетических материалов, а под ножки столов, на которых они установлены, – прокладки из мягкой резины, войлока, толщиной 6</w:t>
      </w:r>
      <w:r>
        <w:rPr>
          <w:kern w:val="20"/>
        </w:rPr>
        <w:noBreakHyphen/>
        <w:t>8 мм. Крепление прокладок возможно путем приклейки их к опорным частям.</w:t>
      </w:r>
    </w:p>
    <w:p w:rsidR="002A3F9F" w:rsidRDefault="002A3F9F">
      <w:pPr>
        <w:spacing w:before="0" w:after="0"/>
        <w:ind w:firstLine="567"/>
        <w:jc w:val="both"/>
        <w:rPr>
          <w:kern w:val="20"/>
        </w:rPr>
      </w:pPr>
      <w:r>
        <w:rPr>
          <w:kern w:val="20"/>
        </w:rPr>
        <w:t xml:space="preserve"> Возможно также применение звукоизолирующих кожухов, которые не мешают технологическому процессу. Не менее важным для снижения шума в процессе эксплуатации является вопрос правильной и своевременной регулировки, смазывания и замены механических узлов шумящего оборудования.</w:t>
      </w:r>
    </w:p>
    <w:p w:rsidR="002A3F9F" w:rsidRDefault="002A3F9F">
      <w:pPr>
        <w:spacing w:before="0" w:after="0"/>
        <w:ind w:firstLine="567"/>
        <w:jc w:val="both"/>
        <w:rPr>
          <w:kern w:val="20"/>
        </w:rPr>
      </w:pPr>
      <w:r>
        <w:rPr>
          <w:kern w:val="20"/>
        </w:rPr>
        <w:t xml:space="preserve"> Рациональная планировка помещения, размещения оборудования в ВЦ является важным фактором, позволяющим снизить шум при существующем оборудовании ЭВМ. При планировке ВЦ машинный зал и помещение для сервисной аппаратуры необходимо располагать в дали от шумящего и вибрирующего оборудования.</w:t>
      </w:r>
    </w:p>
    <w:p w:rsidR="002A3F9F" w:rsidRDefault="002A3F9F">
      <w:pPr>
        <w:pStyle w:val="32"/>
      </w:pPr>
      <w:r>
        <w:t xml:space="preserve"> Снижение уровня шума, проникающего в производственное помещение извне, может быть достигнуто увеличением звукоизоляции ограждающих конструкций, уплотнением по периметру притворов окон, дверей. </w:t>
      </w:r>
    </w:p>
    <w:p w:rsidR="002A3F9F" w:rsidRDefault="002A3F9F">
      <w:pPr>
        <w:spacing w:before="0" w:after="0"/>
        <w:ind w:firstLine="567"/>
        <w:jc w:val="both"/>
        <w:rPr>
          <w:kern w:val="20"/>
        </w:rPr>
      </w:pPr>
      <w:r>
        <w:rPr>
          <w:kern w:val="20"/>
        </w:rPr>
        <w:t xml:space="preserve"> Таким образом для снижения шума создаваемого на рабочих местах внутренними источниками, а также шума, проникающего из вне следует:</w:t>
      </w:r>
    </w:p>
    <w:p w:rsidR="002A3F9F" w:rsidRDefault="002A3F9F" w:rsidP="002A3F9F">
      <w:pPr>
        <w:numPr>
          <w:ilvl w:val="0"/>
          <w:numId w:val="2"/>
        </w:numPr>
        <w:tabs>
          <w:tab w:val="clear" w:pos="360"/>
          <w:tab w:val="num" w:pos="927"/>
        </w:tabs>
        <w:spacing w:before="0" w:after="0"/>
        <w:ind w:left="927"/>
        <w:jc w:val="both"/>
        <w:rPr>
          <w:kern w:val="20"/>
        </w:rPr>
      </w:pPr>
      <w:r>
        <w:rPr>
          <w:kern w:val="20"/>
        </w:rPr>
        <w:t>ослабить шум самих источников (применение экранов, звукоизолирующих кожухов);</w:t>
      </w:r>
    </w:p>
    <w:p w:rsidR="002A3F9F" w:rsidRDefault="002A3F9F" w:rsidP="002A3F9F">
      <w:pPr>
        <w:numPr>
          <w:ilvl w:val="0"/>
          <w:numId w:val="2"/>
        </w:numPr>
        <w:tabs>
          <w:tab w:val="clear" w:pos="360"/>
          <w:tab w:val="num" w:pos="927"/>
        </w:tabs>
        <w:spacing w:before="0" w:after="0"/>
        <w:ind w:left="927"/>
        <w:jc w:val="both"/>
        <w:rPr>
          <w:kern w:val="20"/>
        </w:rPr>
      </w:pPr>
      <w:r>
        <w:rPr>
          <w:kern w:val="20"/>
        </w:rPr>
        <w:t>снизить эффект суммарного воздействия отраженных звуковых волн (звукопоглощающие поверхности конструкций);</w:t>
      </w:r>
    </w:p>
    <w:p w:rsidR="002A3F9F" w:rsidRDefault="002A3F9F" w:rsidP="002A3F9F">
      <w:pPr>
        <w:numPr>
          <w:ilvl w:val="0"/>
          <w:numId w:val="2"/>
        </w:numPr>
        <w:tabs>
          <w:tab w:val="clear" w:pos="360"/>
          <w:tab w:val="num" w:pos="927"/>
        </w:tabs>
        <w:spacing w:before="0" w:after="0"/>
        <w:ind w:left="927"/>
        <w:jc w:val="both"/>
        <w:rPr>
          <w:kern w:val="20"/>
        </w:rPr>
      </w:pPr>
      <w:r>
        <w:rPr>
          <w:kern w:val="20"/>
        </w:rPr>
        <w:t>применять рациональное расположение оборудования;</w:t>
      </w:r>
    </w:p>
    <w:p w:rsidR="002A3F9F" w:rsidRDefault="002A3F9F" w:rsidP="002A3F9F">
      <w:pPr>
        <w:numPr>
          <w:ilvl w:val="0"/>
          <w:numId w:val="2"/>
        </w:numPr>
        <w:tabs>
          <w:tab w:val="clear" w:pos="360"/>
          <w:tab w:val="num" w:pos="927"/>
        </w:tabs>
        <w:spacing w:before="0" w:after="0"/>
        <w:ind w:left="927"/>
        <w:jc w:val="both"/>
        <w:rPr>
          <w:kern w:val="20"/>
        </w:rPr>
      </w:pPr>
      <w:r>
        <w:rPr>
          <w:kern w:val="20"/>
        </w:rPr>
        <w:t>использовать архитектурно-планировочные и технологические решения изоляций источников шума.</w:t>
      </w:r>
    </w:p>
    <w:p w:rsidR="002A3F9F" w:rsidRDefault="002A3F9F">
      <w:pPr>
        <w:spacing w:before="0" w:after="0"/>
        <w:ind w:firstLine="567"/>
        <w:jc w:val="both"/>
        <w:rPr>
          <w:kern w:val="20"/>
          <w:lang w:val="en-US"/>
        </w:rPr>
      </w:pPr>
    </w:p>
    <w:p w:rsidR="002A3F9F" w:rsidRDefault="002A3F9F">
      <w:pPr>
        <w:spacing w:before="0" w:after="0"/>
        <w:ind w:firstLine="567"/>
        <w:jc w:val="both"/>
        <w:rPr>
          <w:kern w:val="20"/>
        </w:rPr>
      </w:pPr>
      <w:bookmarkStart w:id="5" w:name="_Toc467506122"/>
      <w:r>
        <w:rPr>
          <w:kern w:val="20"/>
        </w:rPr>
        <w:t>ОРГАНИЗАЦИЯ И ОБОРУДОВАНИЕ РАБОЧИХ МЕСТ С ПЭВМ</w:t>
      </w:r>
      <w:bookmarkEnd w:id="5"/>
    </w:p>
    <w:p w:rsidR="002A3F9F" w:rsidRDefault="002A3F9F">
      <w:pPr>
        <w:spacing w:before="0" w:after="0"/>
        <w:ind w:firstLine="567"/>
        <w:jc w:val="both"/>
        <w:rPr>
          <w:kern w:val="20"/>
        </w:rPr>
      </w:pPr>
      <w:r>
        <w:rPr>
          <w:kern w:val="20"/>
        </w:rPr>
        <w:t>Требования к организации и оборудованию рабочего места сотрудника ВЦ приведены в ГОСТ 12.2.032</w:t>
      </w:r>
      <w:r>
        <w:rPr>
          <w:kern w:val="20"/>
        </w:rPr>
        <w:noBreakHyphen/>
        <w:t>78. Высота рабочей поверхности стола для пользователей должна регулироваться в пределах 680-800 мм; при отсутствии таковой возможности высота рабочей поверхности стола должна составлять 725 мм.</w:t>
      </w:r>
    </w:p>
    <w:p w:rsidR="002A3F9F" w:rsidRDefault="002A3F9F">
      <w:pPr>
        <w:spacing w:before="0" w:after="0"/>
        <w:ind w:firstLine="567"/>
        <w:jc w:val="both"/>
        <w:rPr>
          <w:kern w:val="20"/>
        </w:rPr>
      </w:pPr>
      <w:r>
        <w:rPr>
          <w:kern w:val="20"/>
        </w:rPr>
        <w:t>Модульными размерами рабочей поверхности стола для ПЭВМ, на основании которых должны рассчитываться конструктивные размеры, следует считать: ширину 800, 1200, 1400 мм, глубину 800 и 1000 мм при нерегулируемой высоте, равной 725 мм.</w:t>
      </w:r>
    </w:p>
    <w:p w:rsidR="002A3F9F" w:rsidRDefault="002A3F9F">
      <w:pPr>
        <w:spacing w:before="0" w:after="0"/>
        <w:ind w:firstLine="567"/>
        <w:jc w:val="both"/>
        <w:rPr>
          <w:kern w:val="20"/>
        </w:rPr>
      </w:pPr>
      <w:r>
        <w:rPr>
          <w:kern w:val="20"/>
        </w:rPr>
        <w:t>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w:t>
      </w:r>
    </w:p>
    <w:p w:rsidR="002A3F9F" w:rsidRDefault="002A3F9F">
      <w:pPr>
        <w:spacing w:before="0" w:after="0"/>
        <w:ind w:firstLine="567"/>
        <w:jc w:val="both"/>
        <w:rPr>
          <w:kern w:val="20"/>
        </w:rPr>
      </w:pPr>
      <w:r>
        <w:rPr>
          <w:kern w:val="20"/>
        </w:rPr>
        <w:t xml:space="preserve">Рабочий стул (кресло) должен быть подъемно-поворотным и регулируемым по высоте и углам наклона сиденья и спинки, а также – расстоянию спинки до переднего края сиденья. </w:t>
      </w:r>
    </w:p>
    <w:p w:rsidR="002A3F9F" w:rsidRDefault="002A3F9F">
      <w:pPr>
        <w:spacing w:before="0" w:after="0"/>
        <w:ind w:firstLine="567"/>
        <w:jc w:val="both"/>
        <w:rPr>
          <w:kern w:val="20"/>
        </w:rPr>
      </w:pPr>
      <w:r>
        <w:rPr>
          <w:kern w:val="20"/>
        </w:rPr>
        <w:t xml:space="preserve">Рабочее место необходимо оборудовать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градусов. Поверхность подставки должна быть рифленой и иметь по переднему краю бортик высотой 10 мм. </w:t>
      </w:r>
    </w:p>
    <w:p w:rsidR="002A3F9F" w:rsidRDefault="002A3F9F">
      <w:pPr>
        <w:spacing w:before="0" w:after="0"/>
        <w:ind w:firstLine="567"/>
        <w:jc w:val="both"/>
        <w:rPr>
          <w:kern w:val="20"/>
          <w:lang w:val="en-US"/>
        </w:rPr>
      </w:pPr>
      <w:r>
        <w:rPr>
          <w:kern w:val="20"/>
        </w:rPr>
        <w:t>Клавиатуру следует располагать на поверхности стола на расстоянии 100-300 мм от края, обращенного к пользователю, или на специальной регулируемой по высоте рабочей поверхности, отделенной от основной столешницы.</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6" w:name="_Toc467506123"/>
      <w:r>
        <w:rPr>
          <w:kern w:val="20"/>
        </w:rPr>
        <w:t>ТРЕБОВАНИЯ К ОСВЕЩЕНИЮ ПОМЕЩЕНИЙ И РАБОЧИХ МЕСТ С ПЭВМ</w:t>
      </w:r>
      <w:bookmarkEnd w:id="6"/>
    </w:p>
    <w:p w:rsidR="002A3F9F" w:rsidRDefault="002A3F9F">
      <w:pPr>
        <w:spacing w:before="0" w:after="0"/>
        <w:ind w:firstLine="567"/>
        <w:jc w:val="both"/>
        <w:rPr>
          <w:kern w:val="20"/>
        </w:rPr>
      </w:pPr>
      <w:r>
        <w:rPr>
          <w:kern w:val="20"/>
        </w:rPr>
        <w:t>Данные требования описаны в санитарных нормах и правилах (СанПиН) для работников вычислительных центров от 22-05-95.</w:t>
      </w:r>
    </w:p>
    <w:p w:rsidR="002A3F9F" w:rsidRDefault="002A3F9F">
      <w:pPr>
        <w:spacing w:before="0" w:after="0"/>
        <w:ind w:firstLine="567"/>
        <w:jc w:val="both"/>
        <w:rPr>
          <w:kern w:val="20"/>
        </w:rPr>
      </w:pPr>
      <w:r>
        <w:rPr>
          <w:kern w:val="20"/>
        </w:rPr>
        <w:t>Искусственное освещение в помещениях эксплуатации ПЭВМ осуществляется системой общего равномерного освещения.</w:t>
      </w:r>
    </w:p>
    <w:p w:rsidR="002A3F9F" w:rsidRDefault="002A3F9F">
      <w:pPr>
        <w:spacing w:before="0" w:after="0"/>
        <w:ind w:firstLine="567"/>
        <w:jc w:val="both"/>
        <w:rPr>
          <w:kern w:val="20"/>
        </w:rPr>
      </w:pPr>
      <w:r>
        <w:rPr>
          <w:kern w:val="20"/>
        </w:rPr>
        <w:t>В производственных и административно-общественных помещениях, в случаях преимущественной работы с документами, разрешено применение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2A3F9F" w:rsidRDefault="002A3F9F">
      <w:pPr>
        <w:spacing w:before="0" w:after="0"/>
        <w:ind w:firstLine="567"/>
        <w:jc w:val="both"/>
        <w:rPr>
          <w:kern w:val="20"/>
        </w:rPr>
      </w:pPr>
      <w:r>
        <w:rPr>
          <w:kern w:val="20"/>
        </w:rPr>
        <w:t>Освещенность на поверхности стола в зоне размещения рабочего документа должна быть 300-500 лк, также допускается установка светильников местного освещения для подсветки документов, но с таким условием, чтобы оно не создавало бликов на поверхности экрана и не увеличивало освещенность экрана более чем на 300 лк.</w:t>
      </w:r>
    </w:p>
    <w:p w:rsidR="002A3F9F" w:rsidRDefault="002A3F9F">
      <w:pPr>
        <w:spacing w:before="0" w:after="0"/>
        <w:ind w:firstLine="567"/>
        <w:jc w:val="both"/>
        <w:rPr>
          <w:kern w:val="20"/>
        </w:rPr>
      </w:pPr>
      <w:r>
        <w:rPr>
          <w:kern w:val="20"/>
        </w:rPr>
        <w:t>В качестве источников света при искусственном освещении должны применяться преимущественно люминесцентные лампы типа ЛБ. При устройстве отраженного освещения в административно-общественных помещениях допускается применение металлогалогенных ламп мощностью до 250 Вт. Допускается применение ламп накаливания в светильниках местного освещения.</w:t>
      </w:r>
    </w:p>
    <w:p w:rsidR="002A3F9F" w:rsidRDefault="002A3F9F">
      <w:pPr>
        <w:spacing w:before="0" w:after="0"/>
        <w:ind w:firstLine="567"/>
        <w:jc w:val="both"/>
        <w:rPr>
          <w:kern w:val="20"/>
        </w:rPr>
      </w:pPr>
      <w:r>
        <w:rPr>
          <w:kern w:val="20"/>
        </w:rPr>
        <w:t xml:space="preserve">Общее освещение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ПЭВМ. При периметральном расположении компьютеров линии светильников должны располагаться локализовано над рабочим столом, ближе к его переднему краю, обращенному к оператору. </w:t>
      </w:r>
    </w:p>
    <w:p w:rsidR="002A3F9F" w:rsidRDefault="002A3F9F">
      <w:pPr>
        <w:spacing w:before="0" w:after="0"/>
        <w:ind w:firstLine="567"/>
        <w:jc w:val="both"/>
        <w:rPr>
          <w:kern w:val="20"/>
        </w:rPr>
      </w:pPr>
      <w:r>
        <w:rPr>
          <w:kern w:val="20"/>
        </w:rPr>
        <w:t>Для обеспечения нормируемых значений освещенности в помещениях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7" w:name="_Toc467506124"/>
      <w:r>
        <w:rPr>
          <w:kern w:val="20"/>
        </w:rPr>
        <w:t>ПРОТИВОПОЖАРНАЯ ЗАЩИТА</w:t>
      </w:r>
      <w:bookmarkEnd w:id="7"/>
    </w:p>
    <w:p w:rsidR="002A3F9F" w:rsidRDefault="002A3F9F">
      <w:pPr>
        <w:spacing w:before="0" w:after="0"/>
        <w:ind w:firstLine="567"/>
        <w:jc w:val="both"/>
        <w:rPr>
          <w:kern w:val="20"/>
          <w:lang w:val="en-US"/>
        </w:rPr>
      </w:pPr>
      <w:r>
        <w:rPr>
          <w:kern w:val="20"/>
        </w:rPr>
        <w:t>Пожарная безопасность – состояние объекта, при котором исключается возможность пожара, а в случае его возникновения предотвращается воздействие на людей опасных факторов пожара и обеспечивается защита материальных ценностей.</w:t>
      </w:r>
    </w:p>
    <w:p w:rsidR="002A3F9F" w:rsidRDefault="002A3F9F">
      <w:pPr>
        <w:spacing w:before="0" w:after="0"/>
        <w:ind w:firstLine="567"/>
        <w:jc w:val="both"/>
        <w:rPr>
          <w:kern w:val="20"/>
        </w:rPr>
      </w:pPr>
      <w:r>
        <w:rPr>
          <w:kern w:val="20"/>
        </w:rPr>
        <w:t>Пожарная безопасность обеспечивается системой предотвращения пожара и системой пожарной защиты. Во всех служебных помещениях обязательно должен быть “План эвакуации людей при пожаре”, регламентирующий действия персонала в случае возникновения очага возгорания и указывающий места расположения пожарной техники.</w:t>
      </w:r>
    </w:p>
    <w:p w:rsidR="002A3F9F" w:rsidRDefault="002A3F9F">
      <w:pPr>
        <w:spacing w:before="0" w:after="0"/>
        <w:ind w:firstLine="567"/>
        <w:jc w:val="both"/>
        <w:rPr>
          <w:kern w:val="20"/>
        </w:rPr>
      </w:pPr>
      <w:r>
        <w:rPr>
          <w:kern w:val="20"/>
        </w:rPr>
        <w:t xml:space="preserve"> Пожары в ВЦ представляют особую опасность, так как сопряжены с большими материальными потерями. Характерная особенность ВЦ – небольшие площади помещений. Как известно пожар может возникнуть при взаимодействии горючих веществ, окисления и источников зажигания. В помещениях ВЦ присутствуют все три основные фактора, необходимые для возникновения пожара. </w:t>
      </w:r>
    </w:p>
    <w:p w:rsidR="002A3F9F" w:rsidRDefault="002A3F9F">
      <w:pPr>
        <w:spacing w:before="0" w:after="0"/>
        <w:ind w:firstLine="567"/>
        <w:jc w:val="both"/>
        <w:rPr>
          <w:kern w:val="20"/>
        </w:rPr>
      </w:pPr>
      <w:r>
        <w:rPr>
          <w:kern w:val="20"/>
        </w:rPr>
        <w:t xml:space="preserve"> Горючими компонентами на ВЦ являются: строительные материалы для акустической и эстетической отделки помещений, перегородки, двери, полы, перфокарты и перфоленты, изоляция кабелей и др. </w:t>
      </w:r>
    </w:p>
    <w:p w:rsidR="002A3F9F" w:rsidRDefault="002A3F9F">
      <w:pPr>
        <w:spacing w:before="0" w:after="0"/>
        <w:ind w:firstLine="567"/>
        <w:jc w:val="both"/>
        <w:rPr>
          <w:kern w:val="20"/>
        </w:rPr>
      </w:pPr>
      <w:r>
        <w:rPr>
          <w:kern w:val="20"/>
        </w:rPr>
        <w:t xml:space="preserve"> Противопожарная защита –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w:t>
      </w:r>
    </w:p>
    <w:p w:rsidR="002A3F9F" w:rsidRDefault="002A3F9F">
      <w:pPr>
        <w:spacing w:before="0" w:after="0"/>
        <w:ind w:firstLine="567"/>
        <w:jc w:val="both"/>
        <w:rPr>
          <w:kern w:val="20"/>
        </w:rPr>
      </w:pPr>
      <w:r>
        <w:rPr>
          <w:kern w:val="20"/>
        </w:rPr>
        <w:t xml:space="preserve"> Источниками зажигания в ВЦ могут быть электронные схемы от ЭВМ, приборы, применяемые для технического обслуживания, устройства электропитания, кондиционирования воздуха, где в результате различных нарушений образуются перегретые элементы, электрические искры и дуги, способные вызвать загорания горючих материалов.</w:t>
      </w:r>
    </w:p>
    <w:p w:rsidR="002A3F9F" w:rsidRDefault="002A3F9F">
      <w:pPr>
        <w:spacing w:before="0" w:after="0"/>
        <w:ind w:firstLine="567"/>
        <w:jc w:val="both"/>
        <w:rPr>
          <w:kern w:val="20"/>
        </w:rPr>
      </w:pPr>
      <w:r>
        <w:rPr>
          <w:kern w:val="20"/>
        </w:rPr>
        <w:t xml:space="preserve"> В современных ЭВМ очень высокая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ЭВМ служат системы вентиляции и кондиционирования воздуха. При постоянном действии эти системы представляют собой дополнительную пожарную опасность.</w:t>
      </w:r>
    </w:p>
    <w:p w:rsidR="002A3F9F" w:rsidRDefault="002A3F9F">
      <w:pPr>
        <w:spacing w:before="0" w:after="0"/>
        <w:ind w:firstLine="567"/>
        <w:jc w:val="both"/>
        <w:rPr>
          <w:kern w:val="20"/>
        </w:rPr>
      </w:pPr>
      <w:r>
        <w:rPr>
          <w:kern w:val="20"/>
        </w:rPr>
        <w:t xml:space="preserve"> Энергоснабжение ВЦ осуществляется от трансформаторной станции и двигатель-генераторных агрегатов. На трансформаторных подстанциях особую опасность представляют трансформаторы с масляным охлаждением. В связи с этим предпочтение следует отдавать сухим трансформатором.</w:t>
      </w:r>
    </w:p>
    <w:p w:rsidR="002A3F9F" w:rsidRDefault="002A3F9F">
      <w:pPr>
        <w:spacing w:before="0" w:after="0"/>
        <w:ind w:firstLine="567"/>
        <w:jc w:val="both"/>
        <w:rPr>
          <w:kern w:val="20"/>
        </w:rPr>
      </w:pPr>
      <w:r>
        <w:rPr>
          <w:kern w:val="20"/>
        </w:rPr>
        <w:t xml:space="preserve"> Пожарная опасность двигатель-генераторных агрегатов обусловлена возможностью коротких замыканий, перегрузки, электрического искрения. Для безопасной работы необходим правильный расчет и выбор аппаратов защиты. При поведении обслуживающих, ремонтных и профилактических работ используются различные смазочные вещества, легковоспламеняющиеся жидкости, прокладываются временные электропроводники, ведут пайку и чистку отдельных узлов. Возникает дополнительная пожарная опасность, требующая дополнительных мер пожарной защиты. В частности, при работе с паяльником следует использовать несгораемую подставку с несложными приспособлениями для уменьшения потребляемой мощности в нерабочем состоянии.</w:t>
      </w:r>
    </w:p>
    <w:p w:rsidR="002A3F9F" w:rsidRDefault="002A3F9F">
      <w:pPr>
        <w:spacing w:before="0" w:after="0"/>
        <w:ind w:firstLine="567"/>
        <w:jc w:val="both"/>
        <w:rPr>
          <w:kern w:val="20"/>
        </w:rPr>
      </w:pPr>
      <w:r>
        <w:rPr>
          <w:kern w:val="20"/>
        </w:rPr>
        <w:t xml:space="preserve"> Для большинства помещений ВЦ установлена категория пожарной опасности В.</w:t>
      </w:r>
    </w:p>
    <w:p w:rsidR="002A3F9F" w:rsidRDefault="002A3F9F">
      <w:pPr>
        <w:spacing w:before="0" w:after="0"/>
        <w:ind w:firstLine="567"/>
        <w:jc w:val="both"/>
        <w:rPr>
          <w:kern w:val="20"/>
        </w:rPr>
      </w:pPr>
      <w:r>
        <w:rPr>
          <w:kern w:val="20"/>
        </w:rPr>
        <w:t xml:space="preserve"> Одной из наиболее важных задач пожарной защиты является защита строительных помещений от разрушений и обеспечение их достаточной прочности в условиях воздействия высоких температур при пожаре. Учитывая высокую стоимость электронного оборудования ВЦ, а также категорию его пожарной опасности, здания для ВЦ и части здания другого назначения, в которых предусмотрено размещение ЭВМ должны быть 1 и 2 степени огнестойкости.</w:t>
      </w:r>
    </w:p>
    <w:p w:rsidR="002A3F9F" w:rsidRDefault="002A3F9F">
      <w:pPr>
        <w:spacing w:before="0" w:after="0"/>
        <w:ind w:firstLine="567"/>
        <w:jc w:val="both"/>
        <w:rPr>
          <w:kern w:val="20"/>
        </w:rPr>
      </w:pPr>
      <w:r>
        <w:rPr>
          <w:kern w:val="20"/>
        </w:rPr>
        <w:t xml:space="preserve"> Для изготовления строительных конструкций используются, как правило, кирпич, железобетон, стекло, металл и другие негорючие материалы. Применение дерева должно быть ограниченно, а в случае использования необходимо пропитывать его огнезащитными составами. В ВЦ противопожарные преграды в виде перегородок из несгораемых материалов устанавливают между машинными залами.</w:t>
      </w:r>
    </w:p>
    <w:p w:rsidR="002A3F9F" w:rsidRDefault="002A3F9F">
      <w:pPr>
        <w:spacing w:before="0" w:after="0"/>
        <w:ind w:firstLine="567"/>
        <w:jc w:val="both"/>
        <w:rPr>
          <w:kern w:val="20"/>
        </w:rPr>
      </w:pPr>
      <w:r>
        <w:rPr>
          <w:kern w:val="20"/>
        </w:rPr>
        <w:t xml:space="preserve"> К средствам тушения пожара, предназначенных для локализации небольших загораний, относятся пожарные стволы, внутренние пожарные водопроводы, огнетушители, сухой песок, асбестовые одеяла и т. п.</w:t>
      </w:r>
    </w:p>
    <w:p w:rsidR="002A3F9F" w:rsidRDefault="002A3F9F">
      <w:pPr>
        <w:spacing w:before="0" w:after="0"/>
        <w:ind w:firstLine="567"/>
        <w:jc w:val="both"/>
        <w:rPr>
          <w:kern w:val="20"/>
        </w:rPr>
      </w:pPr>
      <w:r>
        <w:rPr>
          <w:kern w:val="20"/>
        </w:rPr>
        <w:t xml:space="preserve"> В зданиях ВЦ пожарные краны устанавливаются в коридорах, на площадках лестничных клеток и входов. Вода используется для тушения пожаров в помещениях программистов, библиотеках, вспомогательных и служебных помещениях. Применение воды в машинных залах ЭВМ, хранилищах носителей информации, помещениях контрольно-измерительных приборов ввиду опасности повреждения или полного выхода из строя дорогостоящего оборудования возможно в исключительных случаях, когда пожар принимает угрожающе крупные размеры. При этом количество воды должно быть минимальным, а устройства ЭВМ необходимо защитить от попадания воды, накрывая их брезентом или полотном.</w:t>
      </w:r>
    </w:p>
    <w:p w:rsidR="002A3F9F" w:rsidRDefault="002A3F9F">
      <w:pPr>
        <w:spacing w:before="0" w:after="0"/>
        <w:ind w:firstLine="567"/>
        <w:jc w:val="both"/>
        <w:rPr>
          <w:kern w:val="20"/>
        </w:rPr>
      </w:pPr>
      <w:r>
        <w:rPr>
          <w:kern w:val="20"/>
        </w:rPr>
        <w:t xml:space="preserve"> Для тушения пожаров на начальных стадиях широко применяются огнетушители. По виду используемого огнетушащего вещества огнетушители подразделяются на следующие основные группы.</w:t>
      </w:r>
    </w:p>
    <w:p w:rsidR="002A3F9F" w:rsidRDefault="002A3F9F">
      <w:pPr>
        <w:spacing w:before="0" w:after="0"/>
        <w:ind w:firstLine="567"/>
        <w:jc w:val="both"/>
        <w:rPr>
          <w:kern w:val="20"/>
        </w:rPr>
      </w:pPr>
      <w:r>
        <w:rPr>
          <w:kern w:val="20"/>
        </w:rPr>
        <w:t xml:space="preserve"> Пенные огнетушители, применяются для тушения горящих жидкостей, различных материалов, конструктивных элементов и оборудования, кроме электрооборудования, находящегося под напряжением.</w:t>
      </w:r>
    </w:p>
    <w:p w:rsidR="002A3F9F" w:rsidRDefault="002A3F9F">
      <w:pPr>
        <w:spacing w:before="0" w:after="0"/>
        <w:ind w:firstLine="567"/>
        <w:jc w:val="both"/>
        <w:rPr>
          <w:kern w:val="20"/>
        </w:rPr>
      </w:pPr>
      <w:r>
        <w:rPr>
          <w:kern w:val="20"/>
        </w:rPr>
        <w:t xml:space="preserve"> Газовые огнетушители применяются для тушения жидких и твердых веществ, а также электроустановок, находящихся под напряжением.</w:t>
      </w:r>
    </w:p>
    <w:p w:rsidR="002A3F9F" w:rsidRDefault="002A3F9F">
      <w:pPr>
        <w:spacing w:before="0" w:after="0"/>
        <w:ind w:firstLine="567"/>
        <w:jc w:val="both"/>
        <w:rPr>
          <w:kern w:val="20"/>
        </w:rPr>
      </w:pPr>
      <w:r>
        <w:rPr>
          <w:kern w:val="20"/>
        </w:rPr>
        <w:t xml:space="preserve"> В производственных помещениях ВЦ применяются главным образом углекислотные огнетушители, достоинством которых является высокая эффективность тушения пожара, сохранность электронного оборудования, диэлектрические свойства углекислого газа, что позволяет использовать эти огнетушители даже в том случае, когда не удается обесточить электроустановку сразу. </w:t>
      </w:r>
    </w:p>
    <w:p w:rsidR="002A3F9F" w:rsidRDefault="002A3F9F">
      <w:pPr>
        <w:spacing w:before="0" w:after="0"/>
        <w:ind w:firstLine="567"/>
        <w:jc w:val="both"/>
        <w:rPr>
          <w:kern w:val="20"/>
        </w:rPr>
      </w:pPr>
      <w:r>
        <w:rPr>
          <w:kern w:val="20"/>
        </w:rPr>
        <w:t xml:space="preserve">Объекты ВЦ кроме АПС необходимо оборудовать установками стационарного автоматического пожаротушения. Наиболее целесообразно применять в ВЦ установки газового тушения пожара, действие которых основано на быстром заполнении помещения огнетушащим газовым веществом с резким сжижением содержания в воздухе кислорода. </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8" w:name="_Toc467506125"/>
      <w:r>
        <w:rPr>
          <w:kern w:val="20"/>
        </w:rPr>
        <w:t>ОПТИМАЛЬНОЕ РАБОЧЕЕ МЕСТО ПРОГРАММИСТА</w:t>
      </w:r>
      <w:bookmarkEnd w:id="8"/>
    </w:p>
    <w:p w:rsidR="002A3F9F" w:rsidRDefault="002A3F9F">
      <w:pPr>
        <w:spacing w:before="0" w:after="0"/>
        <w:ind w:firstLine="567"/>
        <w:jc w:val="both"/>
        <w:rPr>
          <w:kern w:val="20"/>
        </w:rPr>
      </w:pPr>
      <w:r>
        <w:rPr>
          <w:kern w:val="20"/>
        </w:rPr>
        <w:t>В качестве наглядного примера рассматривается помещение помещение отдела информационных технологий корпорации “УНО”.</w:t>
      </w:r>
    </w:p>
    <w:p w:rsidR="002A3F9F" w:rsidRDefault="002A3F9F">
      <w:pPr>
        <w:spacing w:before="0" w:after="0"/>
        <w:ind w:firstLine="567"/>
        <w:jc w:val="both"/>
        <w:rPr>
          <w:kern w:val="20"/>
          <w:lang w:val="en-US"/>
        </w:rPr>
      </w:pPr>
      <w:bookmarkStart w:id="9" w:name="_Toc467506126"/>
      <w:r>
        <w:rPr>
          <w:kern w:val="20"/>
        </w:rPr>
        <w:t>ХАРАКТЕРИСТИКА ПОМЕЩЕНИЯ</w:t>
      </w:r>
      <w:bookmarkEnd w:id="9"/>
    </w:p>
    <w:p w:rsidR="002A3F9F" w:rsidRDefault="002A3F9F">
      <w:pPr>
        <w:spacing w:before="0" w:after="0"/>
        <w:ind w:firstLine="567"/>
        <w:jc w:val="both"/>
        <w:rPr>
          <w:kern w:val="20"/>
        </w:rPr>
      </w:pPr>
      <w:r>
        <w:rPr>
          <w:kern w:val="20"/>
        </w:rPr>
        <w:t>Рассматриваемый объект: помещение отдела информационных технологий корпорации “УНО”</w:t>
      </w:r>
    </w:p>
    <w:p w:rsidR="002A3F9F" w:rsidRDefault="002A3F9F">
      <w:pPr>
        <w:spacing w:before="0" w:after="0"/>
        <w:ind w:firstLine="567"/>
        <w:jc w:val="both"/>
        <w:rPr>
          <w:kern w:val="20"/>
        </w:rPr>
      </w:pPr>
      <w:r>
        <w:rPr>
          <w:kern w:val="20"/>
        </w:rPr>
        <w:t xml:space="preserve">Размеры помещения составляют : длина </w:t>
      </w:r>
      <w:r w:rsidR="008C3041">
        <w:rPr>
          <w:kern w:val="20"/>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1.25pt" fillcolor="window">
            <v:imagedata r:id="rId5" o:title=""/>
          </v:shape>
        </w:pict>
      </w:r>
      <w:r>
        <w:rPr>
          <w:kern w:val="20"/>
          <w:lang w:val="en-US"/>
        </w:rPr>
        <w:t>9</w:t>
      </w:r>
      <w:r>
        <w:rPr>
          <w:kern w:val="20"/>
        </w:rPr>
        <w:t xml:space="preserve"> м, ширина </w:t>
      </w:r>
      <w:r w:rsidR="008C3041">
        <w:rPr>
          <w:kern w:val="20"/>
          <w:position w:val="-6"/>
          <w:lang w:val="en-US"/>
        </w:rPr>
        <w:pict>
          <v:shape id="_x0000_i1026" type="#_x0000_t75" style="width:18.75pt;height:14.25pt" fillcolor="window">
            <v:imagedata r:id="rId6" o:title=""/>
          </v:shape>
        </w:pict>
      </w:r>
      <w:r>
        <w:rPr>
          <w:kern w:val="20"/>
          <w:lang w:val="en-US"/>
        </w:rPr>
        <w:t>8</w:t>
      </w:r>
      <w:r>
        <w:rPr>
          <w:kern w:val="20"/>
        </w:rPr>
        <w:t xml:space="preserve"> м, высота </w:t>
      </w:r>
      <w:r w:rsidR="008C3041">
        <w:rPr>
          <w:kern w:val="20"/>
          <w:position w:val="-6"/>
        </w:rPr>
        <w:pict>
          <v:shape id="_x0000_i1027" type="#_x0000_t75" style="width:20.25pt;height:14.25pt" fillcolor="window">
            <v:imagedata r:id="rId7" o:title=""/>
          </v:shape>
        </w:pict>
      </w:r>
      <w:r>
        <w:rPr>
          <w:kern w:val="20"/>
        </w:rPr>
        <w:t xml:space="preserve">3 м. Общая площадь равна </w:t>
      </w:r>
      <w:r w:rsidR="008C3041">
        <w:rPr>
          <w:kern w:val="20"/>
          <w:position w:val="-6"/>
        </w:rPr>
        <w:pict>
          <v:shape id="_x0000_i1028" type="#_x0000_t75" style="width:36pt;height:14.25pt" fillcolor="window">
            <v:imagedata r:id="rId8" o:title=""/>
          </v:shape>
        </w:pict>
      </w:r>
      <w:r>
        <w:rPr>
          <w:kern w:val="20"/>
        </w:rPr>
        <w:t>72 кв.м. В помещении работают 12 сотрудников, т.е. на каждого приходится по 18 м</w:t>
      </w:r>
      <w:r>
        <w:rPr>
          <w:kern w:val="20"/>
          <w:vertAlign w:val="superscript"/>
        </w:rPr>
        <w:t>3</w:t>
      </w:r>
      <w:r>
        <w:rPr>
          <w:kern w:val="20"/>
        </w:rPr>
        <w:t>, что соответствует санитарным нормам (не менее 15 м</w:t>
      </w:r>
      <w:r>
        <w:rPr>
          <w:kern w:val="20"/>
          <w:vertAlign w:val="superscript"/>
        </w:rPr>
        <w:t>3</w:t>
      </w:r>
      <w:r>
        <w:rPr>
          <w:kern w:val="20"/>
        </w:rPr>
        <w:t>).</w:t>
      </w:r>
    </w:p>
    <w:p w:rsidR="002A3F9F" w:rsidRDefault="002A3F9F">
      <w:pPr>
        <w:spacing w:before="0" w:after="0"/>
        <w:ind w:firstLine="567"/>
        <w:jc w:val="both"/>
        <w:rPr>
          <w:kern w:val="20"/>
        </w:rPr>
      </w:pPr>
      <w:r>
        <w:rPr>
          <w:kern w:val="20"/>
        </w:rPr>
        <w:t>Состояние микроклимата в помещении с ЭВМ</w:t>
      </w:r>
    </w:p>
    <w:p w:rsidR="002A3F9F" w:rsidRDefault="002A3F9F">
      <w:pPr>
        <w:spacing w:before="0" w:after="0"/>
        <w:ind w:firstLine="567"/>
        <w:jc w:val="both"/>
        <w:rPr>
          <w:kern w:val="20"/>
          <w:lang w:val="en-US"/>
        </w:rPr>
      </w:pPr>
      <w:r>
        <w:rPr>
          <w:kern w:val="20"/>
        </w:rPr>
        <w:t xml:space="preserve">Таблица </w:t>
      </w:r>
      <w:r>
        <w:rPr>
          <w:kern w:val="20"/>
          <w:lang w:val="en-US"/>
        </w:rPr>
        <w:t>1</w:t>
      </w:r>
    </w:p>
    <w:p w:rsidR="002A3F9F" w:rsidRDefault="002A3F9F">
      <w:pPr>
        <w:spacing w:before="0" w:after="0"/>
        <w:jc w:val="both"/>
        <w:rPr>
          <w:kern w:val="20"/>
        </w:rPr>
      </w:pPr>
      <w:r>
        <w:rPr>
          <w:kern w:val="20"/>
        </w:rPr>
        <w:t>Оптимальные нормы микроклимата для помещений с ЭВМ</w:t>
      </w:r>
    </w:p>
    <w:tbl>
      <w:tblPr>
        <w:tblW w:w="0" w:type="auto"/>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14"/>
        <w:gridCol w:w="1820"/>
        <w:gridCol w:w="1964"/>
        <w:gridCol w:w="1820"/>
        <w:gridCol w:w="1820"/>
      </w:tblGrid>
      <w:tr w:rsidR="002A3F9F" w:rsidRPr="002A3F9F">
        <w:tc>
          <w:tcPr>
            <w:tcW w:w="1614" w:type="dxa"/>
            <w:tcBorders>
              <w:top w:val="single" w:sz="12" w:space="0" w:color="000000"/>
              <w:bottom w:val="single" w:sz="12" w:space="0" w:color="000000"/>
            </w:tcBorders>
          </w:tcPr>
          <w:p w:rsidR="002A3F9F" w:rsidRPr="002A3F9F" w:rsidRDefault="002A3F9F">
            <w:pPr>
              <w:spacing w:before="0" w:after="0"/>
              <w:jc w:val="both"/>
              <w:rPr>
                <w:kern w:val="20"/>
              </w:rPr>
            </w:pPr>
            <w:r w:rsidRPr="002A3F9F">
              <w:rPr>
                <w:kern w:val="20"/>
              </w:rPr>
              <w:t>Период года</w:t>
            </w:r>
          </w:p>
        </w:tc>
        <w:tc>
          <w:tcPr>
            <w:tcW w:w="1820" w:type="dxa"/>
            <w:tcBorders>
              <w:top w:val="single" w:sz="12" w:space="0" w:color="000000"/>
              <w:bottom w:val="single" w:sz="12" w:space="0" w:color="000000"/>
            </w:tcBorders>
          </w:tcPr>
          <w:p w:rsidR="002A3F9F" w:rsidRPr="002A3F9F" w:rsidRDefault="002A3F9F">
            <w:pPr>
              <w:spacing w:before="0" w:after="0"/>
              <w:jc w:val="both"/>
              <w:rPr>
                <w:kern w:val="20"/>
              </w:rPr>
            </w:pPr>
            <w:r w:rsidRPr="002A3F9F">
              <w:rPr>
                <w:kern w:val="20"/>
              </w:rPr>
              <w:t>Категория работ</w:t>
            </w:r>
          </w:p>
        </w:tc>
        <w:tc>
          <w:tcPr>
            <w:tcW w:w="1964" w:type="dxa"/>
            <w:tcBorders>
              <w:top w:val="single" w:sz="12" w:space="0" w:color="000000"/>
              <w:bottom w:val="single" w:sz="12" w:space="0" w:color="000000"/>
            </w:tcBorders>
          </w:tcPr>
          <w:p w:rsidR="002A3F9F" w:rsidRPr="002A3F9F" w:rsidRDefault="002A3F9F">
            <w:pPr>
              <w:spacing w:before="0" w:after="0"/>
              <w:jc w:val="both"/>
              <w:rPr>
                <w:kern w:val="20"/>
              </w:rPr>
            </w:pPr>
            <w:r w:rsidRPr="002A3F9F">
              <w:rPr>
                <w:kern w:val="20"/>
              </w:rPr>
              <w:t>Температура воздуха, С</w:t>
            </w:r>
          </w:p>
        </w:tc>
        <w:tc>
          <w:tcPr>
            <w:tcW w:w="1820" w:type="dxa"/>
            <w:tcBorders>
              <w:top w:val="single" w:sz="12" w:space="0" w:color="000000"/>
              <w:bottom w:val="single" w:sz="12" w:space="0" w:color="000000"/>
            </w:tcBorders>
          </w:tcPr>
          <w:p w:rsidR="002A3F9F" w:rsidRPr="002A3F9F" w:rsidRDefault="002A3F9F">
            <w:pPr>
              <w:spacing w:before="0" w:after="0"/>
              <w:jc w:val="both"/>
              <w:rPr>
                <w:kern w:val="20"/>
              </w:rPr>
            </w:pPr>
            <w:r w:rsidRPr="002A3F9F">
              <w:rPr>
                <w:kern w:val="20"/>
              </w:rPr>
              <w:t>Относит. влажность воздуха, %</w:t>
            </w:r>
          </w:p>
        </w:tc>
        <w:tc>
          <w:tcPr>
            <w:tcW w:w="1820" w:type="dxa"/>
            <w:tcBorders>
              <w:top w:val="single" w:sz="12" w:space="0" w:color="000000"/>
              <w:bottom w:val="single" w:sz="12" w:space="0" w:color="000000"/>
            </w:tcBorders>
          </w:tcPr>
          <w:p w:rsidR="002A3F9F" w:rsidRPr="002A3F9F" w:rsidRDefault="002A3F9F">
            <w:pPr>
              <w:spacing w:before="0" w:after="0"/>
              <w:jc w:val="both"/>
              <w:rPr>
                <w:kern w:val="20"/>
              </w:rPr>
            </w:pPr>
            <w:r w:rsidRPr="002A3F9F">
              <w:rPr>
                <w:kern w:val="20"/>
              </w:rPr>
              <w:t>Скорость движения воздуха, м/с</w:t>
            </w:r>
          </w:p>
        </w:tc>
      </w:tr>
      <w:tr w:rsidR="002A3F9F" w:rsidRPr="002A3F9F">
        <w:tc>
          <w:tcPr>
            <w:tcW w:w="1614" w:type="dxa"/>
            <w:tcBorders>
              <w:top w:val="nil"/>
            </w:tcBorders>
          </w:tcPr>
          <w:p w:rsidR="002A3F9F" w:rsidRPr="002A3F9F" w:rsidRDefault="002A3F9F">
            <w:pPr>
              <w:spacing w:before="0" w:after="0"/>
              <w:jc w:val="both"/>
              <w:rPr>
                <w:kern w:val="20"/>
              </w:rPr>
            </w:pPr>
            <w:r w:rsidRPr="002A3F9F">
              <w:rPr>
                <w:kern w:val="20"/>
              </w:rPr>
              <w:t>Холодный</w:t>
            </w:r>
          </w:p>
        </w:tc>
        <w:tc>
          <w:tcPr>
            <w:tcW w:w="1820" w:type="dxa"/>
            <w:tcBorders>
              <w:top w:val="nil"/>
            </w:tcBorders>
          </w:tcPr>
          <w:p w:rsidR="002A3F9F" w:rsidRPr="002A3F9F" w:rsidRDefault="002A3F9F">
            <w:pPr>
              <w:spacing w:before="0" w:after="0"/>
              <w:jc w:val="both"/>
              <w:rPr>
                <w:kern w:val="20"/>
              </w:rPr>
            </w:pPr>
            <w:r w:rsidRPr="002A3F9F">
              <w:rPr>
                <w:kern w:val="20"/>
              </w:rPr>
              <w:t>Легкая – 1</w:t>
            </w:r>
          </w:p>
        </w:tc>
        <w:tc>
          <w:tcPr>
            <w:tcW w:w="1964" w:type="dxa"/>
            <w:tcBorders>
              <w:top w:val="nil"/>
            </w:tcBorders>
          </w:tcPr>
          <w:p w:rsidR="002A3F9F" w:rsidRPr="002A3F9F" w:rsidRDefault="002A3F9F">
            <w:pPr>
              <w:spacing w:before="0" w:after="0"/>
              <w:jc w:val="both"/>
              <w:rPr>
                <w:kern w:val="20"/>
              </w:rPr>
            </w:pPr>
            <w:r w:rsidRPr="002A3F9F">
              <w:rPr>
                <w:kern w:val="20"/>
              </w:rPr>
              <w:t>22-24</w:t>
            </w:r>
          </w:p>
        </w:tc>
        <w:tc>
          <w:tcPr>
            <w:tcW w:w="1820" w:type="dxa"/>
            <w:tcBorders>
              <w:top w:val="nil"/>
            </w:tcBorders>
          </w:tcPr>
          <w:p w:rsidR="002A3F9F" w:rsidRPr="002A3F9F" w:rsidRDefault="002A3F9F">
            <w:pPr>
              <w:spacing w:before="0" w:after="0"/>
              <w:jc w:val="both"/>
              <w:rPr>
                <w:kern w:val="20"/>
              </w:rPr>
            </w:pPr>
            <w:r w:rsidRPr="002A3F9F">
              <w:rPr>
                <w:kern w:val="20"/>
              </w:rPr>
              <w:t>40-60</w:t>
            </w:r>
          </w:p>
        </w:tc>
        <w:tc>
          <w:tcPr>
            <w:tcW w:w="1820" w:type="dxa"/>
            <w:tcBorders>
              <w:top w:val="nil"/>
            </w:tcBorders>
          </w:tcPr>
          <w:p w:rsidR="002A3F9F" w:rsidRPr="002A3F9F" w:rsidRDefault="002A3F9F">
            <w:pPr>
              <w:spacing w:before="0" w:after="0"/>
              <w:jc w:val="both"/>
              <w:rPr>
                <w:kern w:val="20"/>
              </w:rPr>
            </w:pPr>
            <w:r w:rsidRPr="002A3F9F">
              <w:rPr>
                <w:kern w:val="20"/>
              </w:rPr>
              <w:t>0,1</w:t>
            </w:r>
          </w:p>
        </w:tc>
      </w:tr>
      <w:tr w:rsidR="002A3F9F" w:rsidRPr="002A3F9F">
        <w:tc>
          <w:tcPr>
            <w:tcW w:w="1614" w:type="dxa"/>
          </w:tcPr>
          <w:p w:rsidR="002A3F9F" w:rsidRPr="002A3F9F" w:rsidRDefault="002A3F9F">
            <w:pPr>
              <w:spacing w:before="0" w:after="0"/>
              <w:jc w:val="both"/>
              <w:rPr>
                <w:kern w:val="20"/>
              </w:rPr>
            </w:pPr>
            <w:r w:rsidRPr="002A3F9F">
              <w:rPr>
                <w:kern w:val="20"/>
              </w:rPr>
              <w:t>Холодный</w:t>
            </w:r>
          </w:p>
        </w:tc>
        <w:tc>
          <w:tcPr>
            <w:tcW w:w="1820" w:type="dxa"/>
          </w:tcPr>
          <w:p w:rsidR="002A3F9F" w:rsidRPr="002A3F9F" w:rsidRDefault="002A3F9F">
            <w:pPr>
              <w:spacing w:before="0" w:after="0"/>
              <w:jc w:val="both"/>
              <w:rPr>
                <w:kern w:val="20"/>
              </w:rPr>
            </w:pPr>
            <w:r w:rsidRPr="002A3F9F">
              <w:rPr>
                <w:kern w:val="20"/>
              </w:rPr>
              <w:t>Легкая – 1</w:t>
            </w:r>
          </w:p>
        </w:tc>
        <w:tc>
          <w:tcPr>
            <w:tcW w:w="1964" w:type="dxa"/>
          </w:tcPr>
          <w:p w:rsidR="002A3F9F" w:rsidRPr="002A3F9F" w:rsidRDefault="002A3F9F">
            <w:pPr>
              <w:spacing w:before="0" w:after="0"/>
              <w:jc w:val="both"/>
              <w:rPr>
                <w:kern w:val="20"/>
              </w:rPr>
            </w:pPr>
            <w:r w:rsidRPr="002A3F9F">
              <w:rPr>
                <w:kern w:val="20"/>
              </w:rPr>
              <w:t>21-23</w:t>
            </w:r>
          </w:p>
        </w:tc>
        <w:tc>
          <w:tcPr>
            <w:tcW w:w="1820" w:type="dxa"/>
          </w:tcPr>
          <w:p w:rsidR="002A3F9F" w:rsidRPr="002A3F9F" w:rsidRDefault="002A3F9F">
            <w:pPr>
              <w:spacing w:before="0" w:after="0"/>
              <w:jc w:val="both"/>
              <w:rPr>
                <w:kern w:val="20"/>
              </w:rPr>
            </w:pPr>
            <w:r w:rsidRPr="002A3F9F">
              <w:rPr>
                <w:kern w:val="20"/>
              </w:rPr>
              <w:t>40-60</w:t>
            </w:r>
          </w:p>
        </w:tc>
        <w:tc>
          <w:tcPr>
            <w:tcW w:w="1820" w:type="dxa"/>
          </w:tcPr>
          <w:p w:rsidR="002A3F9F" w:rsidRPr="002A3F9F" w:rsidRDefault="002A3F9F">
            <w:pPr>
              <w:spacing w:before="0" w:after="0"/>
              <w:jc w:val="both"/>
              <w:rPr>
                <w:kern w:val="20"/>
              </w:rPr>
            </w:pPr>
            <w:r w:rsidRPr="002A3F9F">
              <w:rPr>
                <w:kern w:val="20"/>
              </w:rPr>
              <w:t>0,1</w:t>
            </w:r>
          </w:p>
        </w:tc>
      </w:tr>
      <w:tr w:rsidR="002A3F9F" w:rsidRPr="002A3F9F">
        <w:tc>
          <w:tcPr>
            <w:tcW w:w="1614" w:type="dxa"/>
          </w:tcPr>
          <w:p w:rsidR="002A3F9F" w:rsidRPr="002A3F9F" w:rsidRDefault="002A3F9F">
            <w:pPr>
              <w:spacing w:before="0" w:after="0"/>
              <w:jc w:val="both"/>
              <w:rPr>
                <w:kern w:val="20"/>
              </w:rPr>
            </w:pPr>
            <w:r w:rsidRPr="002A3F9F">
              <w:rPr>
                <w:kern w:val="20"/>
              </w:rPr>
              <w:t>Теплый</w:t>
            </w:r>
          </w:p>
        </w:tc>
        <w:tc>
          <w:tcPr>
            <w:tcW w:w="1820" w:type="dxa"/>
          </w:tcPr>
          <w:p w:rsidR="002A3F9F" w:rsidRPr="002A3F9F" w:rsidRDefault="002A3F9F">
            <w:pPr>
              <w:spacing w:before="0" w:after="0"/>
              <w:jc w:val="both"/>
              <w:rPr>
                <w:kern w:val="20"/>
              </w:rPr>
            </w:pPr>
            <w:r w:rsidRPr="002A3F9F">
              <w:rPr>
                <w:kern w:val="20"/>
              </w:rPr>
              <w:t>Легкая – 1</w:t>
            </w:r>
          </w:p>
        </w:tc>
        <w:tc>
          <w:tcPr>
            <w:tcW w:w="1964" w:type="dxa"/>
          </w:tcPr>
          <w:p w:rsidR="002A3F9F" w:rsidRPr="002A3F9F" w:rsidRDefault="002A3F9F">
            <w:pPr>
              <w:spacing w:before="0" w:after="0"/>
              <w:jc w:val="both"/>
              <w:rPr>
                <w:kern w:val="20"/>
              </w:rPr>
            </w:pPr>
            <w:r w:rsidRPr="002A3F9F">
              <w:rPr>
                <w:kern w:val="20"/>
              </w:rPr>
              <w:t>23-25</w:t>
            </w:r>
          </w:p>
        </w:tc>
        <w:tc>
          <w:tcPr>
            <w:tcW w:w="1820" w:type="dxa"/>
          </w:tcPr>
          <w:p w:rsidR="002A3F9F" w:rsidRPr="002A3F9F" w:rsidRDefault="002A3F9F">
            <w:pPr>
              <w:spacing w:before="0" w:after="0"/>
              <w:jc w:val="both"/>
              <w:rPr>
                <w:kern w:val="20"/>
              </w:rPr>
            </w:pPr>
            <w:r w:rsidRPr="002A3F9F">
              <w:rPr>
                <w:kern w:val="20"/>
              </w:rPr>
              <w:t>40-60</w:t>
            </w:r>
          </w:p>
        </w:tc>
        <w:tc>
          <w:tcPr>
            <w:tcW w:w="1820" w:type="dxa"/>
          </w:tcPr>
          <w:p w:rsidR="002A3F9F" w:rsidRPr="002A3F9F" w:rsidRDefault="002A3F9F">
            <w:pPr>
              <w:spacing w:before="0" w:after="0"/>
              <w:jc w:val="both"/>
              <w:rPr>
                <w:kern w:val="20"/>
              </w:rPr>
            </w:pPr>
            <w:r w:rsidRPr="002A3F9F">
              <w:rPr>
                <w:kern w:val="20"/>
              </w:rPr>
              <w:t>0,1</w:t>
            </w:r>
          </w:p>
        </w:tc>
      </w:tr>
      <w:tr w:rsidR="002A3F9F" w:rsidRPr="002A3F9F">
        <w:tc>
          <w:tcPr>
            <w:tcW w:w="1614" w:type="dxa"/>
            <w:tcBorders>
              <w:bottom w:val="single" w:sz="12" w:space="0" w:color="000000"/>
            </w:tcBorders>
          </w:tcPr>
          <w:p w:rsidR="002A3F9F" w:rsidRPr="002A3F9F" w:rsidRDefault="002A3F9F">
            <w:pPr>
              <w:spacing w:before="0" w:after="0"/>
              <w:jc w:val="both"/>
              <w:rPr>
                <w:kern w:val="20"/>
              </w:rPr>
            </w:pPr>
            <w:r w:rsidRPr="002A3F9F">
              <w:rPr>
                <w:kern w:val="20"/>
              </w:rPr>
              <w:t>Теплый</w:t>
            </w:r>
          </w:p>
        </w:tc>
        <w:tc>
          <w:tcPr>
            <w:tcW w:w="1820" w:type="dxa"/>
            <w:tcBorders>
              <w:bottom w:val="single" w:sz="12" w:space="0" w:color="000000"/>
            </w:tcBorders>
          </w:tcPr>
          <w:p w:rsidR="002A3F9F" w:rsidRPr="002A3F9F" w:rsidRDefault="002A3F9F">
            <w:pPr>
              <w:spacing w:before="0" w:after="0"/>
              <w:jc w:val="both"/>
              <w:rPr>
                <w:kern w:val="20"/>
              </w:rPr>
            </w:pPr>
            <w:r w:rsidRPr="002A3F9F">
              <w:rPr>
                <w:kern w:val="20"/>
              </w:rPr>
              <w:t>Легкая – 1</w:t>
            </w:r>
          </w:p>
        </w:tc>
        <w:tc>
          <w:tcPr>
            <w:tcW w:w="1964" w:type="dxa"/>
            <w:tcBorders>
              <w:bottom w:val="single" w:sz="12" w:space="0" w:color="000000"/>
            </w:tcBorders>
          </w:tcPr>
          <w:p w:rsidR="002A3F9F" w:rsidRPr="002A3F9F" w:rsidRDefault="002A3F9F">
            <w:pPr>
              <w:spacing w:before="0" w:after="0"/>
              <w:jc w:val="both"/>
              <w:rPr>
                <w:kern w:val="20"/>
              </w:rPr>
            </w:pPr>
            <w:r w:rsidRPr="002A3F9F">
              <w:rPr>
                <w:kern w:val="20"/>
              </w:rPr>
              <w:t>22-24</w:t>
            </w:r>
          </w:p>
        </w:tc>
        <w:tc>
          <w:tcPr>
            <w:tcW w:w="1820" w:type="dxa"/>
            <w:tcBorders>
              <w:bottom w:val="single" w:sz="12" w:space="0" w:color="000000"/>
            </w:tcBorders>
          </w:tcPr>
          <w:p w:rsidR="002A3F9F" w:rsidRPr="002A3F9F" w:rsidRDefault="002A3F9F">
            <w:pPr>
              <w:spacing w:before="0" w:after="0"/>
              <w:jc w:val="both"/>
              <w:rPr>
                <w:kern w:val="20"/>
              </w:rPr>
            </w:pPr>
            <w:r w:rsidRPr="002A3F9F">
              <w:rPr>
                <w:kern w:val="20"/>
              </w:rPr>
              <w:t>40-60</w:t>
            </w:r>
          </w:p>
        </w:tc>
        <w:tc>
          <w:tcPr>
            <w:tcW w:w="1820" w:type="dxa"/>
            <w:tcBorders>
              <w:bottom w:val="single" w:sz="12" w:space="0" w:color="000000"/>
            </w:tcBorders>
          </w:tcPr>
          <w:p w:rsidR="002A3F9F" w:rsidRPr="002A3F9F" w:rsidRDefault="002A3F9F">
            <w:pPr>
              <w:spacing w:before="0" w:after="0"/>
              <w:jc w:val="both"/>
              <w:rPr>
                <w:kern w:val="20"/>
              </w:rPr>
            </w:pPr>
            <w:r w:rsidRPr="002A3F9F">
              <w:rPr>
                <w:kern w:val="20"/>
              </w:rPr>
              <w:t>0,2</w:t>
            </w:r>
          </w:p>
        </w:tc>
      </w:tr>
    </w:tbl>
    <w:p w:rsidR="002A3F9F" w:rsidRDefault="002A3F9F">
      <w:pPr>
        <w:spacing w:before="0" w:after="0"/>
        <w:ind w:firstLine="567"/>
        <w:jc w:val="both"/>
        <w:rPr>
          <w:kern w:val="20"/>
        </w:rPr>
      </w:pPr>
    </w:p>
    <w:p w:rsidR="002A3F9F" w:rsidRDefault="002A3F9F">
      <w:pPr>
        <w:spacing w:before="0" w:after="0"/>
        <w:ind w:firstLine="567"/>
        <w:jc w:val="both"/>
        <w:rPr>
          <w:kern w:val="20"/>
        </w:rPr>
      </w:pPr>
      <w:r>
        <w:rPr>
          <w:kern w:val="20"/>
        </w:rPr>
        <w:t xml:space="preserve"> В помещении в течение всего года поддерживаются нормальные значения температуры, влажности воздуха, и скорости движения воздуха, благодаря установленному кондиционеру. Оптимальные нормы микроклимата приведены в Таблицах 1 и 2.</w:t>
      </w:r>
    </w:p>
    <w:p w:rsidR="002A3F9F" w:rsidRDefault="002A3F9F">
      <w:pPr>
        <w:spacing w:before="0" w:after="0"/>
        <w:ind w:firstLine="567"/>
        <w:jc w:val="both"/>
        <w:rPr>
          <w:kern w:val="20"/>
          <w:lang w:val="en-US"/>
        </w:rPr>
      </w:pPr>
      <w:r>
        <w:rPr>
          <w:kern w:val="20"/>
        </w:rPr>
        <w:t>Таблица 2</w:t>
      </w:r>
    </w:p>
    <w:p w:rsidR="002A3F9F" w:rsidRDefault="002A3F9F">
      <w:pPr>
        <w:spacing w:before="0" w:after="0"/>
        <w:ind w:firstLine="567"/>
        <w:jc w:val="both"/>
        <w:rPr>
          <w:kern w:val="20"/>
        </w:rPr>
      </w:pPr>
      <w:r>
        <w:rPr>
          <w:kern w:val="20"/>
        </w:rPr>
        <w:t>Уровни ионизации воздуха помещений при работе с ПЭВМ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48"/>
        <w:gridCol w:w="2230"/>
      </w:tblGrid>
      <w:tr w:rsidR="002A3F9F" w:rsidRPr="002A3F9F">
        <w:tc>
          <w:tcPr>
            <w:tcW w:w="4644" w:type="dxa"/>
          </w:tcPr>
          <w:p w:rsidR="002A3F9F" w:rsidRPr="002A3F9F" w:rsidRDefault="002A3F9F">
            <w:pPr>
              <w:spacing w:before="0" w:after="0"/>
              <w:ind w:firstLine="567"/>
              <w:jc w:val="both"/>
              <w:rPr>
                <w:kern w:val="20"/>
              </w:rPr>
            </w:pPr>
            <w:r w:rsidRPr="002A3F9F">
              <w:rPr>
                <w:kern w:val="20"/>
              </w:rPr>
              <w:t>Уровни ионизации</w:t>
            </w:r>
          </w:p>
        </w:tc>
        <w:tc>
          <w:tcPr>
            <w:tcW w:w="4678" w:type="dxa"/>
            <w:gridSpan w:val="2"/>
          </w:tcPr>
          <w:p w:rsidR="002A3F9F" w:rsidRPr="002A3F9F" w:rsidRDefault="002A3F9F">
            <w:pPr>
              <w:spacing w:before="0" w:after="0"/>
              <w:ind w:firstLine="567"/>
              <w:jc w:val="both"/>
              <w:rPr>
                <w:kern w:val="20"/>
              </w:rPr>
            </w:pPr>
            <w:r w:rsidRPr="002A3F9F">
              <w:rPr>
                <w:kern w:val="20"/>
              </w:rPr>
              <w:t>Число ионов на 1 куб. см воздуха</w:t>
            </w:r>
          </w:p>
        </w:tc>
      </w:tr>
      <w:tr w:rsidR="002A3F9F" w:rsidRPr="002A3F9F">
        <w:trPr>
          <w:cantSplit/>
        </w:trPr>
        <w:tc>
          <w:tcPr>
            <w:tcW w:w="4644" w:type="dxa"/>
          </w:tcPr>
          <w:p w:rsidR="002A3F9F" w:rsidRPr="002A3F9F" w:rsidRDefault="002A3F9F">
            <w:pPr>
              <w:spacing w:before="0" w:after="0"/>
              <w:ind w:firstLine="567"/>
              <w:jc w:val="both"/>
              <w:rPr>
                <w:kern w:val="20"/>
              </w:rPr>
            </w:pPr>
          </w:p>
        </w:tc>
        <w:tc>
          <w:tcPr>
            <w:tcW w:w="2448" w:type="dxa"/>
          </w:tcPr>
          <w:p w:rsidR="002A3F9F" w:rsidRPr="002A3F9F" w:rsidRDefault="002A3F9F">
            <w:pPr>
              <w:spacing w:before="0" w:after="0"/>
              <w:ind w:firstLine="567"/>
              <w:jc w:val="both"/>
              <w:rPr>
                <w:kern w:val="20"/>
                <w:lang w:val="en-US"/>
              </w:rPr>
            </w:pPr>
            <w:r w:rsidRPr="002A3F9F">
              <w:rPr>
                <w:kern w:val="20"/>
                <w:lang w:val="en-US"/>
              </w:rPr>
              <w:t>n +</w:t>
            </w:r>
          </w:p>
        </w:tc>
        <w:tc>
          <w:tcPr>
            <w:tcW w:w="2230" w:type="dxa"/>
          </w:tcPr>
          <w:p w:rsidR="002A3F9F" w:rsidRPr="002A3F9F" w:rsidRDefault="002A3F9F">
            <w:pPr>
              <w:spacing w:before="0" w:after="0"/>
              <w:ind w:firstLine="567"/>
              <w:jc w:val="both"/>
              <w:rPr>
                <w:kern w:val="20"/>
                <w:lang w:val="en-US"/>
              </w:rPr>
            </w:pPr>
            <w:r w:rsidRPr="002A3F9F">
              <w:rPr>
                <w:kern w:val="20"/>
                <w:lang w:val="en-US"/>
              </w:rPr>
              <w:t>n -</w:t>
            </w:r>
          </w:p>
        </w:tc>
      </w:tr>
      <w:tr w:rsidR="002A3F9F" w:rsidRPr="002A3F9F">
        <w:trPr>
          <w:cantSplit/>
        </w:trPr>
        <w:tc>
          <w:tcPr>
            <w:tcW w:w="4644" w:type="dxa"/>
          </w:tcPr>
          <w:p w:rsidR="002A3F9F" w:rsidRPr="002A3F9F" w:rsidRDefault="002A3F9F">
            <w:pPr>
              <w:spacing w:before="0" w:after="0"/>
              <w:ind w:firstLine="567"/>
              <w:jc w:val="both"/>
              <w:rPr>
                <w:kern w:val="20"/>
              </w:rPr>
            </w:pPr>
            <w:r w:rsidRPr="002A3F9F">
              <w:rPr>
                <w:kern w:val="20"/>
              </w:rPr>
              <w:t>Минимально необходимое</w:t>
            </w:r>
          </w:p>
        </w:tc>
        <w:tc>
          <w:tcPr>
            <w:tcW w:w="2448" w:type="dxa"/>
          </w:tcPr>
          <w:p w:rsidR="002A3F9F" w:rsidRPr="002A3F9F" w:rsidRDefault="002A3F9F">
            <w:pPr>
              <w:spacing w:before="0" w:after="0"/>
              <w:ind w:firstLine="567"/>
              <w:jc w:val="both"/>
              <w:rPr>
                <w:kern w:val="20"/>
                <w:lang w:val="en-US"/>
              </w:rPr>
            </w:pPr>
            <w:r w:rsidRPr="002A3F9F">
              <w:rPr>
                <w:kern w:val="20"/>
                <w:lang w:val="en-US"/>
              </w:rPr>
              <w:t>400</w:t>
            </w:r>
          </w:p>
        </w:tc>
        <w:tc>
          <w:tcPr>
            <w:tcW w:w="2230" w:type="dxa"/>
          </w:tcPr>
          <w:p w:rsidR="002A3F9F" w:rsidRPr="002A3F9F" w:rsidRDefault="002A3F9F">
            <w:pPr>
              <w:spacing w:before="0" w:after="0"/>
              <w:ind w:firstLine="567"/>
              <w:jc w:val="both"/>
              <w:rPr>
                <w:kern w:val="20"/>
                <w:lang w:val="en-US"/>
              </w:rPr>
            </w:pPr>
            <w:r w:rsidRPr="002A3F9F">
              <w:rPr>
                <w:kern w:val="20"/>
                <w:lang w:val="en-US"/>
              </w:rPr>
              <w:t>600</w:t>
            </w:r>
          </w:p>
        </w:tc>
      </w:tr>
      <w:tr w:rsidR="002A3F9F" w:rsidRPr="002A3F9F">
        <w:trPr>
          <w:cantSplit/>
        </w:trPr>
        <w:tc>
          <w:tcPr>
            <w:tcW w:w="4644" w:type="dxa"/>
          </w:tcPr>
          <w:p w:rsidR="002A3F9F" w:rsidRPr="002A3F9F" w:rsidRDefault="002A3F9F">
            <w:pPr>
              <w:spacing w:before="0" w:after="0"/>
              <w:ind w:firstLine="567"/>
              <w:jc w:val="both"/>
              <w:rPr>
                <w:kern w:val="20"/>
              </w:rPr>
            </w:pPr>
            <w:r w:rsidRPr="002A3F9F">
              <w:rPr>
                <w:kern w:val="20"/>
              </w:rPr>
              <w:t>Оптимальное</w:t>
            </w:r>
          </w:p>
        </w:tc>
        <w:tc>
          <w:tcPr>
            <w:tcW w:w="2448" w:type="dxa"/>
          </w:tcPr>
          <w:p w:rsidR="002A3F9F" w:rsidRPr="002A3F9F" w:rsidRDefault="002A3F9F">
            <w:pPr>
              <w:spacing w:before="0" w:after="0"/>
              <w:ind w:firstLine="567"/>
              <w:jc w:val="both"/>
              <w:rPr>
                <w:kern w:val="20"/>
              </w:rPr>
            </w:pPr>
            <w:r w:rsidRPr="002A3F9F">
              <w:rPr>
                <w:kern w:val="20"/>
              </w:rPr>
              <w:t>1500-3000</w:t>
            </w:r>
          </w:p>
        </w:tc>
        <w:tc>
          <w:tcPr>
            <w:tcW w:w="2230" w:type="dxa"/>
          </w:tcPr>
          <w:p w:rsidR="002A3F9F" w:rsidRPr="002A3F9F" w:rsidRDefault="002A3F9F">
            <w:pPr>
              <w:spacing w:before="0" w:after="0"/>
              <w:ind w:firstLine="567"/>
              <w:jc w:val="both"/>
              <w:rPr>
                <w:kern w:val="20"/>
              </w:rPr>
            </w:pPr>
            <w:r w:rsidRPr="002A3F9F">
              <w:rPr>
                <w:kern w:val="20"/>
              </w:rPr>
              <w:t>30000-50000</w:t>
            </w:r>
          </w:p>
        </w:tc>
      </w:tr>
      <w:tr w:rsidR="002A3F9F" w:rsidRPr="002A3F9F">
        <w:trPr>
          <w:cantSplit/>
        </w:trPr>
        <w:tc>
          <w:tcPr>
            <w:tcW w:w="4644" w:type="dxa"/>
          </w:tcPr>
          <w:p w:rsidR="002A3F9F" w:rsidRPr="002A3F9F" w:rsidRDefault="002A3F9F">
            <w:pPr>
              <w:spacing w:before="0" w:after="0"/>
              <w:ind w:firstLine="567"/>
              <w:jc w:val="both"/>
              <w:rPr>
                <w:kern w:val="20"/>
              </w:rPr>
            </w:pPr>
            <w:r w:rsidRPr="002A3F9F">
              <w:rPr>
                <w:kern w:val="20"/>
              </w:rPr>
              <w:t>Максимально допустимое</w:t>
            </w:r>
          </w:p>
        </w:tc>
        <w:tc>
          <w:tcPr>
            <w:tcW w:w="2448" w:type="dxa"/>
          </w:tcPr>
          <w:p w:rsidR="002A3F9F" w:rsidRPr="002A3F9F" w:rsidRDefault="002A3F9F">
            <w:pPr>
              <w:spacing w:before="0" w:after="0"/>
              <w:ind w:firstLine="567"/>
              <w:jc w:val="both"/>
              <w:rPr>
                <w:kern w:val="20"/>
              </w:rPr>
            </w:pPr>
            <w:r w:rsidRPr="002A3F9F">
              <w:rPr>
                <w:kern w:val="20"/>
              </w:rPr>
              <w:t>50000</w:t>
            </w:r>
          </w:p>
        </w:tc>
        <w:tc>
          <w:tcPr>
            <w:tcW w:w="2230" w:type="dxa"/>
          </w:tcPr>
          <w:p w:rsidR="002A3F9F" w:rsidRPr="002A3F9F" w:rsidRDefault="002A3F9F">
            <w:pPr>
              <w:spacing w:before="0" w:after="0"/>
              <w:ind w:firstLine="567"/>
              <w:jc w:val="both"/>
              <w:rPr>
                <w:kern w:val="20"/>
              </w:rPr>
            </w:pPr>
            <w:r w:rsidRPr="002A3F9F">
              <w:rPr>
                <w:kern w:val="20"/>
              </w:rPr>
              <w:t>50000</w:t>
            </w:r>
          </w:p>
        </w:tc>
      </w:tr>
    </w:tbl>
    <w:p w:rsidR="002A3F9F" w:rsidRDefault="002A3F9F">
      <w:pPr>
        <w:spacing w:before="0" w:after="0"/>
        <w:ind w:firstLine="567"/>
        <w:jc w:val="both"/>
        <w:rPr>
          <w:kern w:val="20"/>
        </w:rPr>
      </w:pPr>
    </w:p>
    <w:p w:rsidR="002A3F9F" w:rsidRDefault="002A3F9F">
      <w:pPr>
        <w:spacing w:before="0" w:after="0"/>
        <w:ind w:firstLine="567"/>
        <w:jc w:val="both"/>
        <w:rPr>
          <w:kern w:val="20"/>
        </w:rPr>
      </w:pPr>
      <w:r>
        <w:rPr>
          <w:kern w:val="20"/>
        </w:rPr>
        <w:t>Обеспечение требований технической эстетики</w:t>
      </w:r>
    </w:p>
    <w:p w:rsidR="002A3F9F" w:rsidRDefault="002A3F9F">
      <w:pPr>
        <w:spacing w:before="0" w:after="0"/>
        <w:ind w:firstLine="567"/>
        <w:jc w:val="both"/>
        <w:rPr>
          <w:kern w:val="20"/>
        </w:rPr>
      </w:pPr>
      <w:r>
        <w:rPr>
          <w:kern w:val="20"/>
        </w:rPr>
        <w:t xml:space="preserve"> Окраска стен светло-коричневая, потолка – белая, пол – паркетный, светло-коричневый. Цветовое оформление выполнено с учетом рекомендаций СН-181-70: цвета стен, потолка, пола гармонируют между собой. С точки зрения цветотерапии, желтый и светло-коричневый цвета улучшают настроение, положительно влияют на нервную систему и внутренние органы.</w:t>
      </w:r>
    </w:p>
    <w:p w:rsidR="002A3F9F" w:rsidRDefault="002A3F9F">
      <w:pPr>
        <w:spacing w:before="0" w:after="0"/>
        <w:ind w:firstLine="567"/>
        <w:jc w:val="both"/>
        <w:rPr>
          <w:kern w:val="20"/>
        </w:rPr>
      </w:pPr>
      <w:r>
        <w:rPr>
          <w:kern w:val="20"/>
        </w:rPr>
        <w:t>Состояние освещенности помещения с ЭВМ</w:t>
      </w:r>
    </w:p>
    <w:p w:rsidR="002A3F9F" w:rsidRDefault="002A3F9F">
      <w:pPr>
        <w:spacing w:before="0" w:after="0"/>
        <w:ind w:firstLine="567"/>
        <w:jc w:val="both"/>
        <w:rPr>
          <w:kern w:val="20"/>
        </w:rPr>
      </w:pPr>
      <w:r>
        <w:rPr>
          <w:kern w:val="20"/>
        </w:rPr>
        <w:t xml:space="preserve"> Источник света в помещении – люминесцентные лампы, высота подвески светильников </w:t>
      </w:r>
      <w:r w:rsidR="008C3041">
        <w:rPr>
          <w:kern w:val="20"/>
          <w:position w:val="-12"/>
        </w:rPr>
        <w:pict>
          <v:shape id="_x0000_i1029" type="#_x0000_t75" style="width:27pt;height:18pt" fillcolor="window">
            <v:imagedata r:id="rId9" o:title=""/>
          </v:shape>
        </w:pict>
      </w:r>
      <w:r>
        <w:rPr>
          <w:kern w:val="20"/>
        </w:rPr>
        <w:t xml:space="preserve">2,9 м, расстояние между светильниками </w:t>
      </w:r>
      <w:r w:rsidR="008C3041">
        <w:rPr>
          <w:kern w:val="20"/>
          <w:position w:val="-12"/>
        </w:rPr>
        <w:pict>
          <v:shape id="_x0000_i1030" type="#_x0000_t75" style="width:29.25pt;height:18pt" fillcolor="window">
            <v:imagedata r:id="rId10" o:title=""/>
          </v:shape>
        </w:pict>
      </w:r>
      <w:r>
        <w:rPr>
          <w:kern w:val="20"/>
          <w:lang w:val="en-US"/>
        </w:rPr>
        <w:t>1 </w:t>
      </w:r>
      <w:r>
        <w:rPr>
          <w:kern w:val="20"/>
        </w:rPr>
        <w:t>м. В рассматриваемом помещении качество освещения соответствует нормативным данным, приведенным в Таблице 3.</w:t>
      </w:r>
    </w:p>
    <w:p w:rsidR="002A3F9F" w:rsidRDefault="002A3F9F">
      <w:pPr>
        <w:spacing w:before="0" w:after="0"/>
        <w:ind w:firstLine="567"/>
        <w:jc w:val="both"/>
        <w:rPr>
          <w:kern w:val="20"/>
          <w:lang w:val="en-US"/>
        </w:rPr>
      </w:pPr>
      <w:r>
        <w:rPr>
          <w:kern w:val="20"/>
        </w:rPr>
        <w:t>Таблица 13</w:t>
      </w:r>
    </w:p>
    <w:p w:rsidR="002A3F9F" w:rsidRDefault="002A3F9F">
      <w:pPr>
        <w:spacing w:before="0" w:after="0"/>
        <w:jc w:val="both"/>
        <w:rPr>
          <w:kern w:val="20"/>
        </w:rPr>
      </w:pPr>
      <w:r>
        <w:rPr>
          <w:kern w:val="20"/>
        </w:rPr>
        <w:t>Оптимальные параметры освещенности помещений с ЭВМ</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559"/>
        <w:gridCol w:w="1420"/>
        <w:gridCol w:w="1420"/>
        <w:gridCol w:w="1980"/>
        <w:gridCol w:w="2126"/>
      </w:tblGrid>
      <w:tr w:rsidR="002A3F9F" w:rsidRPr="002A3F9F">
        <w:trPr>
          <w:cantSplit/>
          <w:trHeight w:val="480"/>
        </w:trPr>
        <w:tc>
          <w:tcPr>
            <w:tcW w:w="2269" w:type="dxa"/>
            <w:vMerge w:val="restart"/>
          </w:tcPr>
          <w:p w:rsidR="002A3F9F" w:rsidRPr="002A3F9F" w:rsidRDefault="002A3F9F">
            <w:pPr>
              <w:spacing w:before="0" w:after="0"/>
              <w:jc w:val="both"/>
              <w:rPr>
                <w:kern w:val="20"/>
              </w:rPr>
            </w:pPr>
            <w:r w:rsidRPr="002A3F9F">
              <w:rPr>
                <w:kern w:val="20"/>
              </w:rPr>
              <w:t>Характеристика зрительной работы</w:t>
            </w:r>
          </w:p>
        </w:tc>
        <w:tc>
          <w:tcPr>
            <w:tcW w:w="1559" w:type="dxa"/>
            <w:vMerge w:val="restart"/>
          </w:tcPr>
          <w:p w:rsidR="002A3F9F" w:rsidRPr="002A3F9F" w:rsidRDefault="002A3F9F">
            <w:pPr>
              <w:spacing w:before="0" w:after="0"/>
              <w:jc w:val="both"/>
              <w:rPr>
                <w:kern w:val="20"/>
              </w:rPr>
            </w:pPr>
            <w:r w:rsidRPr="002A3F9F">
              <w:rPr>
                <w:kern w:val="20"/>
              </w:rPr>
              <w:t xml:space="preserve">Разряд и подразряд </w:t>
            </w:r>
          </w:p>
        </w:tc>
        <w:tc>
          <w:tcPr>
            <w:tcW w:w="1420" w:type="dxa"/>
            <w:vMerge w:val="restart"/>
          </w:tcPr>
          <w:p w:rsidR="002A3F9F" w:rsidRPr="002A3F9F" w:rsidRDefault="002A3F9F">
            <w:pPr>
              <w:spacing w:before="0" w:after="0"/>
              <w:jc w:val="both"/>
              <w:rPr>
                <w:kern w:val="20"/>
              </w:rPr>
            </w:pPr>
            <w:r w:rsidRPr="002A3F9F">
              <w:rPr>
                <w:kern w:val="20"/>
              </w:rPr>
              <w:t>Контраст объекта с фоном</w:t>
            </w:r>
          </w:p>
        </w:tc>
        <w:tc>
          <w:tcPr>
            <w:tcW w:w="1420" w:type="dxa"/>
            <w:vMerge w:val="restart"/>
          </w:tcPr>
          <w:p w:rsidR="002A3F9F" w:rsidRPr="002A3F9F" w:rsidRDefault="002A3F9F">
            <w:pPr>
              <w:spacing w:before="0" w:after="0"/>
              <w:jc w:val="both"/>
              <w:rPr>
                <w:kern w:val="20"/>
              </w:rPr>
            </w:pPr>
            <w:r w:rsidRPr="002A3F9F">
              <w:rPr>
                <w:kern w:val="20"/>
              </w:rPr>
              <w:t>Характеристика фона</w:t>
            </w:r>
          </w:p>
        </w:tc>
        <w:tc>
          <w:tcPr>
            <w:tcW w:w="4106" w:type="dxa"/>
            <w:gridSpan w:val="2"/>
            <w:tcBorders>
              <w:bottom w:val="nil"/>
            </w:tcBorders>
          </w:tcPr>
          <w:p w:rsidR="002A3F9F" w:rsidRPr="002A3F9F" w:rsidRDefault="002A3F9F">
            <w:pPr>
              <w:spacing w:before="0" w:after="0"/>
              <w:jc w:val="both"/>
              <w:rPr>
                <w:kern w:val="20"/>
              </w:rPr>
            </w:pPr>
            <w:r w:rsidRPr="002A3F9F">
              <w:rPr>
                <w:kern w:val="20"/>
              </w:rPr>
              <w:t>Искусственное освещение, лк</w:t>
            </w:r>
          </w:p>
        </w:tc>
      </w:tr>
      <w:tr w:rsidR="002A3F9F" w:rsidRPr="002A3F9F">
        <w:trPr>
          <w:cantSplit/>
          <w:trHeight w:val="480"/>
        </w:trPr>
        <w:tc>
          <w:tcPr>
            <w:tcW w:w="2269" w:type="dxa"/>
            <w:vMerge/>
          </w:tcPr>
          <w:p w:rsidR="002A3F9F" w:rsidRPr="002A3F9F" w:rsidRDefault="002A3F9F">
            <w:pPr>
              <w:spacing w:before="0" w:after="0"/>
              <w:jc w:val="both"/>
              <w:rPr>
                <w:kern w:val="20"/>
              </w:rPr>
            </w:pPr>
          </w:p>
        </w:tc>
        <w:tc>
          <w:tcPr>
            <w:tcW w:w="1559" w:type="dxa"/>
            <w:vMerge/>
          </w:tcPr>
          <w:p w:rsidR="002A3F9F" w:rsidRPr="002A3F9F" w:rsidRDefault="002A3F9F">
            <w:pPr>
              <w:spacing w:before="0" w:after="0"/>
              <w:jc w:val="both"/>
              <w:rPr>
                <w:kern w:val="20"/>
              </w:rPr>
            </w:pPr>
          </w:p>
        </w:tc>
        <w:tc>
          <w:tcPr>
            <w:tcW w:w="1420" w:type="dxa"/>
            <w:vMerge/>
          </w:tcPr>
          <w:p w:rsidR="002A3F9F" w:rsidRPr="002A3F9F" w:rsidRDefault="002A3F9F">
            <w:pPr>
              <w:spacing w:before="0" w:after="0"/>
              <w:jc w:val="both"/>
              <w:rPr>
                <w:kern w:val="20"/>
              </w:rPr>
            </w:pPr>
          </w:p>
        </w:tc>
        <w:tc>
          <w:tcPr>
            <w:tcW w:w="1420" w:type="dxa"/>
            <w:vMerge/>
            <w:tcBorders>
              <w:right w:val="nil"/>
            </w:tcBorders>
          </w:tcPr>
          <w:p w:rsidR="002A3F9F" w:rsidRPr="002A3F9F" w:rsidRDefault="002A3F9F">
            <w:pPr>
              <w:spacing w:before="0" w:after="0"/>
              <w:jc w:val="both"/>
              <w:rPr>
                <w:kern w:val="20"/>
              </w:rPr>
            </w:pPr>
          </w:p>
        </w:tc>
        <w:tc>
          <w:tcPr>
            <w:tcW w:w="1980" w:type="dxa"/>
          </w:tcPr>
          <w:p w:rsidR="002A3F9F" w:rsidRPr="002A3F9F" w:rsidRDefault="002A3F9F">
            <w:pPr>
              <w:spacing w:before="0" w:after="0"/>
              <w:jc w:val="both"/>
              <w:rPr>
                <w:kern w:val="20"/>
              </w:rPr>
            </w:pPr>
            <w:r w:rsidRPr="002A3F9F">
              <w:rPr>
                <w:kern w:val="20"/>
              </w:rPr>
              <w:t>При комбинированном освещении</w:t>
            </w:r>
          </w:p>
        </w:tc>
        <w:tc>
          <w:tcPr>
            <w:tcW w:w="2126" w:type="dxa"/>
          </w:tcPr>
          <w:p w:rsidR="002A3F9F" w:rsidRPr="002A3F9F" w:rsidRDefault="002A3F9F">
            <w:pPr>
              <w:spacing w:before="0" w:after="0"/>
              <w:jc w:val="both"/>
              <w:rPr>
                <w:kern w:val="20"/>
              </w:rPr>
            </w:pPr>
            <w:r w:rsidRPr="002A3F9F">
              <w:rPr>
                <w:kern w:val="20"/>
              </w:rPr>
              <w:t>При общем</w:t>
            </w:r>
          </w:p>
        </w:tc>
      </w:tr>
      <w:tr w:rsidR="002A3F9F" w:rsidRPr="002A3F9F">
        <w:tc>
          <w:tcPr>
            <w:tcW w:w="2269" w:type="dxa"/>
          </w:tcPr>
          <w:p w:rsidR="002A3F9F" w:rsidRPr="002A3F9F" w:rsidRDefault="002A3F9F">
            <w:pPr>
              <w:spacing w:before="0" w:after="0"/>
              <w:jc w:val="both"/>
              <w:rPr>
                <w:kern w:val="20"/>
              </w:rPr>
            </w:pPr>
            <w:r w:rsidRPr="002A3F9F">
              <w:rPr>
                <w:kern w:val="20"/>
              </w:rPr>
              <w:t>Средней точности 0,5-1,0</w:t>
            </w:r>
          </w:p>
        </w:tc>
        <w:tc>
          <w:tcPr>
            <w:tcW w:w="1559" w:type="dxa"/>
          </w:tcPr>
          <w:p w:rsidR="002A3F9F" w:rsidRPr="002A3F9F" w:rsidRDefault="002A3F9F">
            <w:pPr>
              <w:spacing w:before="0" w:after="0"/>
              <w:jc w:val="both"/>
              <w:rPr>
                <w:kern w:val="20"/>
              </w:rPr>
            </w:pPr>
            <w:r w:rsidRPr="002A3F9F">
              <w:rPr>
                <w:kern w:val="20"/>
              </w:rPr>
              <w:t>IV в</w:t>
            </w:r>
          </w:p>
        </w:tc>
        <w:tc>
          <w:tcPr>
            <w:tcW w:w="1420" w:type="dxa"/>
          </w:tcPr>
          <w:p w:rsidR="002A3F9F" w:rsidRPr="002A3F9F" w:rsidRDefault="002A3F9F">
            <w:pPr>
              <w:spacing w:before="0" w:after="0"/>
              <w:jc w:val="both"/>
              <w:rPr>
                <w:kern w:val="20"/>
              </w:rPr>
            </w:pPr>
            <w:r w:rsidRPr="002A3F9F">
              <w:rPr>
                <w:kern w:val="20"/>
              </w:rPr>
              <w:t>большой</w:t>
            </w:r>
          </w:p>
        </w:tc>
        <w:tc>
          <w:tcPr>
            <w:tcW w:w="1420" w:type="dxa"/>
            <w:tcBorders>
              <w:right w:val="nil"/>
            </w:tcBorders>
          </w:tcPr>
          <w:p w:rsidR="002A3F9F" w:rsidRPr="002A3F9F" w:rsidRDefault="002A3F9F">
            <w:pPr>
              <w:spacing w:before="0" w:after="0"/>
              <w:jc w:val="both"/>
              <w:rPr>
                <w:kern w:val="20"/>
              </w:rPr>
            </w:pPr>
            <w:r w:rsidRPr="002A3F9F">
              <w:rPr>
                <w:kern w:val="20"/>
              </w:rPr>
              <w:t>светлый</w:t>
            </w:r>
          </w:p>
        </w:tc>
        <w:tc>
          <w:tcPr>
            <w:tcW w:w="1980" w:type="dxa"/>
            <w:tcBorders>
              <w:top w:val="nil"/>
            </w:tcBorders>
          </w:tcPr>
          <w:p w:rsidR="002A3F9F" w:rsidRPr="002A3F9F" w:rsidRDefault="002A3F9F">
            <w:pPr>
              <w:spacing w:before="0" w:after="0"/>
              <w:jc w:val="both"/>
              <w:rPr>
                <w:kern w:val="20"/>
              </w:rPr>
            </w:pPr>
            <w:r w:rsidRPr="002A3F9F">
              <w:rPr>
                <w:kern w:val="20"/>
              </w:rPr>
              <w:t>400</w:t>
            </w:r>
          </w:p>
        </w:tc>
        <w:tc>
          <w:tcPr>
            <w:tcW w:w="2126" w:type="dxa"/>
            <w:tcBorders>
              <w:top w:val="nil"/>
            </w:tcBorders>
          </w:tcPr>
          <w:p w:rsidR="002A3F9F" w:rsidRPr="002A3F9F" w:rsidRDefault="002A3F9F">
            <w:pPr>
              <w:spacing w:before="0" w:after="0"/>
              <w:jc w:val="both"/>
              <w:rPr>
                <w:kern w:val="20"/>
              </w:rPr>
            </w:pPr>
            <w:r w:rsidRPr="002A3F9F">
              <w:rPr>
                <w:kern w:val="20"/>
              </w:rPr>
              <w:t>200</w:t>
            </w:r>
          </w:p>
        </w:tc>
      </w:tr>
    </w:tbl>
    <w:p w:rsidR="002A3F9F" w:rsidRDefault="002A3F9F">
      <w:pPr>
        <w:spacing w:before="0" w:after="0"/>
        <w:ind w:firstLine="567"/>
        <w:jc w:val="both"/>
        <w:rPr>
          <w:kern w:val="20"/>
        </w:rPr>
      </w:pPr>
      <w:r>
        <w:rPr>
          <w:kern w:val="20"/>
        </w:rPr>
        <w:t xml:space="preserve"> </w:t>
      </w:r>
    </w:p>
    <w:p w:rsidR="002A3F9F" w:rsidRDefault="002A3F9F">
      <w:pPr>
        <w:spacing w:before="0" w:after="0"/>
        <w:ind w:firstLine="567"/>
        <w:jc w:val="both"/>
        <w:rPr>
          <w:kern w:val="20"/>
        </w:rPr>
      </w:pPr>
      <w:r>
        <w:rPr>
          <w:kern w:val="20"/>
        </w:rPr>
        <w:t xml:space="preserve">Обеспечение визуальных эргономических параметров ЭВМ </w:t>
      </w:r>
    </w:p>
    <w:p w:rsidR="002A3F9F" w:rsidRDefault="002A3F9F">
      <w:pPr>
        <w:pStyle w:val="32"/>
      </w:pPr>
      <w:r>
        <w:t>Визуальные эргономические параметры ЭВМ обеспечиваются путем приобретения высококачественных ЭВМ и их длительным предварительным тестированием, с целью выявить возможные дефекты. Предельные значения параметров приведены в Таблице 4.</w:t>
      </w:r>
    </w:p>
    <w:p w:rsidR="002A3F9F" w:rsidRDefault="002A3F9F">
      <w:pPr>
        <w:spacing w:before="0" w:after="0"/>
        <w:ind w:firstLine="567"/>
        <w:jc w:val="both"/>
        <w:rPr>
          <w:kern w:val="20"/>
          <w:lang w:val="en-US"/>
        </w:rPr>
      </w:pPr>
      <w:r>
        <w:rPr>
          <w:kern w:val="20"/>
        </w:rPr>
        <w:t xml:space="preserve"> Таблица 4</w:t>
      </w:r>
    </w:p>
    <w:p w:rsidR="002A3F9F" w:rsidRDefault="002A3F9F">
      <w:pPr>
        <w:spacing w:before="0" w:after="0"/>
        <w:jc w:val="both"/>
        <w:rPr>
          <w:kern w:val="20"/>
        </w:rPr>
      </w:pPr>
      <w:r>
        <w:rPr>
          <w:kern w:val="20"/>
        </w:rPr>
        <w:t>Визуальные эргономические параметры ЭВМ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402"/>
        <w:gridCol w:w="2694"/>
      </w:tblGrid>
      <w:tr w:rsidR="002A3F9F" w:rsidRPr="002A3F9F">
        <w:trPr>
          <w:trHeight w:val="470"/>
        </w:trPr>
        <w:tc>
          <w:tcPr>
            <w:tcW w:w="3510" w:type="dxa"/>
            <w:tcBorders>
              <w:bottom w:val="nil"/>
            </w:tcBorders>
          </w:tcPr>
          <w:p w:rsidR="002A3F9F" w:rsidRPr="002A3F9F" w:rsidRDefault="002A3F9F">
            <w:pPr>
              <w:spacing w:before="0" w:after="0"/>
              <w:jc w:val="both"/>
              <w:rPr>
                <w:kern w:val="20"/>
              </w:rPr>
            </w:pPr>
            <w:r w:rsidRPr="002A3F9F">
              <w:rPr>
                <w:kern w:val="20"/>
              </w:rPr>
              <w:t>Наименование параметра</w:t>
            </w:r>
          </w:p>
        </w:tc>
        <w:tc>
          <w:tcPr>
            <w:tcW w:w="6096" w:type="dxa"/>
            <w:gridSpan w:val="2"/>
            <w:tcBorders>
              <w:left w:val="nil"/>
            </w:tcBorders>
          </w:tcPr>
          <w:p w:rsidR="002A3F9F" w:rsidRPr="002A3F9F" w:rsidRDefault="002A3F9F">
            <w:pPr>
              <w:spacing w:before="0" w:after="0"/>
              <w:jc w:val="both"/>
              <w:rPr>
                <w:kern w:val="20"/>
              </w:rPr>
            </w:pPr>
            <w:r w:rsidRPr="002A3F9F">
              <w:rPr>
                <w:kern w:val="20"/>
              </w:rPr>
              <w:t>Предельное значение параметра</w:t>
            </w:r>
          </w:p>
        </w:tc>
      </w:tr>
      <w:tr w:rsidR="002A3F9F" w:rsidRPr="002A3F9F">
        <w:trPr>
          <w:cantSplit/>
        </w:trPr>
        <w:tc>
          <w:tcPr>
            <w:tcW w:w="3510" w:type="dxa"/>
            <w:tcBorders>
              <w:top w:val="nil"/>
            </w:tcBorders>
          </w:tcPr>
          <w:p w:rsidR="002A3F9F" w:rsidRPr="002A3F9F" w:rsidRDefault="002A3F9F">
            <w:pPr>
              <w:pStyle w:val="a5"/>
              <w:widowControl/>
              <w:spacing w:line="240" w:lineRule="auto"/>
            </w:pPr>
          </w:p>
        </w:tc>
        <w:tc>
          <w:tcPr>
            <w:tcW w:w="3402" w:type="dxa"/>
            <w:tcBorders>
              <w:left w:val="nil"/>
            </w:tcBorders>
          </w:tcPr>
          <w:p w:rsidR="002A3F9F" w:rsidRPr="002A3F9F" w:rsidRDefault="002A3F9F">
            <w:pPr>
              <w:spacing w:before="0" w:after="0"/>
              <w:jc w:val="both"/>
              <w:rPr>
                <w:kern w:val="20"/>
              </w:rPr>
            </w:pPr>
            <w:r w:rsidRPr="002A3F9F">
              <w:rPr>
                <w:kern w:val="20"/>
              </w:rPr>
              <w:t>минимальное значение параметра</w:t>
            </w:r>
          </w:p>
        </w:tc>
        <w:tc>
          <w:tcPr>
            <w:tcW w:w="2694" w:type="dxa"/>
          </w:tcPr>
          <w:p w:rsidR="002A3F9F" w:rsidRPr="002A3F9F" w:rsidRDefault="002A3F9F">
            <w:pPr>
              <w:spacing w:before="0" w:after="0"/>
              <w:jc w:val="both"/>
              <w:rPr>
                <w:kern w:val="20"/>
              </w:rPr>
            </w:pPr>
            <w:r w:rsidRPr="002A3F9F">
              <w:rPr>
                <w:kern w:val="20"/>
              </w:rPr>
              <w:t>максимальное значение параметра</w:t>
            </w:r>
          </w:p>
        </w:tc>
      </w:tr>
      <w:tr w:rsidR="002A3F9F" w:rsidRPr="002A3F9F">
        <w:trPr>
          <w:cantSplit/>
          <w:trHeight w:val="499"/>
        </w:trPr>
        <w:tc>
          <w:tcPr>
            <w:tcW w:w="3510" w:type="dxa"/>
            <w:tcBorders>
              <w:top w:val="nil"/>
            </w:tcBorders>
          </w:tcPr>
          <w:p w:rsidR="002A3F9F" w:rsidRPr="002A3F9F" w:rsidRDefault="002A3F9F">
            <w:pPr>
              <w:spacing w:before="0" w:after="0"/>
              <w:jc w:val="both"/>
              <w:rPr>
                <w:kern w:val="20"/>
              </w:rPr>
            </w:pPr>
            <w:r w:rsidRPr="002A3F9F">
              <w:rPr>
                <w:kern w:val="20"/>
              </w:rPr>
              <w:t>Яркость знака (кд/м</w:t>
            </w:r>
            <w:r w:rsidRPr="002A3F9F">
              <w:rPr>
                <w:kern w:val="20"/>
                <w:vertAlign w:val="superscript"/>
              </w:rPr>
              <w:t>2</w:t>
            </w:r>
            <w:r w:rsidRPr="002A3F9F">
              <w:rPr>
                <w:kern w:val="20"/>
              </w:rPr>
              <w:t>)</w:t>
            </w:r>
          </w:p>
        </w:tc>
        <w:tc>
          <w:tcPr>
            <w:tcW w:w="3402" w:type="dxa"/>
          </w:tcPr>
          <w:p w:rsidR="002A3F9F" w:rsidRPr="002A3F9F" w:rsidRDefault="002A3F9F">
            <w:pPr>
              <w:spacing w:before="0" w:after="0"/>
              <w:jc w:val="both"/>
              <w:rPr>
                <w:kern w:val="20"/>
              </w:rPr>
            </w:pPr>
            <w:r w:rsidRPr="002A3F9F">
              <w:rPr>
                <w:kern w:val="20"/>
              </w:rPr>
              <w:t>35</w:t>
            </w:r>
          </w:p>
        </w:tc>
        <w:tc>
          <w:tcPr>
            <w:tcW w:w="2694" w:type="dxa"/>
          </w:tcPr>
          <w:p w:rsidR="002A3F9F" w:rsidRPr="002A3F9F" w:rsidRDefault="002A3F9F">
            <w:pPr>
              <w:spacing w:before="0" w:after="0"/>
              <w:jc w:val="both"/>
              <w:rPr>
                <w:kern w:val="20"/>
              </w:rPr>
            </w:pPr>
            <w:r w:rsidRPr="002A3F9F">
              <w:rPr>
                <w:kern w:val="20"/>
              </w:rPr>
              <w:t>120</w:t>
            </w:r>
          </w:p>
        </w:tc>
      </w:tr>
      <w:tr w:rsidR="002A3F9F" w:rsidRPr="002A3F9F">
        <w:trPr>
          <w:cantSplit/>
          <w:trHeight w:val="550"/>
        </w:trPr>
        <w:tc>
          <w:tcPr>
            <w:tcW w:w="3510" w:type="dxa"/>
          </w:tcPr>
          <w:p w:rsidR="002A3F9F" w:rsidRPr="002A3F9F" w:rsidRDefault="002A3F9F">
            <w:pPr>
              <w:spacing w:before="0" w:after="0"/>
              <w:jc w:val="both"/>
              <w:rPr>
                <w:kern w:val="20"/>
              </w:rPr>
            </w:pPr>
            <w:r w:rsidRPr="002A3F9F">
              <w:rPr>
                <w:kern w:val="20"/>
              </w:rPr>
              <w:t>Внешнее освещение (лк)</w:t>
            </w:r>
          </w:p>
        </w:tc>
        <w:tc>
          <w:tcPr>
            <w:tcW w:w="3402" w:type="dxa"/>
          </w:tcPr>
          <w:p w:rsidR="002A3F9F" w:rsidRPr="002A3F9F" w:rsidRDefault="002A3F9F">
            <w:pPr>
              <w:spacing w:before="0" w:after="0"/>
              <w:jc w:val="both"/>
              <w:rPr>
                <w:kern w:val="20"/>
              </w:rPr>
            </w:pPr>
            <w:r w:rsidRPr="002A3F9F">
              <w:rPr>
                <w:kern w:val="20"/>
              </w:rPr>
              <w:t>100</w:t>
            </w:r>
          </w:p>
        </w:tc>
        <w:tc>
          <w:tcPr>
            <w:tcW w:w="2694" w:type="dxa"/>
          </w:tcPr>
          <w:p w:rsidR="002A3F9F" w:rsidRPr="002A3F9F" w:rsidRDefault="002A3F9F">
            <w:pPr>
              <w:spacing w:before="0" w:after="0"/>
              <w:jc w:val="both"/>
              <w:rPr>
                <w:kern w:val="20"/>
              </w:rPr>
            </w:pPr>
            <w:r w:rsidRPr="002A3F9F">
              <w:rPr>
                <w:kern w:val="20"/>
              </w:rPr>
              <w:t>250</w:t>
            </w:r>
          </w:p>
        </w:tc>
      </w:tr>
      <w:tr w:rsidR="002A3F9F" w:rsidRPr="002A3F9F">
        <w:trPr>
          <w:cantSplit/>
          <w:trHeight w:val="321"/>
        </w:trPr>
        <w:tc>
          <w:tcPr>
            <w:tcW w:w="3510" w:type="dxa"/>
          </w:tcPr>
          <w:p w:rsidR="002A3F9F" w:rsidRPr="002A3F9F" w:rsidRDefault="002A3F9F">
            <w:pPr>
              <w:spacing w:before="0" w:after="0"/>
              <w:jc w:val="both"/>
              <w:rPr>
                <w:kern w:val="20"/>
              </w:rPr>
            </w:pPr>
            <w:r w:rsidRPr="002A3F9F">
              <w:rPr>
                <w:kern w:val="20"/>
              </w:rPr>
              <w:t>Угловой размер знака (угл/мин)</w:t>
            </w:r>
          </w:p>
        </w:tc>
        <w:tc>
          <w:tcPr>
            <w:tcW w:w="3402" w:type="dxa"/>
          </w:tcPr>
          <w:p w:rsidR="002A3F9F" w:rsidRPr="002A3F9F" w:rsidRDefault="002A3F9F">
            <w:pPr>
              <w:spacing w:before="0" w:after="0"/>
              <w:jc w:val="both"/>
              <w:rPr>
                <w:kern w:val="20"/>
              </w:rPr>
            </w:pPr>
            <w:r w:rsidRPr="002A3F9F">
              <w:rPr>
                <w:kern w:val="20"/>
              </w:rPr>
              <w:t>16</w:t>
            </w:r>
          </w:p>
        </w:tc>
        <w:tc>
          <w:tcPr>
            <w:tcW w:w="2694" w:type="dxa"/>
          </w:tcPr>
          <w:p w:rsidR="002A3F9F" w:rsidRPr="002A3F9F" w:rsidRDefault="002A3F9F">
            <w:pPr>
              <w:spacing w:before="0" w:after="0"/>
              <w:jc w:val="both"/>
              <w:rPr>
                <w:kern w:val="20"/>
              </w:rPr>
            </w:pPr>
            <w:r w:rsidRPr="002A3F9F">
              <w:rPr>
                <w:kern w:val="20"/>
              </w:rPr>
              <w:t>60</w:t>
            </w:r>
          </w:p>
        </w:tc>
      </w:tr>
    </w:tbl>
    <w:p w:rsidR="002A3F9F" w:rsidRDefault="002A3F9F">
      <w:pPr>
        <w:spacing w:before="0" w:after="0"/>
        <w:ind w:firstLine="567"/>
        <w:jc w:val="both"/>
        <w:rPr>
          <w:kern w:val="20"/>
          <w:lang w:val="en-US"/>
        </w:rPr>
      </w:pPr>
    </w:p>
    <w:p w:rsidR="002A3F9F" w:rsidRDefault="002A3F9F">
      <w:pPr>
        <w:spacing w:before="0" w:after="0"/>
        <w:ind w:firstLine="567"/>
        <w:jc w:val="both"/>
        <w:rPr>
          <w:kern w:val="20"/>
        </w:rPr>
      </w:pPr>
      <w:r>
        <w:rPr>
          <w:kern w:val="20"/>
        </w:rPr>
        <w:t>Обеспечение эргономических параметров рабочего места</w:t>
      </w:r>
    </w:p>
    <w:p w:rsidR="002A3F9F" w:rsidRDefault="002A3F9F">
      <w:pPr>
        <w:spacing w:before="0" w:after="0"/>
        <w:ind w:firstLine="567"/>
        <w:jc w:val="both"/>
        <w:rPr>
          <w:kern w:val="20"/>
        </w:rPr>
      </w:pPr>
      <w:r>
        <w:rPr>
          <w:kern w:val="20"/>
        </w:rPr>
        <w:t xml:space="preserve"> В соответствии с требованиями ГОСТ 12.2.032-78 в корпорации “УНО” используются рабочие столы с высотой рабочей поверхности 725 мм, а также рабочие кресла с подъемно-поворотным устройством. Конструкция кресел обеспечивает регулировку высоты опорной поверхности сиденья в пределах 400-500 мм и углов наклона вперед до 15 градусов и назад до 5 градусов. Каждое кресло оборудовано подлокотниками, что сводит к минимуму неблагоприятное воздействие на кистевые суставы рук.</w:t>
      </w:r>
    </w:p>
    <w:p w:rsidR="002A3F9F" w:rsidRDefault="002A3F9F">
      <w:pPr>
        <w:spacing w:before="0" w:after="0"/>
        <w:ind w:firstLine="567"/>
        <w:jc w:val="both"/>
        <w:rPr>
          <w:kern w:val="20"/>
        </w:rPr>
      </w:pPr>
      <w:r>
        <w:rPr>
          <w:kern w:val="20"/>
        </w:rPr>
        <w:t>Обеспечение электробезопасности</w:t>
      </w:r>
    </w:p>
    <w:p w:rsidR="002A3F9F" w:rsidRDefault="002A3F9F">
      <w:pPr>
        <w:spacing w:before="0" w:after="0"/>
        <w:ind w:firstLine="567"/>
        <w:jc w:val="both"/>
        <w:rPr>
          <w:kern w:val="20"/>
        </w:rPr>
      </w:pPr>
      <w:r>
        <w:rPr>
          <w:kern w:val="20"/>
        </w:rPr>
        <w:t xml:space="preserve"> В рассматриваемом помещении находятся применяемые в работе компьютеры, принтеры, сканеры, бесперебойные источники питания а также бытовой музыкальный центр, которые могут быть причиной поражения людей электрическим током. Хотя во всех этих приборах применены современные меры защиты, все же проводится постоянный контроль со стороны электроотдела в отношении состояния электропроводки, выключателей, штепсельных розеток и шнуров, с помощью которых включаются в сеть электроприборы. </w:t>
      </w:r>
    </w:p>
    <w:p w:rsidR="002A3F9F" w:rsidRDefault="002A3F9F">
      <w:pPr>
        <w:spacing w:before="0" w:after="0"/>
        <w:ind w:firstLine="567"/>
        <w:jc w:val="both"/>
        <w:rPr>
          <w:kern w:val="20"/>
        </w:rPr>
      </w:pPr>
      <w:r>
        <w:rPr>
          <w:kern w:val="20"/>
        </w:rPr>
        <w:t>Обеспечение пожаробезопасности</w:t>
      </w:r>
    </w:p>
    <w:p w:rsidR="002A3F9F" w:rsidRDefault="002A3F9F">
      <w:pPr>
        <w:spacing w:before="0" w:after="0"/>
        <w:ind w:firstLine="567"/>
        <w:jc w:val="both"/>
        <w:rPr>
          <w:kern w:val="20"/>
        </w:rPr>
      </w:pPr>
      <w:r>
        <w:rPr>
          <w:kern w:val="20"/>
        </w:rPr>
        <w:t xml:space="preserve"> Пожарная безопасность обеспечивается системой предотвращения пожара и системой пожарной защиты. В служебных помещениях вывешены “Планы эвакуации людей при пожаре”, регламентирующие действия персонала в случае возникновения очага возгорания и указывающий места расположения пожарной техники.</w:t>
      </w:r>
    </w:p>
    <w:p w:rsidR="002A3F9F" w:rsidRDefault="002A3F9F">
      <w:pPr>
        <w:spacing w:before="0" w:after="0"/>
        <w:ind w:firstLine="567"/>
        <w:jc w:val="both"/>
        <w:rPr>
          <w:kern w:val="20"/>
        </w:rPr>
      </w:pPr>
      <w:r>
        <w:rPr>
          <w:kern w:val="20"/>
        </w:rPr>
        <w:t xml:space="preserve"> В необходимых местах размещены ручные огнетушители (углекислотные ОУ-8 в количестве 2шт).</w:t>
      </w:r>
    </w:p>
    <w:p w:rsidR="002A3F9F" w:rsidRDefault="002A3F9F">
      <w:pPr>
        <w:spacing w:before="0" w:after="0"/>
        <w:ind w:firstLine="567"/>
        <w:jc w:val="both"/>
        <w:rPr>
          <w:kern w:val="20"/>
        </w:rPr>
      </w:pPr>
      <w:r>
        <w:rPr>
          <w:kern w:val="20"/>
        </w:rPr>
        <w:t>Средствами обнаружения и оповещения о пожаре являются автоматические датчики-сигнализаторы о пожаре типа ДТП, реагирующие на повышение температуры. Средством оповещения сотрудников о пожаре служит внутрифирменное радио.</w:t>
      </w:r>
    </w:p>
    <w:p w:rsidR="002A3F9F" w:rsidRDefault="002A3F9F">
      <w:pPr>
        <w:spacing w:before="0" w:after="0"/>
        <w:ind w:firstLine="567"/>
        <w:jc w:val="both"/>
        <w:rPr>
          <w:b/>
          <w:bCs/>
          <w:kern w:val="20"/>
        </w:rPr>
      </w:pPr>
    </w:p>
    <w:p w:rsidR="002A3F9F" w:rsidRDefault="002A3F9F">
      <w:pPr>
        <w:spacing w:before="0" w:after="0"/>
        <w:ind w:firstLine="567"/>
        <w:jc w:val="both"/>
        <w:rPr>
          <w:kern w:val="20"/>
        </w:rPr>
      </w:pPr>
      <w:bookmarkStart w:id="10" w:name="_Toc467506128"/>
      <w:r>
        <w:rPr>
          <w:kern w:val="20"/>
        </w:rPr>
        <w:t>ВЫВОДЫ</w:t>
      </w:r>
      <w:bookmarkEnd w:id="10"/>
    </w:p>
    <w:p w:rsidR="002A3F9F" w:rsidRDefault="002A3F9F">
      <w:pPr>
        <w:spacing w:before="0" w:after="0"/>
        <w:ind w:firstLine="567"/>
        <w:jc w:val="both"/>
        <w:rPr>
          <w:kern w:val="20"/>
        </w:rPr>
      </w:pPr>
      <w:r>
        <w:rPr>
          <w:kern w:val="20"/>
        </w:rPr>
        <w:t xml:space="preserve"> В соответствии с принятыми нормами в отделе информационных технологий корпорации “УНО” обеспечивается необходимый микроклимат, минимальный уровень шума, созданы удобные и правильные с точки зрения эргономики рабочие места, соблюдены требования технической эстетики и требования к ЭВМ.</w:t>
      </w:r>
    </w:p>
    <w:p w:rsidR="002A3F9F" w:rsidRDefault="002A3F9F">
      <w:pPr>
        <w:spacing w:before="0" w:after="0"/>
        <w:ind w:firstLine="567"/>
        <w:jc w:val="both"/>
        <w:rPr>
          <w:kern w:val="20"/>
        </w:rPr>
      </w:pPr>
      <w:r>
        <w:rPr>
          <w:kern w:val="20"/>
        </w:rPr>
        <w:t xml:space="preserve"> Для сотрудников отдела в процессе работы одним из важнейших факторов, влияющих на производительность труда при длительной зрительной работе, является достаточное освещение рабочего места. Это достигается правильным выбором и расположением осветительных приборов.</w:t>
      </w:r>
    </w:p>
    <w:p w:rsidR="002A3F9F" w:rsidRDefault="002A3F9F">
      <w:pPr>
        <w:spacing w:before="0" w:after="0"/>
        <w:ind w:firstLine="567"/>
        <w:jc w:val="both"/>
        <w:rPr>
          <w:kern w:val="20"/>
        </w:rPr>
      </w:pPr>
      <w:r>
        <w:rPr>
          <w:kern w:val="20"/>
        </w:rPr>
        <w:t xml:space="preserve"> Специальные мероприятия обеспечивают электробезопасность и пожаробезопасность сотрудников.</w:t>
      </w:r>
    </w:p>
    <w:p w:rsidR="002A3F9F" w:rsidRDefault="002A3F9F">
      <w:pPr>
        <w:spacing w:before="0" w:after="0"/>
        <w:ind w:firstLine="567"/>
        <w:jc w:val="both"/>
        <w:rPr>
          <w:kern w:val="20"/>
        </w:rPr>
      </w:pPr>
      <w:r>
        <w:rPr>
          <w:kern w:val="20"/>
        </w:rPr>
        <w:t>В целом условия труда в финансовом отделе информационных технологий корпорации “УНО” соответствуют общепринятым нормам, сотрудникам обеспечены комфорт и благоприятные условия труда.</w:t>
      </w:r>
    </w:p>
    <w:p w:rsidR="002A3F9F" w:rsidRDefault="002A3F9F">
      <w:pPr>
        <w:spacing w:before="0" w:after="0"/>
        <w:ind w:firstLine="567"/>
        <w:jc w:val="both"/>
        <w:rPr>
          <w:kern w:val="20"/>
        </w:rPr>
      </w:pPr>
    </w:p>
    <w:p w:rsidR="002A3F9F" w:rsidRDefault="002A3F9F">
      <w:pPr>
        <w:spacing w:before="0" w:after="0"/>
        <w:ind w:firstLine="567"/>
        <w:jc w:val="both"/>
        <w:rPr>
          <w:kern w:val="20"/>
        </w:rPr>
      </w:pPr>
      <w:bookmarkStart w:id="11" w:name="_Toc467506129"/>
      <w:r>
        <w:rPr>
          <w:caps/>
          <w:kern w:val="20"/>
        </w:rPr>
        <w:t>ЗАКЛЮЧЕНИЕ</w:t>
      </w:r>
      <w:bookmarkEnd w:id="11"/>
    </w:p>
    <w:p w:rsidR="002A3F9F" w:rsidRDefault="002A3F9F">
      <w:pPr>
        <w:spacing w:before="0" w:after="0"/>
        <w:ind w:firstLine="567"/>
        <w:jc w:val="both"/>
        <w:rPr>
          <w:kern w:val="20"/>
        </w:rPr>
      </w:pPr>
      <w:r>
        <w:rPr>
          <w:kern w:val="20"/>
        </w:rPr>
        <w:t xml:space="preserve"> </w:t>
      </w:r>
    </w:p>
    <w:p w:rsidR="002A3F9F" w:rsidRDefault="002A3F9F">
      <w:pPr>
        <w:spacing w:before="0" w:after="0"/>
        <w:ind w:firstLine="567"/>
        <w:jc w:val="both"/>
        <w:rPr>
          <w:kern w:val="20"/>
        </w:rPr>
      </w:pPr>
      <w:r>
        <w:rPr>
          <w:kern w:val="20"/>
        </w:rPr>
        <w:t xml:space="preserve"> В данной работе рассматривались вопросы связанные с тем, что работники ВЦ: операторы ЭВМ, операторы по подготовке данных, программисты по-прежнему подвергаются воздействию физически опасных и вредных производственных факторов. Таких, как повышенный уровень шумов, повышенная температура внешней среды, отсутствие или недостаток естественного света, недостаточная освещенность рабочей зоны, электрический ток, статическое электричество и др. Определялись пути решения этих проблем, чтобы обеспечить безопасные условия труда для работников ВЦ.</w:t>
      </w:r>
    </w:p>
    <w:p w:rsidR="002A3F9F" w:rsidRDefault="002A3F9F">
      <w:pPr>
        <w:spacing w:before="0" w:after="0"/>
        <w:ind w:firstLine="567"/>
        <w:jc w:val="both"/>
        <w:rPr>
          <w:kern w:val="20"/>
          <w:lang w:val="en-US"/>
        </w:rPr>
      </w:pPr>
      <w:r>
        <w:rPr>
          <w:kern w:val="20"/>
        </w:rPr>
        <w:t xml:space="preserve"> Особое внимание требуется уделять пожарной безопасности, так как пожары в ВЦ сопряжены с опасностью для человеческой жизни и большими материальными потерями.</w:t>
      </w:r>
      <w:bookmarkStart w:id="12" w:name="_GoBack"/>
      <w:bookmarkEnd w:id="12"/>
    </w:p>
    <w:sectPr w:rsidR="002A3F9F">
      <w:type w:val="continuous"/>
      <w:pgSz w:w="11907" w:h="16840" w:code="9"/>
      <w:pgMar w:top="1134" w:right="850" w:bottom="1134" w:left="1134" w:header="0" w:footer="851"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0E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1ED42C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CB8"/>
    <w:rsid w:val="002A3F9F"/>
    <w:rsid w:val="008C3041"/>
    <w:rsid w:val="00997CB8"/>
    <w:rsid w:val="00A32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951AE28E-E2D3-43D4-BC5A-3DAD1FF4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before="100" w:after="100"/>
    </w:pPr>
    <w:rPr>
      <w:rFonts w:ascii="Times New Roman" w:hAnsi="Times New Roman"/>
      <w:sz w:val="24"/>
      <w:szCs w:val="24"/>
    </w:rPr>
  </w:style>
  <w:style w:type="paragraph" w:styleId="1">
    <w:name w:val="heading 1"/>
    <w:basedOn w:val="a"/>
    <w:next w:val="a"/>
    <w:link w:val="10"/>
    <w:uiPriority w:val="99"/>
    <w:qFormat/>
    <w:pPr>
      <w:keepNext/>
      <w:spacing w:before="240" w:after="60" w:line="360" w:lineRule="auto"/>
      <w:ind w:firstLine="709"/>
      <w:jc w:val="both"/>
      <w:outlineLvl w:val="0"/>
    </w:pPr>
    <w:rPr>
      <w:rFonts w:ascii="Arial" w:hAnsi="Arial" w:cs="Arial"/>
      <w:b/>
      <w:bCs/>
      <w:kern w:val="28"/>
      <w:sz w:val="28"/>
      <w:szCs w:val="28"/>
    </w:rPr>
  </w:style>
  <w:style w:type="paragraph" w:styleId="2">
    <w:name w:val="heading 2"/>
    <w:basedOn w:val="a"/>
    <w:next w:val="a"/>
    <w:link w:val="20"/>
    <w:uiPriority w:val="99"/>
    <w:qFormat/>
    <w:pPr>
      <w:keepNext/>
      <w:widowControl w:val="0"/>
      <w:spacing w:before="0" w:after="240"/>
      <w:outlineLvl w:val="1"/>
    </w:pPr>
    <w:rPr>
      <w:rFonts w:ascii="Arial" w:hAnsi="Arial" w:cs="Arial"/>
      <w:b/>
      <w:bCs/>
      <w:caps/>
      <w:kern w:val="28"/>
      <w:sz w:val="28"/>
      <w:szCs w:val="28"/>
    </w:rPr>
  </w:style>
  <w:style w:type="paragraph" w:styleId="3">
    <w:name w:val="heading 3"/>
    <w:basedOn w:val="a"/>
    <w:next w:val="a0"/>
    <w:link w:val="30"/>
    <w:uiPriority w:val="99"/>
    <w:qFormat/>
    <w:pPr>
      <w:keepNext/>
      <w:widowControl w:val="0"/>
      <w:tabs>
        <w:tab w:val="right" w:pos="8640"/>
      </w:tabs>
      <w:spacing w:before="0" w:after="0" w:line="360" w:lineRule="auto"/>
      <w:outlineLvl w:val="2"/>
    </w:pPr>
    <w:rPr>
      <w:b/>
      <w:bCs/>
      <w:i/>
      <w:iCs/>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20"/>
      <w:sz w:val="28"/>
      <w:szCs w:val="28"/>
    </w:rPr>
  </w:style>
  <w:style w:type="character" w:customStyle="1" w:styleId="30">
    <w:name w:val="Заголовок 3 Знак"/>
    <w:link w:val="3"/>
    <w:uiPriority w:val="9"/>
    <w:semiHidden/>
    <w:rPr>
      <w:rFonts w:ascii="Cambria" w:eastAsia="Times New Roman" w:hAnsi="Cambria" w:cs="Times New Roman"/>
      <w:b/>
      <w:bCs/>
      <w:kern w:val="20"/>
      <w:sz w:val="26"/>
      <w:szCs w:val="26"/>
    </w:rPr>
  </w:style>
  <w:style w:type="paragraph" w:styleId="a0">
    <w:name w:val="Body Text"/>
    <w:basedOn w:val="a"/>
    <w:link w:val="a4"/>
    <w:uiPriority w:val="99"/>
    <w:pPr>
      <w:spacing w:before="0" w:after="120" w:line="360" w:lineRule="auto"/>
      <w:ind w:firstLine="709"/>
      <w:jc w:val="both"/>
    </w:pPr>
    <w:rPr>
      <w:kern w:val="20"/>
    </w:rPr>
  </w:style>
  <w:style w:type="character" w:customStyle="1" w:styleId="a4">
    <w:name w:val="Основной текст Знак"/>
    <w:link w:val="a0"/>
    <w:uiPriority w:val="99"/>
    <w:semiHidden/>
    <w:rPr>
      <w:rFonts w:ascii="Times New Roman" w:hAnsi="Times New Roman" w:cs="Times New Roman"/>
      <w:kern w:val="20"/>
      <w:sz w:val="24"/>
      <w:szCs w:val="24"/>
    </w:rPr>
  </w:style>
  <w:style w:type="paragraph" w:styleId="21">
    <w:name w:val="toc 2"/>
    <w:basedOn w:val="a"/>
    <w:autoRedefine/>
    <w:uiPriority w:val="99"/>
    <w:pPr>
      <w:widowControl w:val="0"/>
      <w:tabs>
        <w:tab w:val="right" w:leader="underscore" w:pos="9061"/>
      </w:tabs>
      <w:spacing w:before="240" w:after="0"/>
    </w:pPr>
    <w:rPr>
      <w:b/>
      <w:bCs/>
      <w:noProof/>
      <w:kern w:val="20"/>
      <w:lang w:val="en-US"/>
    </w:rPr>
  </w:style>
  <w:style w:type="paragraph" w:styleId="a5">
    <w:name w:val="Bibliography"/>
    <w:basedOn w:val="a0"/>
    <w:uiPriority w:val="99"/>
    <w:pPr>
      <w:widowControl w:val="0"/>
      <w:spacing w:after="0"/>
      <w:ind w:firstLine="0"/>
    </w:pPr>
  </w:style>
  <w:style w:type="paragraph" w:styleId="22">
    <w:name w:val="Body Text 2"/>
    <w:basedOn w:val="a"/>
    <w:link w:val="23"/>
    <w:uiPriority w:val="99"/>
    <w:pPr>
      <w:spacing w:before="0" w:after="0" w:line="360" w:lineRule="auto"/>
      <w:jc w:val="both"/>
    </w:pPr>
    <w:rPr>
      <w:sz w:val="32"/>
      <w:szCs w:val="32"/>
    </w:rPr>
  </w:style>
  <w:style w:type="character" w:customStyle="1" w:styleId="23">
    <w:name w:val="Основной текст 2 Знак"/>
    <w:link w:val="22"/>
    <w:uiPriority w:val="99"/>
    <w:semiHidden/>
    <w:rPr>
      <w:rFonts w:ascii="Times New Roman" w:hAnsi="Times New Roman" w:cs="Times New Roman"/>
      <w:kern w:val="20"/>
      <w:sz w:val="24"/>
      <w:szCs w:val="24"/>
    </w:rPr>
  </w:style>
  <w:style w:type="paragraph" w:styleId="31">
    <w:name w:val="toc 3"/>
    <w:basedOn w:val="a"/>
    <w:next w:val="a"/>
    <w:autoRedefine/>
    <w:uiPriority w:val="99"/>
    <w:pPr>
      <w:spacing w:before="0" w:after="0"/>
      <w:ind w:firstLine="567"/>
    </w:pPr>
    <w:rPr>
      <w:noProof/>
      <w:kern w:val="20"/>
      <w:lang w:val="en-US"/>
    </w:rPr>
  </w:style>
  <w:style w:type="paragraph" w:styleId="a6">
    <w:name w:val="header"/>
    <w:basedOn w:val="a"/>
    <w:link w:val="a7"/>
    <w:uiPriority w:val="99"/>
    <w:pPr>
      <w:tabs>
        <w:tab w:val="center" w:pos="4153"/>
        <w:tab w:val="right" w:pos="8306"/>
      </w:tabs>
      <w:spacing w:before="0" w:after="0" w:line="360" w:lineRule="auto"/>
      <w:ind w:firstLine="709"/>
      <w:jc w:val="both"/>
    </w:pPr>
    <w:rPr>
      <w:kern w:val="20"/>
    </w:r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paragraph" w:styleId="a8">
    <w:name w:val="footer"/>
    <w:basedOn w:val="a"/>
    <w:link w:val="a9"/>
    <w:uiPriority w:val="99"/>
    <w:pPr>
      <w:tabs>
        <w:tab w:val="center" w:pos="4153"/>
        <w:tab w:val="right" w:pos="8306"/>
      </w:tabs>
      <w:spacing w:before="0" w:after="0" w:line="360" w:lineRule="auto"/>
      <w:ind w:firstLine="709"/>
      <w:jc w:val="both"/>
    </w:pPr>
    <w:rPr>
      <w:kern w:val="20"/>
    </w:rPr>
  </w:style>
  <w:style w:type="character" w:customStyle="1" w:styleId="a9">
    <w:name w:val="Нижний колонтитул Знак"/>
    <w:link w:val="a8"/>
    <w:uiPriority w:val="99"/>
    <w:semiHidden/>
    <w:rPr>
      <w:rFonts w:ascii="Times New Roman" w:hAnsi="Times New Roman" w:cs="Times New Roman"/>
      <w:sz w:val="24"/>
      <w:szCs w:val="24"/>
    </w:rPr>
  </w:style>
  <w:style w:type="character" w:styleId="aa">
    <w:name w:val="page number"/>
    <w:uiPriority w:val="99"/>
  </w:style>
  <w:style w:type="paragraph" w:styleId="24">
    <w:name w:val="Body Text Indent 2"/>
    <w:basedOn w:val="a"/>
    <w:link w:val="25"/>
    <w:uiPriority w:val="99"/>
    <w:pPr>
      <w:spacing w:before="0" w:after="0"/>
      <w:ind w:firstLine="567"/>
      <w:jc w:val="center"/>
    </w:pPr>
    <w:rPr>
      <w:b/>
      <w:bCs/>
      <w:kern w:val="20"/>
      <w:sz w:val="28"/>
      <w:szCs w:val="28"/>
    </w:rPr>
  </w:style>
  <w:style w:type="character" w:customStyle="1" w:styleId="25">
    <w:name w:val="Основной текст с отступом 2 Знак"/>
    <w:link w:val="24"/>
    <w:uiPriority w:val="99"/>
    <w:semiHidden/>
    <w:rPr>
      <w:rFonts w:ascii="Times New Roman" w:hAnsi="Times New Roman" w:cs="Times New Roman"/>
      <w:sz w:val="24"/>
      <w:szCs w:val="24"/>
    </w:rPr>
  </w:style>
  <w:style w:type="paragraph" w:styleId="32">
    <w:name w:val="Body Text Indent 3"/>
    <w:basedOn w:val="a"/>
    <w:link w:val="33"/>
    <w:uiPriority w:val="99"/>
    <w:pPr>
      <w:spacing w:before="0" w:after="0"/>
      <w:ind w:firstLine="567"/>
      <w:jc w:val="both"/>
    </w:pPr>
    <w:rPr>
      <w:kern w:val="20"/>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3799</Words>
  <Characters>21655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РАЗРАБОТКА ВОПРОСОВ ОХРАНЫ ТРУДА ПРИ РАБОТЕ С ЭВМ</vt:lpstr>
    </vt:vector>
  </TitlesOfParts>
  <Company>.</Company>
  <LinksUpToDate>false</LinksUpToDate>
  <CharactersWithSpaces>25404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ВОПРОСОВ ОХРАНЫ ТРУДА ПРИ РАБОТЕ С ЭВМ</dc:title>
  <dc:subject/>
  <dc:creator>.</dc:creator>
  <cp:keywords/>
  <dc:description/>
  <cp:lastModifiedBy>admin</cp:lastModifiedBy>
  <cp:revision>2</cp:revision>
  <dcterms:created xsi:type="dcterms:W3CDTF">2014-01-30T21:20:00Z</dcterms:created>
  <dcterms:modified xsi:type="dcterms:W3CDTF">2014-01-30T21:20:00Z</dcterms:modified>
</cp:coreProperties>
</file>