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C66" w:rsidRDefault="00CA6C66">
      <w:pPr>
        <w:spacing w:line="360" w:lineRule="auto"/>
        <w:jc w:val="center"/>
        <w:rPr>
          <w:sz w:val="28"/>
          <w:szCs w:val="28"/>
        </w:rPr>
      </w:pPr>
    </w:p>
    <w:p w:rsidR="00CA6C66" w:rsidRDefault="00CA6C66">
      <w:pPr>
        <w:pStyle w:val="12"/>
        <w:jc w:val="center"/>
      </w:pPr>
      <w:r>
        <w:t>Содержание</w:t>
      </w:r>
    </w:p>
    <w:p w:rsidR="00CA6C66" w:rsidRDefault="00CA6C66">
      <w:pPr>
        <w:spacing w:line="360" w:lineRule="auto"/>
      </w:pPr>
    </w:p>
    <w:p w:rsidR="00CA6C66" w:rsidRDefault="00CA6C66">
      <w:pPr>
        <w:spacing w:line="360" w:lineRule="auto"/>
      </w:pPr>
    </w:p>
    <w:tbl>
      <w:tblPr>
        <w:tblW w:w="0" w:type="auto"/>
        <w:tblLook w:val="0000" w:firstRow="0" w:lastRow="0" w:firstColumn="0" w:lastColumn="0" w:noHBand="0" w:noVBand="0"/>
      </w:tblPr>
      <w:tblGrid>
        <w:gridCol w:w="8498"/>
        <w:gridCol w:w="1073"/>
      </w:tblGrid>
      <w:tr w:rsidR="00CA6C66">
        <w:tc>
          <w:tcPr>
            <w:tcW w:w="8498" w:type="dxa"/>
          </w:tcPr>
          <w:p w:rsidR="00CA6C66" w:rsidRDefault="00CA6C66">
            <w:pPr>
              <w:pStyle w:val="12"/>
              <w:spacing w:before="120" w:after="120"/>
            </w:pPr>
            <w:r>
              <w:t>Введение</w:t>
            </w:r>
          </w:p>
        </w:tc>
        <w:tc>
          <w:tcPr>
            <w:tcW w:w="1073" w:type="dxa"/>
          </w:tcPr>
          <w:p w:rsidR="00CA6C66" w:rsidRDefault="00CA6C66">
            <w:pPr>
              <w:pStyle w:val="12"/>
              <w:spacing w:before="120" w:after="120"/>
            </w:pPr>
            <w:r>
              <w:t>3</w:t>
            </w:r>
          </w:p>
        </w:tc>
      </w:tr>
      <w:tr w:rsidR="00CA6C66">
        <w:tc>
          <w:tcPr>
            <w:tcW w:w="8498" w:type="dxa"/>
          </w:tcPr>
          <w:p w:rsidR="00CA6C66" w:rsidRDefault="00CA6C66">
            <w:pPr>
              <w:pStyle w:val="12"/>
              <w:numPr>
                <w:ilvl w:val="0"/>
                <w:numId w:val="19"/>
              </w:numPr>
              <w:spacing w:before="120" w:after="120"/>
            </w:pPr>
            <w:r>
              <w:rPr>
                <w:color w:val="000000"/>
              </w:rPr>
              <w:t>Основные приемы анализа бухгалтерской (финансовой) отчетности</w:t>
            </w:r>
          </w:p>
        </w:tc>
        <w:tc>
          <w:tcPr>
            <w:tcW w:w="1073" w:type="dxa"/>
          </w:tcPr>
          <w:p w:rsidR="00CA6C66" w:rsidRDefault="00CA6C66">
            <w:pPr>
              <w:pStyle w:val="12"/>
              <w:spacing w:before="120" w:after="120"/>
            </w:pPr>
            <w:r>
              <w:t>5</w:t>
            </w:r>
          </w:p>
        </w:tc>
      </w:tr>
      <w:tr w:rsidR="00CA6C66">
        <w:tc>
          <w:tcPr>
            <w:tcW w:w="8498" w:type="dxa"/>
          </w:tcPr>
          <w:p w:rsidR="00CA6C66" w:rsidRDefault="00CA6C66">
            <w:pPr>
              <w:pStyle w:val="12"/>
              <w:numPr>
                <w:ilvl w:val="0"/>
                <w:numId w:val="19"/>
              </w:numPr>
              <w:spacing w:before="120" w:after="120"/>
            </w:pPr>
            <w:r>
              <w:rPr>
                <w:color w:val="000000"/>
              </w:rPr>
              <w:t>Показатели оценки платежеспособности и ликвидности</w:t>
            </w:r>
          </w:p>
        </w:tc>
        <w:tc>
          <w:tcPr>
            <w:tcW w:w="1073" w:type="dxa"/>
          </w:tcPr>
          <w:p w:rsidR="00CA6C66" w:rsidRDefault="00CA6C66">
            <w:pPr>
              <w:pStyle w:val="12"/>
              <w:spacing w:before="120" w:after="120"/>
            </w:pPr>
            <w:r>
              <w:t>17</w:t>
            </w:r>
          </w:p>
        </w:tc>
      </w:tr>
      <w:tr w:rsidR="00CA6C66">
        <w:tc>
          <w:tcPr>
            <w:tcW w:w="8498" w:type="dxa"/>
          </w:tcPr>
          <w:p w:rsidR="00CA6C66" w:rsidRDefault="00CA6C66">
            <w:pPr>
              <w:pStyle w:val="12"/>
              <w:numPr>
                <w:ilvl w:val="0"/>
                <w:numId w:val="19"/>
              </w:numPr>
              <w:spacing w:before="120" w:after="120"/>
            </w:pPr>
            <w:r>
              <w:t>Показатели финансовой устойчивости</w:t>
            </w:r>
          </w:p>
        </w:tc>
        <w:tc>
          <w:tcPr>
            <w:tcW w:w="1073" w:type="dxa"/>
          </w:tcPr>
          <w:p w:rsidR="00CA6C66" w:rsidRDefault="00CA6C66">
            <w:pPr>
              <w:pStyle w:val="12"/>
              <w:spacing w:before="120" w:after="120"/>
            </w:pPr>
            <w:r>
              <w:t>19</w:t>
            </w:r>
          </w:p>
        </w:tc>
      </w:tr>
      <w:tr w:rsidR="00CA6C66">
        <w:tc>
          <w:tcPr>
            <w:tcW w:w="8498" w:type="dxa"/>
          </w:tcPr>
          <w:p w:rsidR="00CA6C66" w:rsidRDefault="00CA6C66">
            <w:pPr>
              <w:pStyle w:val="12"/>
              <w:numPr>
                <w:ilvl w:val="0"/>
                <w:numId w:val="19"/>
              </w:numPr>
              <w:spacing w:before="120" w:after="120"/>
            </w:pPr>
            <w:r>
              <w:t>Показатели деловой активности</w:t>
            </w:r>
          </w:p>
        </w:tc>
        <w:tc>
          <w:tcPr>
            <w:tcW w:w="1073" w:type="dxa"/>
          </w:tcPr>
          <w:p w:rsidR="00CA6C66" w:rsidRDefault="00CA6C66">
            <w:pPr>
              <w:pStyle w:val="12"/>
              <w:spacing w:before="120" w:after="120"/>
            </w:pPr>
            <w:r>
              <w:t>21</w:t>
            </w:r>
          </w:p>
        </w:tc>
      </w:tr>
      <w:tr w:rsidR="00CA6C66">
        <w:tc>
          <w:tcPr>
            <w:tcW w:w="8498" w:type="dxa"/>
          </w:tcPr>
          <w:p w:rsidR="00CA6C66" w:rsidRDefault="00CA6C66">
            <w:pPr>
              <w:pStyle w:val="12"/>
              <w:spacing w:before="120" w:after="120"/>
            </w:pPr>
            <w:r>
              <w:t>Заключение</w:t>
            </w:r>
          </w:p>
        </w:tc>
        <w:tc>
          <w:tcPr>
            <w:tcW w:w="1073" w:type="dxa"/>
          </w:tcPr>
          <w:p w:rsidR="00CA6C66" w:rsidRDefault="00CA6C66">
            <w:pPr>
              <w:pStyle w:val="12"/>
              <w:spacing w:before="120" w:after="120"/>
            </w:pPr>
            <w:r>
              <w:t>22</w:t>
            </w:r>
          </w:p>
        </w:tc>
      </w:tr>
      <w:tr w:rsidR="00CA6C66">
        <w:tc>
          <w:tcPr>
            <w:tcW w:w="8498" w:type="dxa"/>
          </w:tcPr>
          <w:p w:rsidR="00CA6C66" w:rsidRDefault="00CA6C66">
            <w:pPr>
              <w:pStyle w:val="12"/>
              <w:spacing w:before="120" w:after="120"/>
            </w:pPr>
            <w:r>
              <w:t>Список использованной литературы</w:t>
            </w:r>
          </w:p>
        </w:tc>
        <w:tc>
          <w:tcPr>
            <w:tcW w:w="1073" w:type="dxa"/>
          </w:tcPr>
          <w:p w:rsidR="00CA6C66" w:rsidRDefault="00CA6C66">
            <w:pPr>
              <w:pStyle w:val="12"/>
              <w:spacing w:before="120" w:after="120"/>
            </w:pPr>
            <w:r>
              <w:t>24</w:t>
            </w:r>
          </w:p>
        </w:tc>
      </w:tr>
    </w:tbl>
    <w:p w:rsidR="00CA6C66" w:rsidRDefault="00CA6C66">
      <w:pPr>
        <w:pStyle w:val="12"/>
      </w:pPr>
    </w:p>
    <w:p w:rsidR="00CA6C66" w:rsidRDefault="00CA6C66">
      <w:pPr>
        <w:spacing w:line="360" w:lineRule="auto"/>
        <w:rPr>
          <w:sz w:val="28"/>
          <w:szCs w:val="28"/>
        </w:rPr>
      </w:pPr>
    </w:p>
    <w:p w:rsidR="00CA6C66" w:rsidRDefault="00CA6C66">
      <w:pPr>
        <w:pStyle w:val="1"/>
      </w:pPr>
      <w:r>
        <w:br w:type="page"/>
      </w:r>
      <w:r>
        <w:lastRenderedPageBreak/>
        <w:t>Введение</w:t>
      </w:r>
    </w:p>
    <w:p w:rsidR="00CA6C66" w:rsidRDefault="00CA6C66"/>
    <w:p w:rsidR="00CA6C66" w:rsidRDefault="00CA6C66">
      <w:pPr>
        <w:shd w:val="clear" w:color="auto" w:fill="FFFFFF"/>
        <w:spacing w:line="360" w:lineRule="auto"/>
        <w:ind w:firstLine="708"/>
        <w:jc w:val="both"/>
      </w:pPr>
      <w:r>
        <w:rPr>
          <w:color w:val="000000"/>
        </w:rPr>
        <w:t>Назначением анализа бухгалтерской (финансовой) отчетности с позиции пользователя является рассмотрение и оценка информации, имеющейся в отчетности, для того, чтобы получить достоверные выводы о прошлом состоянии предприятия с целью предвидения его жизнеспособности в будущем.</w:t>
      </w:r>
    </w:p>
    <w:p w:rsidR="00CA6C66" w:rsidRDefault="00CA6C66">
      <w:pPr>
        <w:shd w:val="clear" w:color="auto" w:fill="FFFFFF"/>
        <w:spacing w:line="360" w:lineRule="auto"/>
        <w:ind w:firstLine="708"/>
        <w:jc w:val="both"/>
      </w:pPr>
      <w:r>
        <w:rPr>
          <w:color w:val="000000"/>
        </w:rPr>
        <w:t>В результате анализа бухгалтерской (финансовой) отчетности определяются также важнейшие характеристики предприятия, которые свидетельствуют, в частности, о его успехе или угрозе банкротства.</w:t>
      </w:r>
    </w:p>
    <w:p w:rsidR="00CA6C66" w:rsidRDefault="00CA6C66">
      <w:pPr>
        <w:shd w:val="clear" w:color="auto" w:fill="FFFFFF"/>
        <w:spacing w:line="360" w:lineRule="auto"/>
        <w:ind w:firstLine="708"/>
        <w:jc w:val="both"/>
      </w:pPr>
      <w:r>
        <w:rPr>
          <w:color w:val="000000"/>
        </w:rPr>
        <w:t>Для разных пользователей анализ бухгалтерской (финансовой) отчетности с точки зрения масштаба его проведения зависит от конкретно поставленной цели. В то же время характер анализа и направления работы при анализе бухгалтерской (финансовой) отчетности могут быть разными.</w:t>
      </w:r>
    </w:p>
    <w:p w:rsidR="00CA6C66" w:rsidRDefault="00CA6C66">
      <w:pPr>
        <w:shd w:val="clear" w:color="auto" w:fill="FFFFFF"/>
        <w:spacing w:line="360" w:lineRule="auto"/>
        <w:ind w:firstLine="708"/>
        <w:jc w:val="both"/>
      </w:pPr>
      <w:r>
        <w:rPr>
          <w:color w:val="000000"/>
        </w:rPr>
        <w:t>Анализ бухгалтерского баланса предполагает оценку активов предприятия, его обязательств и собственного капитала.</w:t>
      </w:r>
    </w:p>
    <w:p w:rsidR="00CA6C66" w:rsidRDefault="00CA6C66">
      <w:pPr>
        <w:shd w:val="clear" w:color="auto" w:fill="FFFFFF"/>
        <w:spacing w:line="360" w:lineRule="auto"/>
        <w:ind w:firstLine="708"/>
        <w:jc w:val="both"/>
      </w:pPr>
      <w:r>
        <w:rPr>
          <w:color w:val="000000"/>
        </w:rPr>
        <w:t>Анализ отчета о прибылях и убытках позволяет оценить объемы реализации, величины затрат, балансовой и чистой прибыли предприятия.</w:t>
      </w:r>
    </w:p>
    <w:p w:rsidR="00CA6C66" w:rsidRDefault="00CA6C66">
      <w:pPr>
        <w:shd w:val="clear" w:color="auto" w:fill="FFFFFF"/>
        <w:spacing w:line="360" w:lineRule="auto"/>
        <w:ind w:firstLine="708"/>
        <w:jc w:val="both"/>
      </w:pPr>
      <w:r>
        <w:rPr>
          <w:color w:val="000000"/>
        </w:rPr>
        <w:t>По данным приложений к балансу можно оценить динамику собственного капитала и прочих фондов и резервов (по отчету о движении капитала), притока и оттока денежных средств в разрезе текущей, инвестиционной и финансовой деятельности (по отчету о движении денежных средств), динамику заемных средств, дебиторской и кредиторской задолженности, амортизируемого имущества и других активов и обязательств предприятия (по приложению к бухгалтерскому балансу).</w:t>
      </w:r>
    </w:p>
    <w:p w:rsidR="00CA6C66" w:rsidRDefault="00CA6C66">
      <w:pPr>
        <w:shd w:val="clear" w:color="auto" w:fill="FFFFFF"/>
        <w:spacing w:line="360" w:lineRule="auto"/>
        <w:ind w:firstLine="708"/>
        <w:jc w:val="both"/>
      </w:pPr>
      <w:r>
        <w:rPr>
          <w:color w:val="000000"/>
        </w:rPr>
        <w:t>При всей важности анализ бухгалтерской (финансовой) отчетности имеет ограничения. Прежде всего,</w:t>
      </w:r>
      <w:r>
        <w:t xml:space="preserve"> </w:t>
      </w:r>
      <w:r>
        <w:rPr>
          <w:color w:val="000000"/>
        </w:rPr>
        <w:t>успех анализа зависит от полноты и достоверности отчетной информации. Но даже имея полную и достоверную информацию, анализ не может дать однозначных ответов ввиду неопределенности будущего. В этом смысле анализ лучше всего может быть использован для того, чтобы планировать возможности предприятия.</w:t>
      </w:r>
    </w:p>
    <w:p w:rsidR="00CA6C66" w:rsidRDefault="00CA6C66">
      <w:pPr>
        <w:shd w:val="clear" w:color="auto" w:fill="FFFFFF"/>
        <w:spacing w:line="360" w:lineRule="auto"/>
        <w:ind w:firstLine="708"/>
        <w:jc w:val="both"/>
      </w:pPr>
      <w:r>
        <w:rPr>
          <w:color w:val="000000"/>
        </w:rPr>
        <w:t>Сам по себе технический анализ не может обеспечить пользователю полную информацию о предприятии. В зависимости от конкретной цели, стоящей перед пользователем, определенное решение принимается не только на основе анализа бухгалтерской (финансовой) отчетности, но и рассмотрения нефинансовых слабых и сильных сторон предприятия.</w:t>
      </w:r>
    </w:p>
    <w:p w:rsidR="00CA6C66" w:rsidRDefault="00CA6C66">
      <w:pPr>
        <w:pStyle w:val="2"/>
        <w:widowControl w:val="0"/>
        <w:autoSpaceDE w:val="0"/>
        <w:autoSpaceDN w:val="0"/>
        <w:adjustRightInd w:val="0"/>
        <w:ind w:firstLine="708"/>
      </w:pPr>
      <w:r>
        <w:t xml:space="preserve">Таким образом, определение целей - важная и начальная стадия анализа. Правильно поставленная цель избавляет от ненужной работы. Определив цель, пользователь должен сформулировать основные вопросы, ответы на которые позволят ее достичь. Если, например, целью является только определение платежеспособности и ликвидности предприятия, следует рассчитать соответствующие коэффициенты ликвидности и определить уровень ликвидности активов. Или для оценки кредитоспособности необходимо определить ликвидность предприятия в будущем краткосрочном периоде. С этой же целью оценивается текущее состояние по показателям платежеспособности и ликвидности, а также определяются имеющиеся источники погашения задолженности и составляется прогноз денежных потоков на ближайшие месяцы. Некоторые банки проводят оценку по классу кредитоспособности, а также рассчитывают (или требуют представить) прогнозы движения денежных потоков и финансовых результатов на весь период кредитования. </w:t>
      </w:r>
    </w:p>
    <w:p w:rsidR="00CA6C66" w:rsidRDefault="00CA6C66">
      <w:pPr>
        <w:shd w:val="clear" w:color="auto" w:fill="FFFFFF"/>
        <w:spacing w:line="360" w:lineRule="auto"/>
        <w:ind w:firstLine="708"/>
        <w:jc w:val="both"/>
      </w:pPr>
      <w:r>
        <w:rPr>
          <w:color w:val="000000"/>
        </w:rPr>
        <w:t>Целью может являться комплексный анализ бухгалтерской (финансовой) отчетности с выявлением сильных и слабых позиций предприятия.</w:t>
      </w:r>
      <w:r>
        <w:t xml:space="preserve"> </w:t>
      </w:r>
      <w:r>
        <w:rPr>
          <w:color w:val="000000"/>
        </w:rPr>
        <w:t>Выбор цели определяет инструменты и методики проведения анализа.</w:t>
      </w:r>
    </w:p>
    <w:p w:rsidR="00CA6C66" w:rsidRDefault="00CA6C66">
      <w:pPr>
        <w:shd w:val="clear" w:color="auto" w:fill="FFFFFF"/>
        <w:spacing w:line="360" w:lineRule="auto"/>
        <w:ind w:firstLine="708"/>
        <w:jc w:val="both"/>
      </w:pPr>
      <w:r>
        <w:rPr>
          <w:color w:val="000000"/>
        </w:rPr>
        <w:t>Завершающим этапом анализа для пользователя является оценка (интерпретация) полученных данных и показателей, которая послужит базой для принятия тех или иных управленческих решений или явится основой планирования будущих финансовых операций и составления прогнозной бухгалтерской (финансовой) отчетности.</w:t>
      </w:r>
    </w:p>
    <w:p w:rsidR="00CA6C66" w:rsidRDefault="00CA6C66">
      <w:pPr>
        <w:shd w:val="clear" w:color="auto" w:fill="FFFFFF"/>
        <w:spacing w:line="360" w:lineRule="auto"/>
        <w:jc w:val="both"/>
        <w:rPr>
          <w:b/>
          <w:bCs/>
          <w:color w:val="000000"/>
        </w:rPr>
      </w:pPr>
    </w:p>
    <w:p w:rsidR="00CA6C66" w:rsidRDefault="00CA6C66">
      <w:pPr>
        <w:numPr>
          <w:ilvl w:val="0"/>
          <w:numId w:val="18"/>
        </w:numPr>
        <w:shd w:val="clear" w:color="auto" w:fill="FFFFFF"/>
        <w:spacing w:line="360" w:lineRule="auto"/>
        <w:jc w:val="center"/>
        <w:rPr>
          <w:b/>
          <w:bCs/>
          <w:color w:val="000000"/>
        </w:rPr>
      </w:pPr>
      <w:r>
        <w:rPr>
          <w:b/>
          <w:bCs/>
          <w:color w:val="000000"/>
        </w:rPr>
        <w:br w:type="page"/>
        <w:t>Основные приемы анализа бухгалтерской (финансовой) отчетности</w:t>
      </w:r>
    </w:p>
    <w:p w:rsidR="00CA6C66" w:rsidRDefault="00CA6C66">
      <w:pPr>
        <w:shd w:val="clear" w:color="auto" w:fill="FFFFFF"/>
        <w:spacing w:line="360" w:lineRule="auto"/>
        <w:ind w:left="360"/>
        <w:jc w:val="center"/>
      </w:pPr>
    </w:p>
    <w:p w:rsidR="00CA6C66" w:rsidRDefault="00CA6C66">
      <w:pPr>
        <w:shd w:val="clear" w:color="auto" w:fill="FFFFFF"/>
        <w:spacing w:line="360" w:lineRule="auto"/>
        <w:ind w:firstLine="708"/>
        <w:jc w:val="both"/>
      </w:pPr>
      <w:r>
        <w:rPr>
          <w:color w:val="000000"/>
        </w:rPr>
        <w:t>Бухгалтерская (финансовая) отчетность служит базой для анализа финансового положения предприятия.</w:t>
      </w:r>
    </w:p>
    <w:p w:rsidR="00CA6C66" w:rsidRDefault="00CA6C66">
      <w:pPr>
        <w:shd w:val="clear" w:color="auto" w:fill="FFFFFF"/>
        <w:spacing w:line="360" w:lineRule="auto"/>
        <w:ind w:firstLine="708"/>
        <w:jc w:val="both"/>
      </w:pPr>
      <w:r>
        <w:rPr>
          <w:color w:val="000000"/>
        </w:rPr>
        <w:t>Целью финансового анализа является оценка информации, содержащейся в отчетности, сравнение имеющихся сведений и создание на их базе новой информации, которая послужит основой для принятия тех или иных решений.</w:t>
      </w:r>
    </w:p>
    <w:p w:rsidR="00CA6C66" w:rsidRDefault="00CA6C66">
      <w:pPr>
        <w:shd w:val="clear" w:color="auto" w:fill="FFFFFF"/>
        <w:spacing w:line="360" w:lineRule="auto"/>
        <w:ind w:firstLine="708"/>
        <w:jc w:val="both"/>
      </w:pPr>
      <w:r>
        <w:rPr>
          <w:color w:val="000000"/>
        </w:rPr>
        <w:t>Выбор глубины и масштабов анализа, а также конкретных параметров и инструментов (набора методов) анализа зависит от конкретных задач, которые ставит перед собой пользователь с целью получения максимально возможной, полезной для него информации.</w:t>
      </w:r>
    </w:p>
    <w:p w:rsidR="00CA6C66" w:rsidRDefault="00CA6C66">
      <w:pPr>
        <w:shd w:val="clear" w:color="auto" w:fill="FFFFFF"/>
        <w:spacing w:line="360" w:lineRule="auto"/>
        <w:ind w:firstLine="708"/>
        <w:jc w:val="both"/>
      </w:pPr>
      <w:r>
        <w:rPr>
          <w:color w:val="000000"/>
        </w:rPr>
        <w:t>Для анализа (интерпретации) показателей бухгалтерской (финансовой) отчетности используют общепринятые приемы:</w:t>
      </w:r>
    </w:p>
    <w:p w:rsidR="00CA6C66" w:rsidRDefault="00CA6C66">
      <w:pPr>
        <w:numPr>
          <w:ilvl w:val="0"/>
          <w:numId w:val="17"/>
        </w:numPr>
        <w:shd w:val="clear" w:color="auto" w:fill="FFFFFF"/>
        <w:spacing w:line="360" w:lineRule="auto"/>
        <w:jc w:val="both"/>
      </w:pPr>
      <w:r>
        <w:rPr>
          <w:color w:val="000000"/>
        </w:rPr>
        <w:t xml:space="preserve">чтение отчетности; </w:t>
      </w:r>
    </w:p>
    <w:p w:rsidR="00CA6C66" w:rsidRDefault="00CA6C66">
      <w:pPr>
        <w:numPr>
          <w:ilvl w:val="0"/>
          <w:numId w:val="17"/>
        </w:numPr>
        <w:shd w:val="clear" w:color="auto" w:fill="FFFFFF"/>
        <w:spacing w:line="360" w:lineRule="auto"/>
        <w:jc w:val="both"/>
      </w:pPr>
      <w:r>
        <w:rPr>
          <w:color w:val="000000"/>
        </w:rPr>
        <w:t xml:space="preserve">вертикальный анализ; </w:t>
      </w:r>
    </w:p>
    <w:p w:rsidR="00CA6C66" w:rsidRDefault="00CA6C66">
      <w:pPr>
        <w:numPr>
          <w:ilvl w:val="0"/>
          <w:numId w:val="17"/>
        </w:numPr>
        <w:shd w:val="clear" w:color="auto" w:fill="FFFFFF"/>
        <w:spacing w:line="360" w:lineRule="auto"/>
        <w:jc w:val="both"/>
      </w:pPr>
      <w:r>
        <w:rPr>
          <w:color w:val="000000"/>
        </w:rPr>
        <w:t xml:space="preserve">горизонтальный анализ; </w:t>
      </w:r>
    </w:p>
    <w:p w:rsidR="00CA6C66" w:rsidRDefault="00CA6C66">
      <w:pPr>
        <w:numPr>
          <w:ilvl w:val="0"/>
          <w:numId w:val="17"/>
        </w:numPr>
        <w:shd w:val="clear" w:color="auto" w:fill="FFFFFF"/>
        <w:spacing w:line="360" w:lineRule="auto"/>
        <w:jc w:val="both"/>
      </w:pPr>
      <w:r>
        <w:rPr>
          <w:color w:val="000000"/>
        </w:rPr>
        <w:t xml:space="preserve">трендовый анализ; </w:t>
      </w:r>
    </w:p>
    <w:p w:rsidR="00CA6C66" w:rsidRDefault="00CA6C66">
      <w:pPr>
        <w:pStyle w:val="2"/>
        <w:numPr>
          <w:ilvl w:val="0"/>
          <w:numId w:val="17"/>
        </w:numPr>
      </w:pPr>
      <w:r>
        <w:t>расчет финансовых показателей.</w:t>
      </w:r>
    </w:p>
    <w:p w:rsidR="00CA6C66" w:rsidRDefault="00CA6C66">
      <w:pPr>
        <w:pStyle w:val="2"/>
      </w:pPr>
      <w:r>
        <w:t>Рассмотрим отдельные приемы анализа бухгалтерской (финансовой) отчетности на примере условного предприятия ОАО "Транс", занимающегося грузовыми перевозками.</w:t>
      </w:r>
    </w:p>
    <w:p w:rsidR="00CA6C66" w:rsidRDefault="00CA6C66">
      <w:pPr>
        <w:shd w:val="clear" w:color="auto" w:fill="FFFFFF"/>
        <w:spacing w:line="360" w:lineRule="auto"/>
        <w:ind w:firstLine="708"/>
        <w:jc w:val="both"/>
      </w:pPr>
      <w:r>
        <w:rPr>
          <w:color w:val="000000"/>
        </w:rPr>
        <w:t>Читая бухгалтерский баланс ОАО "Транс" (табл. 1), можно отметить, что предприятие по размеру является небольшим (уставный капитал - 10 тыс. руб.). Его активы представлены основными средствами, долгосрочными финансовыми вложениями, производственными запасами, денежными средствами на расчетном счете и дебиторской задолженностью. В составе средств, которыми располагает предприятие, преобладающую часть составляют основные средства. При этом в составе основных средств имеются в незначительном объеме непроизводственные фонды, результаты переоценки которых отражены в фонде социальной сферы (строка 440 пассива баланса). К концу года предприятие осуществило вложения в строительство основных средств, о чем свидетельствует остаток незавершенного строительства. Имевшиеся на начало периода в небольшом объеме нематериальные активы полностью списаны в течение года,</w:t>
      </w:r>
    </w:p>
    <w:p w:rsidR="00CA6C66" w:rsidRDefault="00CA6C66">
      <w:pPr>
        <w:shd w:val="clear" w:color="auto" w:fill="FFFFFF"/>
        <w:spacing w:line="360" w:lineRule="auto"/>
        <w:jc w:val="both"/>
      </w:pPr>
      <w:r>
        <w:rPr>
          <w:b/>
          <w:bCs/>
          <w:color w:val="000000"/>
        </w:rPr>
        <w:t>Таблица 1</w:t>
      </w:r>
    </w:p>
    <w:p w:rsidR="00CA6C66" w:rsidRDefault="00CA6C66">
      <w:pPr>
        <w:shd w:val="clear" w:color="auto" w:fill="FFFFFF"/>
        <w:spacing w:line="360" w:lineRule="auto"/>
        <w:jc w:val="both"/>
        <w:rPr>
          <w:b/>
          <w:bCs/>
          <w:color w:val="000000"/>
        </w:rPr>
      </w:pPr>
      <w:r>
        <w:rPr>
          <w:b/>
          <w:bCs/>
          <w:color w:val="000000"/>
        </w:rPr>
        <w:t>Бухгалтерский баланс ОАО "Транс" на 31 декабря ХХХХ г., тыс. руб.</w:t>
      </w:r>
    </w:p>
    <w:p w:rsidR="00CA6C66" w:rsidRDefault="00CA6C66">
      <w:pPr>
        <w:spacing w:line="360" w:lineRule="auto"/>
        <w:jc w:val="both"/>
        <w:rPr>
          <w:b/>
          <w:bCs/>
          <w:snapToGrid w:val="0"/>
        </w:rPr>
      </w:pPr>
    </w:p>
    <w:p w:rsidR="00CA6C66" w:rsidRDefault="00CA6C66">
      <w:pPr>
        <w:spacing w:line="360" w:lineRule="auto"/>
        <w:jc w:val="both"/>
        <w:rPr>
          <w:b/>
          <w:bCs/>
          <w:snapToGrid w:val="0"/>
        </w:rPr>
      </w:pPr>
    </w:p>
    <w:p w:rsidR="00CA6C66" w:rsidRDefault="00CA6C66">
      <w:pPr>
        <w:jc w:val="both"/>
        <w:rPr>
          <w:b/>
          <w:bCs/>
          <w:snapToGrid w:val="0"/>
        </w:rPr>
      </w:pPr>
      <w:r>
        <w:rPr>
          <w:b/>
          <w:bCs/>
          <w:snapToGrid w:val="0"/>
        </w:rPr>
        <w:t>Бухгалтерский баланс</w:t>
      </w:r>
    </w:p>
    <w:tbl>
      <w:tblPr>
        <w:tblW w:w="0" w:type="auto"/>
        <w:tblInd w:w="-142" w:type="dxa"/>
        <w:tblLayout w:type="fixed"/>
        <w:tblCellMar>
          <w:left w:w="40" w:type="dxa"/>
          <w:right w:w="40" w:type="dxa"/>
        </w:tblCellMar>
        <w:tblLook w:val="0000" w:firstRow="0" w:lastRow="0" w:firstColumn="0" w:lastColumn="0" w:noHBand="0" w:noVBand="0"/>
      </w:tblPr>
      <w:tblGrid>
        <w:gridCol w:w="7702"/>
        <w:gridCol w:w="646"/>
        <w:gridCol w:w="314"/>
        <w:gridCol w:w="332"/>
        <w:gridCol w:w="646"/>
      </w:tblGrid>
      <w:tr w:rsidR="00CA6C66">
        <w:tc>
          <w:tcPr>
            <w:tcW w:w="7702" w:type="dxa"/>
            <w:tcBorders>
              <w:top w:val="nil"/>
              <w:left w:val="nil"/>
              <w:bottom w:val="nil"/>
              <w:right w:val="single" w:sz="6" w:space="0" w:color="auto"/>
            </w:tcBorders>
          </w:tcPr>
          <w:p w:rsidR="00CA6C66" w:rsidRDefault="007F641D">
            <w:pPr>
              <w:rPr>
                <w:b/>
                <w:bCs/>
                <w:snapToGrid w:val="0"/>
                <w:color w:val="000000"/>
              </w:rPr>
            </w:pPr>
            <w:r>
              <w:rPr>
                <w:noProof/>
              </w:rPr>
              <w:pict>
                <v:shapetype id="_x0000_t202" coordsize="21600,21600" o:spt="202" path="m,l,21600r21600,l21600,xe">
                  <v:stroke joinstyle="miter"/>
                  <v:path gradientshapeok="t" o:connecttype="rect"/>
                </v:shapetype>
                <v:shape id="_x0000_s1026" type="#_x0000_t202" style="position:absolute;margin-left:277.5pt;margin-top:.65pt;width:13.65pt;height:13.4pt;z-index:251651584" o:allowincell="f" filled="f" stroked="f">
                  <v:textbox style="mso-next-textbox:#_x0000_s1026" inset="0,0,0,0">
                    <w:txbxContent>
                      <w:p w:rsidR="00CA6C66" w:rsidRDefault="00CA6C66">
                        <w:pPr>
                          <w:rPr>
                            <w:rFonts w:ascii="Arial" w:hAnsi="Arial" w:cs="Arial"/>
                            <w:b/>
                            <w:bCs/>
                            <w:sz w:val="20"/>
                            <w:szCs w:val="20"/>
                            <w:lang w:val="en-US"/>
                          </w:rPr>
                        </w:pPr>
                      </w:p>
                    </w:txbxContent>
                  </v:textbox>
                </v:shape>
              </w:pict>
            </w:r>
            <w:r>
              <w:rPr>
                <w:noProof/>
              </w:rPr>
              <w:pict>
                <v:shape id="_x0000_s1027" type="#_x0000_t202" style="position:absolute;margin-left:165pt;margin-top:-.35pt;width:95.1pt;height:14.4pt;z-index:251650560" o:allowincell="f" filled="f" stroked="f">
                  <v:textbox style="mso-next-textbox:#_x0000_s1027" inset="0,0,0,0">
                    <w:txbxContent>
                      <w:p w:rsidR="00CA6C66" w:rsidRDefault="00CA6C66">
                        <w:pPr>
                          <w:rPr>
                            <w:sz w:val="20"/>
                            <w:szCs w:val="20"/>
                          </w:rPr>
                        </w:pPr>
                      </w:p>
                    </w:txbxContent>
                  </v:textbox>
                </v:shape>
              </w:pict>
            </w:r>
            <w:r w:rsidR="00CA6C66">
              <w:rPr>
                <w:b/>
                <w:bCs/>
                <w:snapToGrid w:val="0"/>
                <w:color w:val="000000"/>
              </w:rPr>
              <w:t>на __________________20___ г.</w:t>
            </w:r>
          </w:p>
        </w:tc>
        <w:tc>
          <w:tcPr>
            <w:tcW w:w="1938" w:type="dxa"/>
            <w:gridSpan w:val="4"/>
            <w:tcBorders>
              <w:top w:val="single" w:sz="6"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Коды </w:t>
            </w:r>
          </w:p>
        </w:tc>
      </w:tr>
      <w:tr w:rsidR="00CA6C66">
        <w:tc>
          <w:tcPr>
            <w:tcW w:w="7702" w:type="dxa"/>
            <w:tcBorders>
              <w:top w:val="nil"/>
              <w:left w:val="nil"/>
              <w:bottom w:val="nil"/>
              <w:right w:val="nil"/>
            </w:tcBorders>
          </w:tcPr>
          <w:p w:rsidR="00CA6C66" w:rsidRDefault="00CA6C66">
            <w:pPr>
              <w:rPr>
                <w:snapToGrid w:val="0"/>
                <w:color w:val="000000"/>
              </w:rPr>
            </w:pPr>
            <w:r>
              <w:rPr>
                <w:snapToGrid w:val="0"/>
                <w:color w:val="000000"/>
              </w:rPr>
              <w:t xml:space="preserve">Форма № 1 по ОКУД </w:t>
            </w:r>
          </w:p>
        </w:tc>
        <w:tc>
          <w:tcPr>
            <w:tcW w:w="1938" w:type="dxa"/>
            <w:gridSpan w:val="4"/>
            <w:tcBorders>
              <w:top w:val="single" w:sz="12" w:space="0" w:color="auto"/>
              <w:left w:val="single" w:sz="12" w:space="0" w:color="auto"/>
              <w:bottom w:val="single" w:sz="6" w:space="0" w:color="auto"/>
              <w:right w:val="single" w:sz="12" w:space="0" w:color="auto"/>
            </w:tcBorders>
          </w:tcPr>
          <w:p w:rsidR="00CA6C66" w:rsidRDefault="00CA6C66">
            <w:pPr>
              <w:rPr>
                <w:snapToGrid w:val="0"/>
                <w:color w:val="000000"/>
              </w:rPr>
            </w:pPr>
            <w:r>
              <w:rPr>
                <w:snapToGrid w:val="0"/>
                <w:color w:val="000000"/>
              </w:rPr>
              <w:t>0710001</w:t>
            </w:r>
          </w:p>
        </w:tc>
      </w:tr>
      <w:tr w:rsidR="00CA6C66">
        <w:tc>
          <w:tcPr>
            <w:tcW w:w="7702" w:type="dxa"/>
            <w:tcBorders>
              <w:top w:val="nil"/>
              <w:left w:val="nil"/>
              <w:bottom w:val="nil"/>
              <w:right w:val="nil"/>
            </w:tcBorders>
          </w:tcPr>
          <w:p w:rsidR="00CA6C66" w:rsidRDefault="00CA6C66">
            <w:pPr>
              <w:rPr>
                <w:snapToGrid w:val="0"/>
                <w:color w:val="000000"/>
              </w:rPr>
            </w:pPr>
            <w:r>
              <w:rPr>
                <w:snapToGrid w:val="0"/>
                <w:color w:val="000000"/>
              </w:rPr>
              <w:t xml:space="preserve">Дата (год, месяц, число) </w:t>
            </w:r>
          </w:p>
        </w:tc>
        <w:tc>
          <w:tcPr>
            <w:tcW w:w="646" w:type="dxa"/>
            <w:tcBorders>
              <w:top w:val="single" w:sz="6" w:space="0" w:color="auto"/>
              <w:left w:val="single" w:sz="12" w:space="0" w:color="auto"/>
              <w:bottom w:val="single" w:sz="6" w:space="0" w:color="auto"/>
              <w:right w:val="nil"/>
            </w:tcBorders>
          </w:tcPr>
          <w:p w:rsidR="00CA6C66" w:rsidRDefault="00CA6C66">
            <w:pPr>
              <w:rPr>
                <w:snapToGrid w:val="0"/>
                <w:color w:val="000000"/>
              </w:rPr>
            </w:pPr>
          </w:p>
        </w:tc>
        <w:tc>
          <w:tcPr>
            <w:tcW w:w="646" w:type="dxa"/>
            <w:gridSpan w:val="2"/>
            <w:tcBorders>
              <w:top w:val="single" w:sz="6" w:space="0" w:color="auto"/>
              <w:left w:val="single" w:sz="4" w:space="0" w:color="auto"/>
              <w:bottom w:val="single" w:sz="6" w:space="0" w:color="auto"/>
              <w:right w:val="single" w:sz="4" w:space="0" w:color="auto"/>
            </w:tcBorders>
          </w:tcPr>
          <w:p w:rsidR="00CA6C66" w:rsidRDefault="00CA6C66">
            <w:pPr>
              <w:rPr>
                <w:snapToGrid w:val="0"/>
                <w:color w:val="000000"/>
              </w:rPr>
            </w:pPr>
          </w:p>
        </w:tc>
        <w:tc>
          <w:tcPr>
            <w:tcW w:w="646" w:type="dxa"/>
            <w:tcBorders>
              <w:top w:val="single" w:sz="6" w:space="0" w:color="auto"/>
              <w:left w:val="nil"/>
              <w:bottom w:val="single" w:sz="6" w:space="0" w:color="auto"/>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28" type="#_x0000_t202" style="position:absolute;margin-left:51.3pt;margin-top:-.35pt;width:273.6pt;height:13.65pt;z-index:251652608;mso-position-horizontal-relative:text;mso-position-vertical-relative:text" o:allowincell="f" filled="f" stroked="f">
                  <v:textbox style="mso-next-textbox:#_x0000_s1028" inset="0,0,0,0">
                    <w:txbxContent>
                      <w:p w:rsidR="00CA6C66" w:rsidRDefault="00CA6C66">
                        <w:pPr>
                          <w:rPr>
                            <w:sz w:val="20"/>
                            <w:szCs w:val="20"/>
                          </w:rPr>
                        </w:pPr>
                      </w:p>
                    </w:txbxContent>
                  </v:textbox>
                </v:shape>
              </w:pict>
            </w:r>
            <w:r w:rsidR="00CA6C66">
              <w:rPr>
                <w:snapToGrid w:val="0"/>
                <w:color w:val="000000"/>
              </w:rPr>
              <w:t xml:space="preserve">Организация _______________________________________________________ по ОКПО </w:t>
            </w:r>
          </w:p>
        </w:tc>
        <w:tc>
          <w:tcPr>
            <w:tcW w:w="1938" w:type="dxa"/>
            <w:gridSpan w:val="4"/>
            <w:tcBorders>
              <w:top w:val="single" w:sz="6" w:space="0" w:color="auto"/>
              <w:left w:val="single" w:sz="12" w:space="0" w:color="auto"/>
              <w:bottom w:val="single" w:sz="6" w:space="0" w:color="auto"/>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29" type="#_x0000_t202" style="position:absolute;margin-left:75.15pt;margin-top:12pt;width:257.7pt;height:14.4pt;z-index:251654656;mso-position-horizontal-relative:text;mso-position-vertical-relative:text" o:allowincell="f" filled="f" stroked="f">
                  <v:textbox style="mso-next-textbox:#_x0000_s1029" inset="0,0,0,0">
                    <w:txbxContent>
                      <w:p w:rsidR="00CA6C66" w:rsidRDefault="00CA6C66">
                        <w:pPr>
                          <w:rPr>
                            <w:sz w:val="20"/>
                            <w:szCs w:val="20"/>
                          </w:rPr>
                        </w:pPr>
                      </w:p>
                    </w:txbxContent>
                  </v:textbox>
                </v:shape>
              </w:pict>
            </w:r>
            <w:r>
              <w:rPr>
                <w:noProof/>
              </w:rPr>
              <w:pict>
                <v:shape id="_x0000_s1030" type="#_x0000_t202" style="position:absolute;margin-left:202.5pt;margin-top:.3pt;width:151.95pt;height:12.15pt;z-index:251653632;mso-position-horizontal-relative:text;mso-position-vertical-relative:text" o:allowincell="f" filled="f" stroked="f">
                  <v:textbox style="mso-next-textbox:#_x0000_s1030" inset="0,0,0,0">
                    <w:txbxContent>
                      <w:p w:rsidR="00CA6C66" w:rsidRDefault="00CA6C66">
                        <w:pPr>
                          <w:rPr>
                            <w:sz w:val="20"/>
                            <w:szCs w:val="20"/>
                          </w:rPr>
                        </w:pPr>
                      </w:p>
                    </w:txbxContent>
                  </v:textbox>
                </v:shape>
              </w:pict>
            </w:r>
            <w:r w:rsidR="00CA6C66">
              <w:rPr>
                <w:snapToGrid w:val="0"/>
                <w:color w:val="000000"/>
              </w:rPr>
              <w:t xml:space="preserve">Идентификационный номер налогоплательщика ______________________________ИНН </w:t>
            </w:r>
          </w:p>
        </w:tc>
        <w:tc>
          <w:tcPr>
            <w:tcW w:w="1938" w:type="dxa"/>
            <w:gridSpan w:val="4"/>
            <w:tcBorders>
              <w:top w:val="single" w:sz="6" w:space="0" w:color="auto"/>
              <w:left w:val="single" w:sz="12" w:space="0" w:color="auto"/>
              <w:bottom w:val="single" w:sz="6" w:space="0" w:color="auto"/>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CA6C66">
            <w:pPr>
              <w:rPr>
                <w:snapToGrid w:val="0"/>
                <w:color w:val="000000"/>
              </w:rPr>
            </w:pPr>
            <w:r>
              <w:rPr>
                <w:snapToGrid w:val="0"/>
                <w:color w:val="000000"/>
              </w:rPr>
              <w:t xml:space="preserve">Вид деятельности  ___________________________________________________по ОКДП </w:t>
            </w:r>
          </w:p>
        </w:tc>
        <w:tc>
          <w:tcPr>
            <w:tcW w:w="1938" w:type="dxa"/>
            <w:gridSpan w:val="4"/>
            <w:tcBorders>
              <w:top w:val="single" w:sz="6" w:space="0" w:color="auto"/>
              <w:left w:val="single" w:sz="12" w:space="0" w:color="auto"/>
              <w:bottom w:val="single" w:sz="6" w:space="0" w:color="auto"/>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31" type="#_x0000_t202" style="position:absolute;margin-left:238.5pt;margin-top:-.35pt;width:129.6pt;height:12.15pt;z-index:251655680;mso-position-horizontal-relative:text;mso-position-vertical-relative:text" o:allowincell="f" filled="f" stroked="f">
                  <v:textbox style="mso-next-textbox:#_x0000_s1031" inset="0,0,0,0">
                    <w:txbxContent>
                      <w:p w:rsidR="00CA6C66" w:rsidRDefault="00CA6C66">
                        <w:pPr>
                          <w:rPr>
                            <w:sz w:val="20"/>
                            <w:szCs w:val="20"/>
                          </w:rPr>
                        </w:pPr>
                      </w:p>
                    </w:txbxContent>
                  </v:textbox>
                </v:shape>
              </w:pict>
            </w:r>
            <w:r w:rsidR="00CA6C66">
              <w:rPr>
                <w:snapToGrid w:val="0"/>
                <w:color w:val="000000"/>
              </w:rPr>
              <w:t>Организационно-правовая форма / форма собственности ___________________________</w:t>
            </w:r>
          </w:p>
        </w:tc>
        <w:tc>
          <w:tcPr>
            <w:tcW w:w="960" w:type="dxa"/>
            <w:gridSpan w:val="2"/>
            <w:tcBorders>
              <w:top w:val="single" w:sz="6" w:space="0" w:color="auto"/>
              <w:left w:val="single" w:sz="12" w:space="0" w:color="auto"/>
              <w:bottom w:val="nil"/>
              <w:right w:val="single" w:sz="4" w:space="0" w:color="auto"/>
            </w:tcBorders>
          </w:tcPr>
          <w:p w:rsidR="00CA6C66" w:rsidRDefault="00CA6C66">
            <w:pPr>
              <w:rPr>
                <w:snapToGrid w:val="0"/>
                <w:color w:val="000000"/>
              </w:rPr>
            </w:pPr>
          </w:p>
        </w:tc>
        <w:tc>
          <w:tcPr>
            <w:tcW w:w="978" w:type="dxa"/>
            <w:gridSpan w:val="2"/>
            <w:tcBorders>
              <w:top w:val="single" w:sz="6" w:space="0" w:color="auto"/>
              <w:left w:val="single" w:sz="4" w:space="0" w:color="auto"/>
              <w:bottom w:val="nil"/>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32" type="#_x0000_t202" style="position:absolute;margin-left:-5.55pt;margin-top:-.45pt;width:294.45pt;height:12.45pt;z-index:251656704;mso-position-horizontal-relative:text;mso-position-vertical-relative:text" o:allowincell="f" filled="f" stroked="f">
                  <v:textbox style="mso-next-textbox:#_x0000_s1032" inset="0,0,0,0">
                    <w:txbxContent>
                      <w:p w:rsidR="00CA6C66" w:rsidRDefault="00CA6C66">
                        <w:pPr>
                          <w:rPr>
                            <w:sz w:val="20"/>
                            <w:szCs w:val="20"/>
                          </w:rPr>
                        </w:pPr>
                      </w:p>
                    </w:txbxContent>
                  </v:textbox>
                </v:shape>
              </w:pict>
            </w:r>
            <w:r w:rsidR="00CA6C66">
              <w:rPr>
                <w:snapToGrid w:val="0"/>
                <w:color w:val="000000"/>
              </w:rPr>
              <w:t xml:space="preserve">___________________________________________________________по ОКОПФ / ОКФС </w:t>
            </w:r>
          </w:p>
        </w:tc>
        <w:tc>
          <w:tcPr>
            <w:tcW w:w="960" w:type="dxa"/>
            <w:gridSpan w:val="2"/>
            <w:tcBorders>
              <w:top w:val="nil"/>
              <w:left w:val="single" w:sz="12" w:space="0" w:color="auto"/>
              <w:bottom w:val="single" w:sz="6" w:space="0" w:color="auto"/>
              <w:right w:val="single" w:sz="4" w:space="0" w:color="auto"/>
            </w:tcBorders>
          </w:tcPr>
          <w:p w:rsidR="00CA6C66" w:rsidRDefault="00CA6C66">
            <w:pPr>
              <w:rPr>
                <w:snapToGrid w:val="0"/>
                <w:color w:val="000000"/>
              </w:rPr>
            </w:pPr>
          </w:p>
        </w:tc>
        <w:tc>
          <w:tcPr>
            <w:tcW w:w="978" w:type="dxa"/>
            <w:gridSpan w:val="2"/>
            <w:tcBorders>
              <w:top w:val="nil"/>
              <w:left w:val="single" w:sz="4" w:space="0" w:color="auto"/>
              <w:bottom w:val="single" w:sz="6" w:space="0" w:color="auto"/>
              <w:right w:val="single" w:sz="12" w:space="0" w:color="auto"/>
            </w:tcBorders>
          </w:tcPr>
          <w:p w:rsidR="00CA6C66" w:rsidRDefault="00CA6C66">
            <w:pPr>
              <w:rPr>
                <w:snapToGrid w:val="0"/>
                <w:color w:val="000000"/>
              </w:rPr>
            </w:pPr>
          </w:p>
        </w:tc>
      </w:tr>
      <w:tr w:rsidR="00CA6C66">
        <w:tc>
          <w:tcPr>
            <w:tcW w:w="7702" w:type="dxa"/>
            <w:tcBorders>
              <w:top w:val="nil"/>
              <w:left w:val="nil"/>
              <w:bottom w:val="nil"/>
              <w:right w:val="nil"/>
            </w:tcBorders>
          </w:tcPr>
          <w:p w:rsidR="00CA6C66" w:rsidRDefault="00CA6C66">
            <w:pPr>
              <w:tabs>
                <w:tab w:val="left" w:pos="6765"/>
              </w:tabs>
              <w:rPr>
                <w:snapToGrid w:val="0"/>
                <w:color w:val="000000"/>
              </w:rPr>
            </w:pPr>
            <w:r>
              <w:rPr>
                <w:snapToGrid w:val="0"/>
                <w:color w:val="000000"/>
              </w:rPr>
              <w:t xml:space="preserve">Единица измерения: тыс. руб. / млн руб. (ненужное зачеркнуть) </w:t>
            </w:r>
            <w:r>
              <w:rPr>
                <w:snapToGrid w:val="0"/>
                <w:color w:val="000000"/>
              </w:rPr>
              <w:tab/>
              <w:t xml:space="preserve"> по ОКЕИ </w:t>
            </w:r>
          </w:p>
        </w:tc>
        <w:tc>
          <w:tcPr>
            <w:tcW w:w="1938" w:type="dxa"/>
            <w:gridSpan w:val="4"/>
            <w:tcBorders>
              <w:top w:val="single" w:sz="6" w:space="0" w:color="auto"/>
              <w:left w:val="single" w:sz="12" w:space="0" w:color="auto"/>
              <w:bottom w:val="single" w:sz="12" w:space="0" w:color="auto"/>
              <w:right w:val="single" w:sz="12" w:space="0" w:color="auto"/>
            </w:tcBorders>
          </w:tcPr>
          <w:p w:rsidR="00CA6C66" w:rsidRDefault="00CA6C66">
            <w:pPr>
              <w:rPr>
                <w:snapToGrid w:val="0"/>
                <w:color w:val="000000"/>
              </w:rPr>
            </w:pPr>
            <w:r>
              <w:rPr>
                <w:snapToGrid w:val="0"/>
                <w:color w:val="000000"/>
              </w:rPr>
              <w:t>384/385</w:t>
            </w: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33" type="#_x0000_t202" style="position:absolute;margin-left:22.95pt;margin-top:.4pt;width:345.15pt;height:13.2pt;z-index:251657728;mso-position-horizontal-relative:text;mso-position-vertical-relative:text" o:allowincell="f" filled="f" stroked="f">
                  <v:textbox style="mso-next-textbox:#_x0000_s1033" inset="0,0,0,0">
                    <w:txbxContent>
                      <w:p w:rsidR="00CA6C66" w:rsidRDefault="00CA6C66">
                        <w:pPr>
                          <w:rPr>
                            <w:sz w:val="20"/>
                            <w:szCs w:val="20"/>
                          </w:rPr>
                        </w:pPr>
                      </w:p>
                    </w:txbxContent>
                  </v:textbox>
                </v:shape>
              </w:pict>
            </w:r>
            <w:r w:rsidR="00CA6C66">
              <w:rPr>
                <w:snapToGrid w:val="0"/>
                <w:color w:val="000000"/>
              </w:rPr>
              <w:t>Адрес ______________________________________________________________________</w:t>
            </w:r>
          </w:p>
        </w:tc>
        <w:tc>
          <w:tcPr>
            <w:tcW w:w="1938" w:type="dxa"/>
            <w:gridSpan w:val="4"/>
            <w:tcBorders>
              <w:top w:val="nil"/>
              <w:left w:val="nil"/>
              <w:bottom w:val="nil"/>
              <w:right w:val="nil"/>
            </w:tcBorders>
          </w:tcPr>
          <w:p w:rsidR="00CA6C66" w:rsidRDefault="00CA6C66">
            <w:pPr>
              <w:rPr>
                <w:snapToGrid w:val="0"/>
                <w:color w:val="000000"/>
              </w:rPr>
            </w:pPr>
            <w:r>
              <w:rPr>
                <w:snapToGrid w:val="0"/>
                <w:color w:val="000000"/>
              </w:rPr>
              <w:t xml:space="preserve"> </w:t>
            </w:r>
          </w:p>
        </w:tc>
      </w:tr>
      <w:tr w:rsidR="00CA6C66">
        <w:tc>
          <w:tcPr>
            <w:tcW w:w="7702" w:type="dxa"/>
            <w:tcBorders>
              <w:top w:val="nil"/>
              <w:left w:val="nil"/>
              <w:bottom w:val="nil"/>
              <w:right w:val="nil"/>
            </w:tcBorders>
          </w:tcPr>
          <w:p w:rsidR="00CA6C66" w:rsidRDefault="007F641D">
            <w:pPr>
              <w:rPr>
                <w:snapToGrid w:val="0"/>
                <w:color w:val="000000"/>
              </w:rPr>
            </w:pPr>
            <w:r>
              <w:rPr>
                <w:noProof/>
              </w:rPr>
              <w:pict>
                <v:shape id="_x0000_s1034" type="#_x0000_t202" style="position:absolute;margin-left:-5.55pt;margin-top:-.45pt;width:380.85pt;height:11.7pt;z-index:251658752;mso-position-horizontal-relative:text;mso-position-vertical-relative:text" o:allowincell="f" filled="f" stroked="f">
                  <v:textbox style="mso-next-textbox:#_x0000_s1034" inset="0,0,0,0">
                    <w:txbxContent>
                      <w:p w:rsidR="00CA6C66" w:rsidRDefault="00CA6C66">
                        <w:pPr>
                          <w:rPr>
                            <w:sz w:val="20"/>
                            <w:szCs w:val="20"/>
                          </w:rPr>
                        </w:pPr>
                      </w:p>
                    </w:txbxContent>
                  </v:textbox>
                </v:shape>
              </w:pict>
            </w:r>
            <w:r w:rsidR="00CA6C66">
              <w:rPr>
                <w:snapToGrid w:val="0"/>
                <w:color w:val="000000"/>
              </w:rPr>
              <w:t>____________________________________________________________________________</w:t>
            </w:r>
          </w:p>
        </w:tc>
        <w:tc>
          <w:tcPr>
            <w:tcW w:w="1938" w:type="dxa"/>
            <w:gridSpan w:val="4"/>
            <w:tcBorders>
              <w:top w:val="nil"/>
              <w:left w:val="nil"/>
              <w:bottom w:val="nil"/>
              <w:right w:val="nil"/>
            </w:tcBorders>
          </w:tcPr>
          <w:p w:rsidR="00CA6C66" w:rsidRDefault="00CA6C66">
            <w:pPr>
              <w:rPr>
                <w:snapToGrid w:val="0"/>
                <w:color w:val="000000"/>
              </w:rPr>
            </w:pPr>
            <w:r>
              <w:rPr>
                <w:snapToGrid w:val="0"/>
                <w:color w:val="000000"/>
              </w:rPr>
              <w:t xml:space="preserve"> </w:t>
            </w:r>
          </w:p>
        </w:tc>
      </w:tr>
      <w:tr w:rsidR="00CA6C66">
        <w:tc>
          <w:tcPr>
            <w:tcW w:w="7702" w:type="dxa"/>
            <w:tcBorders>
              <w:top w:val="nil"/>
              <w:left w:val="nil"/>
              <w:bottom w:val="nil"/>
              <w:right w:val="nil"/>
            </w:tcBorders>
          </w:tcPr>
          <w:p w:rsidR="00CA6C66" w:rsidRDefault="00CA6C66">
            <w:pPr>
              <w:rPr>
                <w:snapToGrid w:val="0"/>
                <w:color w:val="000000"/>
              </w:rPr>
            </w:pPr>
            <w:r>
              <w:rPr>
                <w:snapToGrid w:val="0"/>
                <w:color w:val="000000"/>
              </w:rPr>
              <w:t xml:space="preserve">Дата утверждения </w:t>
            </w:r>
          </w:p>
        </w:tc>
        <w:tc>
          <w:tcPr>
            <w:tcW w:w="1938" w:type="dxa"/>
            <w:gridSpan w:val="4"/>
            <w:tcBorders>
              <w:top w:val="single" w:sz="12" w:space="0" w:color="auto"/>
              <w:left w:val="single" w:sz="12"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c>
          <w:tcPr>
            <w:tcW w:w="7702" w:type="dxa"/>
            <w:tcBorders>
              <w:top w:val="nil"/>
              <w:left w:val="nil"/>
              <w:bottom w:val="nil"/>
              <w:right w:val="nil"/>
            </w:tcBorders>
          </w:tcPr>
          <w:p w:rsidR="00CA6C66" w:rsidRDefault="00CA6C66">
            <w:pPr>
              <w:rPr>
                <w:snapToGrid w:val="0"/>
                <w:color w:val="000000"/>
              </w:rPr>
            </w:pPr>
            <w:r>
              <w:rPr>
                <w:snapToGrid w:val="0"/>
                <w:color w:val="000000"/>
              </w:rPr>
              <w:t xml:space="preserve">Дата отправки (принятия) </w:t>
            </w:r>
          </w:p>
        </w:tc>
        <w:tc>
          <w:tcPr>
            <w:tcW w:w="1938" w:type="dxa"/>
            <w:gridSpan w:val="4"/>
            <w:tcBorders>
              <w:top w:val="single" w:sz="6" w:space="0" w:color="auto"/>
              <w:left w:val="single" w:sz="12" w:space="0" w:color="auto"/>
              <w:bottom w:val="single" w:sz="12" w:space="0" w:color="auto"/>
              <w:right w:val="single" w:sz="12" w:space="0" w:color="auto"/>
            </w:tcBorders>
          </w:tcPr>
          <w:p w:rsidR="00CA6C66" w:rsidRDefault="00CA6C66">
            <w:pPr>
              <w:rPr>
                <w:snapToGrid w:val="0"/>
                <w:color w:val="000000"/>
              </w:rPr>
            </w:pPr>
            <w:r>
              <w:rPr>
                <w:snapToGrid w:val="0"/>
                <w:color w:val="000000"/>
              </w:rPr>
              <w:t xml:space="preserve"> </w:t>
            </w:r>
          </w:p>
        </w:tc>
      </w:tr>
    </w:tbl>
    <w:p w:rsidR="00CA6C66" w:rsidRDefault="00CA6C66">
      <w:pPr>
        <w:rPr>
          <w:b/>
          <w:bCs/>
          <w:snapToGrid w:val="0"/>
        </w:rPr>
      </w:pPr>
    </w:p>
    <w:tbl>
      <w:tblPr>
        <w:tblW w:w="9569" w:type="dxa"/>
        <w:tblInd w:w="-79" w:type="dxa"/>
        <w:tblLayout w:type="fixed"/>
        <w:tblCellMar>
          <w:left w:w="71" w:type="dxa"/>
          <w:right w:w="71" w:type="dxa"/>
        </w:tblCellMar>
        <w:tblLook w:val="0000" w:firstRow="0" w:lastRow="0" w:firstColumn="0" w:lastColumn="0" w:noHBand="0" w:noVBand="0"/>
      </w:tblPr>
      <w:tblGrid>
        <w:gridCol w:w="5459"/>
        <w:gridCol w:w="20"/>
        <w:gridCol w:w="690"/>
        <w:gridCol w:w="10"/>
        <w:gridCol w:w="1690"/>
        <w:gridCol w:w="12"/>
        <w:gridCol w:w="1688"/>
      </w:tblGrid>
      <w:tr w:rsidR="00CA6C66">
        <w:tc>
          <w:tcPr>
            <w:tcW w:w="5460" w:type="dxa"/>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Актив </w:t>
            </w:r>
          </w:p>
        </w:tc>
        <w:tc>
          <w:tcPr>
            <w:tcW w:w="707" w:type="dxa"/>
            <w:gridSpan w:val="2"/>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Код строки </w:t>
            </w:r>
          </w:p>
        </w:tc>
        <w:tc>
          <w:tcPr>
            <w:tcW w:w="1713" w:type="dxa"/>
            <w:gridSpan w:val="3"/>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На начало отчетного года </w:t>
            </w:r>
          </w:p>
        </w:tc>
        <w:tc>
          <w:tcPr>
            <w:tcW w:w="1689" w:type="dxa"/>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На конец отчетного периода </w:t>
            </w:r>
          </w:p>
        </w:tc>
      </w:tr>
      <w:tr w:rsidR="00CA6C66">
        <w:tc>
          <w:tcPr>
            <w:tcW w:w="5460" w:type="dxa"/>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1 </w:t>
            </w:r>
          </w:p>
        </w:tc>
        <w:tc>
          <w:tcPr>
            <w:tcW w:w="707" w:type="dxa"/>
            <w:gridSpan w:val="2"/>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2 </w:t>
            </w:r>
          </w:p>
        </w:tc>
        <w:tc>
          <w:tcPr>
            <w:tcW w:w="1713" w:type="dxa"/>
            <w:gridSpan w:val="3"/>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3</w:t>
            </w:r>
          </w:p>
        </w:tc>
        <w:tc>
          <w:tcPr>
            <w:tcW w:w="1689" w:type="dxa"/>
            <w:tcBorders>
              <w:top w:val="single" w:sz="4"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 xml:space="preserve">4 </w:t>
            </w:r>
          </w:p>
        </w:tc>
      </w:tr>
      <w:tr w:rsidR="00CA6C66">
        <w:tc>
          <w:tcPr>
            <w:tcW w:w="5460" w:type="dxa"/>
            <w:tcBorders>
              <w:top w:val="single" w:sz="6" w:space="0" w:color="auto"/>
              <w:left w:val="single" w:sz="6" w:space="0" w:color="auto"/>
              <w:bottom w:val="single" w:sz="4" w:space="0" w:color="auto"/>
              <w:right w:val="nil"/>
            </w:tcBorders>
          </w:tcPr>
          <w:p w:rsidR="00CA6C66" w:rsidRDefault="00CA6C66">
            <w:pPr>
              <w:rPr>
                <w:b/>
                <w:bCs/>
                <w:snapToGrid w:val="0"/>
                <w:color w:val="000000"/>
              </w:rPr>
            </w:pPr>
            <w:r>
              <w:rPr>
                <w:b/>
                <w:bCs/>
                <w:snapToGrid w:val="0"/>
                <w:color w:val="000000"/>
                <w:lang w:val="en-US"/>
              </w:rPr>
              <w:t>I</w:t>
            </w:r>
            <w:r>
              <w:rPr>
                <w:b/>
                <w:bCs/>
                <w:snapToGrid w:val="0"/>
                <w:color w:val="000000"/>
              </w:rPr>
              <w:t>.  ВНЕОБОРОТНЫЕ АКТИВЫ</w:t>
            </w:r>
          </w:p>
          <w:p w:rsidR="00CA6C66" w:rsidRDefault="00CA6C66">
            <w:pPr>
              <w:rPr>
                <w:snapToGrid w:val="0"/>
                <w:color w:val="000000"/>
              </w:rPr>
            </w:pPr>
            <w:r>
              <w:rPr>
                <w:snapToGrid w:val="0"/>
                <w:color w:val="000000"/>
              </w:rPr>
              <w:t xml:space="preserve">Нематериальные активы (04, 05) </w:t>
            </w:r>
          </w:p>
        </w:tc>
        <w:tc>
          <w:tcPr>
            <w:tcW w:w="707" w:type="dxa"/>
            <w:gridSpan w:val="2"/>
            <w:tcBorders>
              <w:top w:val="double" w:sz="4"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110</w:t>
            </w:r>
          </w:p>
        </w:tc>
        <w:tc>
          <w:tcPr>
            <w:tcW w:w="1713" w:type="dxa"/>
            <w:gridSpan w:val="3"/>
            <w:tcBorders>
              <w:top w:val="double" w:sz="4" w:space="0" w:color="auto"/>
              <w:left w:val="single" w:sz="6" w:space="0" w:color="auto"/>
              <w:bottom w:val="single" w:sz="6" w:space="0" w:color="auto"/>
              <w:right w:val="single" w:sz="6" w:space="0" w:color="auto"/>
            </w:tcBorders>
          </w:tcPr>
          <w:p w:rsidR="00CA6C66" w:rsidRDefault="00CA6C66">
            <w:pPr>
              <w:rPr>
                <w:snapToGrid w:val="0"/>
                <w:color w:val="000000"/>
              </w:rPr>
            </w:pPr>
          </w:p>
          <w:p w:rsidR="00CA6C66" w:rsidRDefault="00CA6C66">
            <w:pPr>
              <w:rPr>
                <w:snapToGrid w:val="0"/>
                <w:color w:val="000000"/>
              </w:rPr>
            </w:pPr>
            <w:r>
              <w:rPr>
                <w:snapToGrid w:val="0"/>
                <w:color w:val="000000"/>
              </w:rPr>
              <w:t>3</w:t>
            </w:r>
          </w:p>
        </w:tc>
        <w:tc>
          <w:tcPr>
            <w:tcW w:w="1689" w:type="dxa"/>
            <w:tcBorders>
              <w:top w:val="double" w:sz="4" w:space="0" w:color="auto"/>
              <w:left w:val="single" w:sz="6" w:space="0" w:color="auto"/>
              <w:bottom w:val="single" w:sz="6" w:space="0" w:color="auto"/>
              <w:right w:val="double" w:sz="4" w:space="0" w:color="auto"/>
            </w:tcBorders>
          </w:tcPr>
          <w:p w:rsidR="00CA6C66" w:rsidRDefault="00CA6C66">
            <w:pPr>
              <w:rPr>
                <w:snapToGrid w:val="0"/>
                <w:color w:val="000000"/>
              </w:rPr>
            </w:pPr>
          </w:p>
          <w:p w:rsidR="00CA6C66" w:rsidRDefault="00CA6C66">
            <w:pPr>
              <w:rPr>
                <w:snapToGrid w:val="0"/>
                <w:color w:val="000000"/>
              </w:rPr>
            </w:pPr>
            <w:r>
              <w:rPr>
                <w:snapToGrid w:val="0"/>
                <w:color w:val="000000"/>
              </w:rPr>
              <w:t>-</w:t>
            </w:r>
          </w:p>
        </w:tc>
      </w:tr>
      <w:tr w:rsidR="00CA6C66">
        <w:tc>
          <w:tcPr>
            <w:tcW w:w="5460" w:type="dxa"/>
            <w:tcBorders>
              <w:top w:val="single" w:sz="4"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 xml:space="preserve">в том числе: </w:t>
            </w:r>
            <w:r>
              <w:rPr>
                <w:snapToGrid w:val="0"/>
                <w:color w:val="000000"/>
              </w:rPr>
              <w:br/>
              <w:t xml:space="preserve">патенты, лицензии, товарные знаки (знаки обслуживания), иные аналогичные с перечисленными права и активы </w:t>
            </w:r>
          </w:p>
        </w:tc>
        <w:tc>
          <w:tcPr>
            <w:tcW w:w="707"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111</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p>
          <w:p w:rsidR="00CA6C66" w:rsidRDefault="00CA6C66">
            <w:pPr>
              <w:rPr>
                <w:snapToGrid w:val="0"/>
                <w:color w:val="000000"/>
              </w:rPr>
            </w:pPr>
            <w:r>
              <w:rPr>
                <w:snapToGrid w:val="0"/>
                <w:color w:val="000000"/>
              </w:rPr>
              <w:t>3</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p>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организационные расходы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112</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деловая репутация организации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113</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Основные средства (01, 02, 03)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120</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6692</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6435</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ind w:firstLine="426"/>
              <w:rPr>
                <w:snapToGrid w:val="0"/>
                <w:color w:val="000000"/>
              </w:rPr>
            </w:pPr>
            <w:r>
              <w:rPr>
                <w:snapToGrid w:val="0"/>
                <w:color w:val="000000"/>
              </w:rPr>
              <w:tab/>
              <w:t xml:space="preserve">в том числе: </w:t>
            </w:r>
            <w:r>
              <w:rPr>
                <w:snapToGrid w:val="0"/>
                <w:color w:val="000000"/>
              </w:rPr>
              <w:br/>
              <w:t xml:space="preserve">земельные участки и объекты природопользования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br/>
              <w:t>121</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ind w:firstLine="426"/>
              <w:rPr>
                <w:snapToGrid w:val="0"/>
                <w:color w:val="000000"/>
              </w:rPr>
            </w:pPr>
            <w:r>
              <w:rPr>
                <w:snapToGrid w:val="0"/>
                <w:color w:val="000000"/>
              </w:rPr>
              <w:t xml:space="preserve">здания, машины и оборудование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122</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6692</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6435</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Незавершенное строительство (07, 08, 16, 61)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130</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151</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Доходные вложения в материальные ценности (03)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135</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ind w:firstLine="426"/>
              <w:rPr>
                <w:snapToGrid w:val="0"/>
                <w:color w:val="000000"/>
              </w:rPr>
            </w:pPr>
            <w:r>
              <w:rPr>
                <w:snapToGrid w:val="0"/>
                <w:color w:val="000000"/>
              </w:rPr>
              <w:tab/>
              <w:t xml:space="preserve">в том числе: </w:t>
            </w:r>
            <w:r>
              <w:rPr>
                <w:snapToGrid w:val="0"/>
                <w:color w:val="000000"/>
              </w:rPr>
              <w:br/>
              <w:t xml:space="preserve">имущество для передачи в лизинг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br/>
              <w:t>136</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rPr>
          <w:trHeight w:val="217"/>
        </w:trPr>
        <w:tc>
          <w:tcPr>
            <w:tcW w:w="5460" w:type="dxa"/>
            <w:tcBorders>
              <w:top w:val="single" w:sz="6" w:space="0" w:color="auto"/>
              <w:left w:val="single" w:sz="6" w:space="0" w:color="auto"/>
              <w:bottom w:val="single" w:sz="6" w:space="0" w:color="auto"/>
              <w:right w:val="nil"/>
            </w:tcBorders>
          </w:tcPr>
          <w:p w:rsidR="00CA6C66" w:rsidRDefault="00CA6C66">
            <w:pPr>
              <w:ind w:firstLine="426"/>
              <w:rPr>
                <w:snapToGrid w:val="0"/>
                <w:color w:val="000000"/>
              </w:rPr>
            </w:pPr>
            <w:r>
              <w:rPr>
                <w:snapToGrid w:val="0"/>
                <w:color w:val="000000"/>
              </w:rPr>
              <w:t xml:space="preserve">имущество, предоставляемое по договору проката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137</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Долгосрочные финансовые вложения (06, 82)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140</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14</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14</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 xml:space="preserve">в том числе: </w:t>
            </w:r>
            <w:r>
              <w:rPr>
                <w:snapToGrid w:val="0"/>
                <w:color w:val="000000"/>
              </w:rPr>
              <w:br/>
              <w:t xml:space="preserve">инвестиции в дочерние общества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br/>
              <w:t>141</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инвестиции в зависимые общества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142</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инвестиции в другие организации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143</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займы, предоставленные организациям на срок более 12 месяцев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144</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долгосрочные финансовые вложения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145</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14</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14</w:t>
            </w:r>
          </w:p>
        </w:tc>
      </w:tr>
      <w:tr w:rsidR="00CA6C66">
        <w:tc>
          <w:tcPr>
            <w:tcW w:w="5460" w:type="dxa"/>
            <w:tcBorders>
              <w:top w:val="single" w:sz="6" w:space="0" w:color="auto"/>
              <w:left w:val="single" w:sz="6" w:space="0" w:color="auto"/>
              <w:bottom w:val="nil"/>
              <w:right w:val="nil"/>
            </w:tcBorders>
          </w:tcPr>
          <w:p w:rsidR="00CA6C66" w:rsidRDefault="00CA6C66">
            <w:pPr>
              <w:rPr>
                <w:snapToGrid w:val="0"/>
                <w:color w:val="000000"/>
              </w:rPr>
            </w:pPr>
            <w:r>
              <w:rPr>
                <w:snapToGrid w:val="0"/>
                <w:color w:val="000000"/>
              </w:rPr>
              <w:t xml:space="preserve">Прочие внеоборотные активы </w:t>
            </w:r>
          </w:p>
        </w:tc>
        <w:tc>
          <w:tcPr>
            <w:tcW w:w="707" w:type="dxa"/>
            <w:gridSpan w:val="2"/>
            <w:tcBorders>
              <w:top w:val="single" w:sz="6" w:space="0" w:color="auto"/>
              <w:left w:val="doub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150</w:t>
            </w:r>
          </w:p>
        </w:tc>
        <w:tc>
          <w:tcPr>
            <w:tcW w:w="1713"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689" w:type="dxa"/>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60" w:type="dxa"/>
            <w:tcBorders>
              <w:top w:val="single" w:sz="6" w:space="0" w:color="auto"/>
              <w:left w:val="single" w:sz="6" w:space="0" w:color="auto"/>
              <w:bottom w:val="single" w:sz="4" w:space="0" w:color="auto"/>
              <w:right w:val="nil"/>
            </w:tcBorders>
          </w:tcPr>
          <w:p w:rsidR="00CA6C66" w:rsidRDefault="00CA6C66">
            <w:pPr>
              <w:rPr>
                <w:snapToGrid w:val="0"/>
                <w:color w:val="000000"/>
              </w:rPr>
            </w:pPr>
            <w:r>
              <w:rPr>
                <w:snapToGrid w:val="0"/>
                <w:color w:val="000000"/>
              </w:rPr>
              <w:t xml:space="preserve">ИТОГО по разделу I </w:t>
            </w:r>
          </w:p>
        </w:tc>
        <w:tc>
          <w:tcPr>
            <w:tcW w:w="707" w:type="dxa"/>
            <w:gridSpan w:val="2"/>
            <w:tcBorders>
              <w:top w:val="single" w:sz="6" w:space="0" w:color="auto"/>
              <w:left w:val="double" w:sz="4" w:space="0" w:color="auto"/>
              <w:bottom w:val="double" w:sz="4" w:space="0" w:color="auto"/>
              <w:right w:val="single" w:sz="6" w:space="0" w:color="auto"/>
            </w:tcBorders>
            <w:vAlign w:val="center"/>
          </w:tcPr>
          <w:p w:rsidR="00CA6C66" w:rsidRDefault="00CA6C66">
            <w:pPr>
              <w:rPr>
                <w:snapToGrid w:val="0"/>
                <w:color w:val="000000"/>
              </w:rPr>
            </w:pPr>
            <w:r>
              <w:rPr>
                <w:snapToGrid w:val="0"/>
                <w:color w:val="000000"/>
              </w:rPr>
              <w:t>190</w:t>
            </w:r>
          </w:p>
        </w:tc>
        <w:tc>
          <w:tcPr>
            <w:tcW w:w="1713" w:type="dxa"/>
            <w:gridSpan w:val="3"/>
            <w:tcBorders>
              <w:top w:val="single" w:sz="6" w:space="0" w:color="auto"/>
              <w:left w:val="single" w:sz="6" w:space="0" w:color="auto"/>
              <w:bottom w:val="double" w:sz="4" w:space="0" w:color="auto"/>
              <w:right w:val="single" w:sz="6" w:space="0" w:color="auto"/>
            </w:tcBorders>
          </w:tcPr>
          <w:p w:rsidR="00CA6C66" w:rsidRDefault="00CA6C66">
            <w:pPr>
              <w:rPr>
                <w:snapToGrid w:val="0"/>
                <w:color w:val="000000"/>
              </w:rPr>
            </w:pPr>
            <w:r>
              <w:rPr>
                <w:snapToGrid w:val="0"/>
                <w:color w:val="000000"/>
              </w:rPr>
              <w:t>6709</w:t>
            </w:r>
          </w:p>
        </w:tc>
        <w:tc>
          <w:tcPr>
            <w:tcW w:w="1689" w:type="dxa"/>
            <w:tcBorders>
              <w:top w:val="single" w:sz="6" w:space="0" w:color="auto"/>
              <w:left w:val="single" w:sz="6" w:space="0" w:color="auto"/>
              <w:bottom w:val="double" w:sz="4" w:space="0" w:color="auto"/>
              <w:right w:val="double" w:sz="4" w:space="0" w:color="auto"/>
            </w:tcBorders>
          </w:tcPr>
          <w:p w:rsidR="00CA6C66" w:rsidRDefault="00CA6C66">
            <w:pPr>
              <w:rPr>
                <w:snapToGrid w:val="0"/>
                <w:color w:val="000000"/>
              </w:rPr>
            </w:pPr>
            <w:r>
              <w:rPr>
                <w:snapToGrid w:val="0"/>
                <w:color w:val="000000"/>
              </w:rPr>
              <w:t>6600</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b/>
                <w:bCs/>
                <w:snapToGrid w:val="0"/>
                <w:color w:val="000000"/>
              </w:rPr>
            </w:pPr>
            <w:r>
              <w:rPr>
                <w:b/>
                <w:bCs/>
                <w:snapToGrid w:val="0"/>
                <w:color w:val="000000"/>
              </w:rPr>
              <w:t xml:space="preserve">II. ОБОРОТНЫЕ АКТИВЫ </w:t>
            </w:r>
          </w:p>
          <w:p w:rsidR="00CA6C66" w:rsidRDefault="00CA6C66">
            <w:pPr>
              <w:rPr>
                <w:snapToGrid w:val="0"/>
                <w:color w:val="000000"/>
              </w:rPr>
            </w:pPr>
            <w:r>
              <w:rPr>
                <w:snapToGrid w:val="0"/>
                <w:color w:val="000000"/>
              </w:rPr>
              <w:t xml:space="preserve">Запасы </w:t>
            </w:r>
          </w:p>
        </w:tc>
        <w:tc>
          <w:tcPr>
            <w:tcW w:w="690" w:type="dxa"/>
            <w:tcBorders>
              <w:top w:val="double" w:sz="4"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210</w:t>
            </w:r>
          </w:p>
        </w:tc>
        <w:tc>
          <w:tcPr>
            <w:tcW w:w="1701" w:type="dxa"/>
            <w:gridSpan w:val="2"/>
            <w:tcBorders>
              <w:top w:val="double" w:sz="4"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55</w:t>
            </w:r>
          </w:p>
        </w:tc>
        <w:tc>
          <w:tcPr>
            <w:tcW w:w="1701" w:type="dxa"/>
            <w:gridSpan w:val="2"/>
            <w:tcBorders>
              <w:top w:val="double" w:sz="4"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81</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в том числе:</w:t>
            </w:r>
            <w:r>
              <w:rPr>
                <w:snapToGrid w:val="0"/>
                <w:color w:val="000000"/>
              </w:rPr>
              <w:br/>
              <w:t xml:space="preserve">сырье, материалы и другие аналогичные ценности (10, 12, 13,16)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211</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37</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48</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животные на выращивании и откорме (11) </w:t>
            </w:r>
          </w:p>
        </w:tc>
        <w:tc>
          <w:tcPr>
            <w:tcW w:w="690" w:type="dxa"/>
            <w:tcBorders>
              <w:top w:val="single" w:sz="6" w:space="0" w:color="auto"/>
              <w:left w:val="double" w:sz="4" w:space="0" w:color="auto"/>
              <w:bottom w:val="nil"/>
              <w:right w:val="single" w:sz="6" w:space="0" w:color="auto"/>
            </w:tcBorders>
          </w:tcPr>
          <w:p w:rsidR="00CA6C66" w:rsidRDefault="00CA6C66">
            <w:pPr>
              <w:rPr>
                <w:snapToGrid w:val="0"/>
                <w:color w:val="000000"/>
              </w:rPr>
            </w:pPr>
            <w:r>
              <w:rPr>
                <w:snapToGrid w:val="0"/>
                <w:color w:val="000000"/>
              </w:rPr>
              <w:t>212</w:t>
            </w:r>
          </w:p>
        </w:tc>
        <w:tc>
          <w:tcPr>
            <w:tcW w:w="1701" w:type="dxa"/>
            <w:gridSpan w:val="2"/>
            <w:tcBorders>
              <w:top w:val="single" w:sz="6"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nil"/>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затраты в незавершенном производстве (издержках обращения)</w:t>
            </w:r>
            <w:r>
              <w:rPr>
                <w:snapToGrid w:val="0"/>
                <w:color w:val="000000"/>
              </w:rPr>
              <w:br/>
              <w:t xml:space="preserve">(20, 21, 23, 29, 30, 36, 44) </w:t>
            </w:r>
          </w:p>
        </w:tc>
        <w:tc>
          <w:tcPr>
            <w:tcW w:w="690" w:type="dxa"/>
            <w:tcBorders>
              <w:top w:val="single" w:sz="6" w:space="0" w:color="auto"/>
              <w:left w:val="double" w:sz="4" w:space="0" w:color="auto"/>
              <w:bottom w:val="single" w:sz="4" w:space="0" w:color="auto"/>
              <w:right w:val="single" w:sz="6" w:space="0" w:color="auto"/>
            </w:tcBorders>
          </w:tcPr>
          <w:p w:rsidR="00CA6C66" w:rsidRDefault="00CA6C66">
            <w:pPr>
              <w:rPr>
                <w:snapToGrid w:val="0"/>
                <w:color w:val="000000"/>
              </w:rPr>
            </w:pPr>
            <w:r>
              <w:rPr>
                <w:snapToGrid w:val="0"/>
                <w:color w:val="000000"/>
              </w:rPr>
              <w:br/>
              <w:t>213</w:t>
            </w:r>
          </w:p>
        </w:tc>
        <w:tc>
          <w:tcPr>
            <w:tcW w:w="1701" w:type="dxa"/>
            <w:gridSpan w:val="2"/>
            <w:tcBorders>
              <w:top w:val="single" w:sz="6" w:space="0" w:color="auto"/>
              <w:left w:val="single" w:sz="6" w:space="0" w:color="auto"/>
              <w:bottom w:val="single" w:sz="4"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4"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готовая продукция и товары для перепродажи (16, 40, 41)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214</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17</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26</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товары отгруженные (45)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215</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расходы будущих периодов (31)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216</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7</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запасы и затраты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217</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Налог на добавленную стоимость по приобретенным ценностям (19)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220</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31</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Дебиторская задолженность (платежи по которой ожидаются более чем</w:t>
            </w:r>
            <w:r>
              <w:rPr>
                <w:snapToGrid w:val="0"/>
                <w:color w:val="000000"/>
              </w:rPr>
              <w:br/>
              <w:t xml:space="preserve">через 12 месяцев после отчетной даты)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230</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52</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215</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в том числе:</w:t>
            </w:r>
            <w:r>
              <w:rPr>
                <w:snapToGrid w:val="0"/>
                <w:color w:val="000000"/>
              </w:rPr>
              <w:br/>
              <w:t xml:space="preserve">покупатели и заказчики (62, 76, 82)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231</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52</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215</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векселя к получению (62)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232</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задолженность дочерних и зависимых обществ (78)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233</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авансы выданные (61)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234</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дебиторы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235</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Дебиторская задолженность (платежи по которой ожидаются в течение</w:t>
            </w:r>
            <w:r>
              <w:rPr>
                <w:snapToGrid w:val="0"/>
                <w:color w:val="000000"/>
              </w:rPr>
              <w:br/>
              <w:t xml:space="preserve">12 месяцев после отчетной даты)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240</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456</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744</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в том числе:</w:t>
            </w:r>
            <w:r>
              <w:rPr>
                <w:snapToGrid w:val="0"/>
                <w:color w:val="000000"/>
              </w:rPr>
              <w:br/>
              <w:t xml:space="preserve">покупатели и заказчики (62, 76, 82)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241</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150</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382</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векселя к получению (62)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242</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задолженность дочерних и зависимых обществ (78)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243</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задолженность участников (учредителей) по взносам в уставный</w:t>
            </w:r>
            <w:r>
              <w:rPr>
                <w:snapToGrid w:val="0"/>
                <w:color w:val="000000"/>
              </w:rPr>
              <w:br/>
              <w:t xml:space="preserve">капитал(75)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244</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авансы выданные (61)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245</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дебиторы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246</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306</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362</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Краткосрочные финансовые вложения (56, 58, 82)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250</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в том числе:</w:t>
            </w:r>
            <w:r>
              <w:rPr>
                <w:snapToGrid w:val="0"/>
                <w:color w:val="000000"/>
              </w:rPr>
              <w:br/>
              <w:t xml:space="preserve">займы, предоставленные организациям на срок менее 12 месяцев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251</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собственные акции, выкупленные у акционеров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252</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краткосрочные финансовые вложения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253</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Денежные средства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260</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8</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10</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ab/>
              <w:t>в том числе:</w:t>
            </w:r>
            <w:r>
              <w:rPr>
                <w:snapToGrid w:val="0"/>
                <w:color w:val="000000"/>
              </w:rPr>
              <w:br/>
              <w:t xml:space="preserve">касса (50)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br/>
              <w:t>261</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расчетные счета (51)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262</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8</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10</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валютные счета (52)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263</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денежные средства (55, 56, 57) </w:t>
            </w:r>
          </w:p>
        </w:tc>
        <w:tc>
          <w:tcPr>
            <w:tcW w:w="690" w:type="dxa"/>
            <w:tcBorders>
              <w:top w:val="single" w:sz="6" w:space="0" w:color="auto"/>
              <w:left w:val="double" w:sz="4" w:space="0" w:color="auto"/>
              <w:bottom w:val="single" w:sz="6" w:space="0" w:color="auto"/>
              <w:right w:val="single" w:sz="6" w:space="0" w:color="auto"/>
            </w:tcBorders>
          </w:tcPr>
          <w:p w:rsidR="00CA6C66" w:rsidRDefault="00CA6C66">
            <w:pPr>
              <w:rPr>
                <w:snapToGrid w:val="0"/>
                <w:color w:val="000000"/>
              </w:rPr>
            </w:pPr>
            <w:r>
              <w:rPr>
                <w:snapToGrid w:val="0"/>
                <w:color w:val="000000"/>
              </w:rPr>
              <w:t>264</w:t>
            </w:r>
          </w:p>
        </w:tc>
        <w:tc>
          <w:tcPr>
            <w:tcW w:w="1701"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Прочие оборотные активы </w:t>
            </w:r>
          </w:p>
        </w:tc>
        <w:tc>
          <w:tcPr>
            <w:tcW w:w="690" w:type="dxa"/>
            <w:tcBorders>
              <w:top w:val="single" w:sz="6" w:space="0" w:color="auto"/>
              <w:left w:val="double" w:sz="4" w:space="0" w:color="auto"/>
              <w:bottom w:val="nil"/>
              <w:right w:val="single" w:sz="6" w:space="0" w:color="auto"/>
            </w:tcBorders>
          </w:tcPr>
          <w:p w:rsidR="00CA6C66" w:rsidRDefault="00CA6C66">
            <w:pPr>
              <w:rPr>
                <w:snapToGrid w:val="0"/>
                <w:color w:val="000000"/>
              </w:rPr>
            </w:pPr>
            <w:r>
              <w:rPr>
                <w:snapToGrid w:val="0"/>
                <w:color w:val="000000"/>
              </w:rPr>
              <w:t>270</w:t>
            </w:r>
          </w:p>
        </w:tc>
        <w:tc>
          <w:tcPr>
            <w:tcW w:w="1701" w:type="dxa"/>
            <w:gridSpan w:val="2"/>
            <w:tcBorders>
              <w:top w:val="single" w:sz="6" w:space="0" w:color="auto"/>
              <w:left w:val="single" w:sz="6" w:space="0" w:color="auto"/>
              <w:bottom w:val="nil"/>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nil"/>
              <w:right w:val="double" w:sz="4" w:space="0" w:color="auto"/>
            </w:tcBorders>
          </w:tcPr>
          <w:p w:rsidR="00CA6C66" w:rsidRDefault="00CA6C66">
            <w:pPr>
              <w:rPr>
                <w:snapToGrid w:val="0"/>
                <w:color w:val="000000"/>
              </w:rPr>
            </w:pPr>
            <w:r>
              <w:rPr>
                <w:snapToGrid w:val="0"/>
                <w:color w:val="000000"/>
              </w:rPr>
              <w:t>-</w:t>
            </w:r>
          </w:p>
        </w:tc>
      </w:tr>
      <w:tr w:rsidR="00CA6C66">
        <w:trPr>
          <w:trHeight w:val="879"/>
        </w:trPr>
        <w:tc>
          <w:tcPr>
            <w:tcW w:w="5477"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ИТОГО по разделу II </w:t>
            </w:r>
          </w:p>
        </w:tc>
        <w:tc>
          <w:tcPr>
            <w:tcW w:w="690" w:type="dxa"/>
            <w:tcBorders>
              <w:top w:val="single" w:sz="6" w:space="0" w:color="auto"/>
              <w:left w:val="double" w:sz="4" w:space="0" w:color="auto"/>
              <w:bottom w:val="nil"/>
              <w:right w:val="single" w:sz="4" w:space="0" w:color="auto"/>
            </w:tcBorders>
          </w:tcPr>
          <w:p w:rsidR="00CA6C66" w:rsidRDefault="00CA6C66">
            <w:pPr>
              <w:rPr>
                <w:snapToGrid w:val="0"/>
                <w:color w:val="000000"/>
              </w:rPr>
            </w:pPr>
            <w:r>
              <w:rPr>
                <w:snapToGrid w:val="0"/>
                <w:color w:val="000000"/>
              </w:rPr>
              <w:t>290</w:t>
            </w:r>
          </w:p>
        </w:tc>
        <w:tc>
          <w:tcPr>
            <w:tcW w:w="1701" w:type="dxa"/>
            <w:gridSpan w:val="2"/>
            <w:tcBorders>
              <w:top w:val="single" w:sz="6" w:space="0" w:color="auto"/>
              <w:left w:val="single" w:sz="4" w:space="0" w:color="auto"/>
              <w:bottom w:val="nil"/>
              <w:right w:val="single" w:sz="4" w:space="0" w:color="auto"/>
            </w:tcBorders>
          </w:tcPr>
          <w:p w:rsidR="00CA6C66" w:rsidRDefault="00CA6C66">
            <w:pPr>
              <w:rPr>
                <w:snapToGrid w:val="0"/>
                <w:color w:val="000000"/>
              </w:rPr>
            </w:pPr>
            <w:r>
              <w:rPr>
                <w:snapToGrid w:val="0"/>
                <w:color w:val="000000"/>
              </w:rPr>
              <w:t>572</w:t>
            </w:r>
          </w:p>
        </w:tc>
        <w:tc>
          <w:tcPr>
            <w:tcW w:w="1701" w:type="dxa"/>
            <w:gridSpan w:val="2"/>
            <w:tcBorders>
              <w:top w:val="single" w:sz="6" w:space="0" w:color="auto"/>
              <w:left w:val="single" w:sz="4" w:space="0" w:color="auto"/>
              <w:bottom w:val="nil"/>
              <w:right w:val="double" w:sz="4" w:space="0" w:color="auto"/>
            </w:tcBorders>
          </w:tcPr>
          <w:p w:rsidR="00CA6C66" w:rsidRDefault="00CA6C66">
            <w:pPr>
              <w:rPr>
                <w:snapToGrid w:val="0"/>
                <w:color w:val="000000"/>
              </w:rPr>
            </w:pPr>
            <w:r>
              <w:rPr>
                <w:snapToGrid w:val="0"/>
                <w:color w:val="000000"/>
              </w:rPr>
              <w:t>1081</w:t>
            </w:r>
          </w:p>
        </w:tc>
      </w:tr>
      <w:tr w:rsidR="00CA6C66">
        <w:trPr>
          <w:trHeight w:val="56"/>
        </w:trPr>
        <w:tc>
          <w:tcPr>
            <w:tcW w:w="5477" w:type="dxa"/>
            <w:gridSpan w:val="2"/>
            <w:tcBorders>
              <w:top w:val="single" w:sz="6" w:space="0" w:color="auto"/>
              <w:left w:val="single" w:sz="6" w:space="0" w:color="auto"/>
              <w:bottom w:val="single" w:sz="6" w:space="0" w:color="auto"/>
              <w:right w:val="nil"/>
            </w:tcBorders>
          </w:tcPr>
          <w:p w:rsidR="00CA6C66" w:rsidRDefault="00CA6C66">
            <w:pPr>
              <w:rPr>
                <w:b/>
                <w:bCs/>
                <w:snapToGrid w:val="0"/>
                <w:color w:val="000000"/>
              </w:rPr>
            </w:pPr>
            <w:r>
              <w:rPr>
                <w:b/>
                <w:bCs/>
                <w:snapToGrid w:val="0"/>
                <w:color w:val="000000"/>
              </w:rPr>
              <w:t xml:space="preserve">БАЛАНС (сумма строк 190 + 290) </w:t>
            </w:r>
          </w:p>
        </w:tc>
        <w:tc>
          <w:tcPr>
            <w:tcW w:w="690" w:type="dxa"/>
            <w:tcBorders>
              <w:top w:val="single" w:sz="4" w:space="0" w:color="auto"/>
              <w:left w:val="double" w:sz="4" w:space="0" w:color="auto"/>
              <w:bottom w:val="double" w:sz="4" w:space="0" w:color="auto"/>
              <w:right w:val="single" w:sz="4" w:space="0" w:color="auto"/>
            </w:tcBorders>
          </w:tcPr>
          <w:p w:rsidR="00CA6C66" w:rsidRDefault="00CA6C66">
            <w:pPr>
              <w:rPr>
                <w:snapToGrid w:val="0"/>
                <w:color w:val="000000"/>
              </w:rPr>
            </w:pPr>
            <w:r>
              <w:rPr>
                <w:snapToGrid w:val="0"/>
                <w:color w:val="000000"/>
              </w:rPr>
              <w:t>300</w:t>
            </w:r>
          </w:p>
        </w:tc>
        <w:tc>
          <w:tcPr>
            <w:tcW w:w="1701" w:type="dxa"/>
            <w:gridSpan w:val="2"/>
            <w:tcBorders>
              <w:top w:val="single" w:sz="4" w:space="0" w:color="auto"/>
              <w:left w:val="single" w:sz="4" w:space="0" w:color="auto"/>
              <w:bottom w:val="double" w:sz="4" w:space="0" w:color="auto"/>
              <w:right w:val="single" w:sz="4" w:space="0" w:color="auto"/>
            </w:tcBorders>
          </w:tcPr>
          <w:p w:rsidR="00CA6C66" w:rsidRDefault="00CA6C66">
            <w:pPr>
              <w:rPr>
                <w:snapToGrid w:val="0"/>
                <w:color w:val="000000"/>
              </w:rPr>
            </w:pPr>
            <w:r>
              <w:rPr>
                <w:snapToGrid w:val="0"/>
                <w:color w:val="000000"/>
              </w:rPr>
              <w:t>7281</w:t>
            </w:r>
          </w:p>
        </w:tc>
        <w:tc>
          <w:tcPr>
            <w:tcW w:w="1701" w:type="dxa"/>
            <w:gridSpan w:val="2"/>
            <w:tcBorders>
              <w:top w:val="single" w:sz="4" w:space="0" w:color="auto"/>
              <w:left w:val="single" w:sz="4" w:space="0" w:color="auto"/>
              <w:bottom w:val="double" w:sz="4" w:space="0" w:color="auto"/>
              <w:right w:val="double" w:sz="4" w:space="0" w:color="auto"/>
            </w:tcBorders>
          </w:tcPr>
          <w:p w:rsidR="00CA6C66" w:rsidRDefault="00CA6C66">
            <w:pPr>
              <w:rPr>
                <w:snapToGrid w:val="0"/>
                <w:color w:val="000000"/>
              </w:rPr>
            </w:pPr>
            <w:r>
              <w:rPr>
                <w:snapToGrid w:val="0"/>
                <w:color w:val="000000"/>
              </w:rPr>
              <w:t>7681</w:t>
            </w:r>
          </w:p>
        </w:tc>
      </w:tr>
      <w:tr w:rsidR="00CA6C66">
        <w:trPr>
          <w:trHeight w:val="254"/>
        </w:trPr>
        <w:tc>
          <w:tcPr>
            <w:tcW w:w="5480" w:type="dxa"/>
            <w:gridSpan w:val="2"/>
            <w:tcBorders>
              <w:top w:val="single" w:sz="6" w:space="0" w:color="auto"/>
              <w:left w:val="single" w:sz="6" w:space="0" w:color="auto"/>
              <w:bottom w:val="single" w:sz="6" w:space="0" w:color="auto"/>
              <w:right w:val="nil"/>
            </w:tcBorders>
          </w:tcPr>
          <w:p w:rsidR="00CA6C66" w:rsidRDefault="00CA6C66">
            <w:pPr>
              <w:rPr>
                <w:b/>
                <w:bCs/>
                <w:snapToGrid w:val="0"/>
                <w:color w:val="000000"/>
              </w:rPr>
            </w:pPr>
            <w:r>
              <w:rPr>
                <w:b/>
                <w:bCs/>
                <w:snapToGrid w:val="0"/>
                <w:color w:val="000000"/>
                <w:lang w:val="en-US"/>
              </w:rPr>
              <w:t>III</w:t>
            </w:r>
            <w:r>
              <w:rPr>
                <w:b/>
                <w:bCs/>
                <w:snapToGrid w:val="0"/>
                <w:color w:val="000000"/>
              </w:rPr>
              <w:t xml:space="preserve">. КАПИТАЛЫ И РЕЗЕРВЫ </w:t>
            </w:r>
          </w:p>
          <w:p w:rsidR="00CA6C66" w:rsidRDefault="00CA6C66">
            <w:pPr>
              <w:rPr>
                <w:snapToGrid w:val="0"/>
                <w:color w:val="000000"/>
              </w:rPr>
            </w:pPr>
            <w:r>
              <w:rPr>
                <w:snapToGrid w:val="0"/>
                <w:color w:val="000000"/>
              </w:rPr>
              <w:t xml:space="preserve">Уставный капитал (85) </w:t>
            </w:r>
          </w:p>
        </w:tc>
        <w:tc>
          <w:tcPr>
            <w:tcW w:w="700" w:type="dxa"/>
            <w:gridSpan w:val="2"/>
            <w:tcBorders>
              <w:top w:val="double" w:sz="4"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410</w:t>
            </w:r>
          </w:p>
        </w:tc>
        <w:tc>
          <w:tcPr>
            <w:tcW w:w="1688" w:type="dxa"/>
            <w:tcBorders>
              <w:top w:val="double" w:sz="4"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10</w:t>
            </w:r>
          </w:p>
        </w:tc>
        <w:tc>
          <w:tcPr>
            <w:tcW w:w="1701" w:type="dxa"/>
            <w:gridSpan w:val="2"/>
            <w:tcBorders>
              <w:top w:val="double" w:sz="4"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10</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Добавочный капитал (87)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420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7009</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7009</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rPr>
                <w:snapToGrid w:val="0"/>
                <w:color w:val="000000"/>
              </w:rPr>
            </w:pPr>
            <w:r>
              <w:rPr>
                <w:snapToGrid w:val="0"/>
                <w:color w:val="000000"/>
              </w:rPr>
              <w:t xml:space="preserve">Резервный капитал (86)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430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в том числе:</w:t>
            </w:r>
            <w:r>
              <w:rPr>
                <w:snapToGrid w:val="0"/>
                <w:color w:val="000000"/>
              </w:rPr>
              <w:br/>
              <w:t xml:space="preserve">резервы, образованные в соответствии с законодательством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431</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резервы, образованные в соответствии с учредительными документами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432</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Фонд социальной сферы (88)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440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39</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39</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Целевые финансирование и поступления (96)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450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Нераспределенная прибыль прошлых лет (88)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460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Непокрытый убыток прошлых лет (88)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465</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(50)</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Нераспределенная прибыль отчетного года (88)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470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х</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Непокрытый убыток отчетного года (88)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475</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х</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rPr>
          <w:trHeight w:val="65"/>
        </w:trPr>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ИТОГО по разделу III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490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7008</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7058</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b/>
                <w:bCs/>
                <w:snapToGrid w:val="0"/>
                <w:color w:val="000000"/>
              </w:rPr>
              <w:t xml:space="preserve">IV. ДОЛГОСРОЧНЫЕ ОБЯЗАТЕЛЬСТВА </w:t>
            </w:r>
          </w:p>
          <w:p w:rsidR="00CA6C66" w:rsidRDefault="00CA6C66">
            <w:pPr>
              <w:tabs>
                <w:tab w:val="left" w:pos="567"/>
              </w:tabs>
              <w:rPr>
                <w:b/>
                <w:bCs/>
                <w:snapToGrid w:val="0"/>
                <w:color w:val="000000"/>
              </w:rPr>
            </w:pPr>
            <w:r>
              <w:rPr>
                <w:snapToGrid w:val="0"/>
                <w:color w:val="000000"/>
              </w:rPr>
              <w:t xml:space="preserve">Займы и кредиты (92, 95)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510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в том числе:</w:t>
            </w:r>
            <w:r>
              <w:rPr>
                <w:snapToGrid w:val="0"/>
                <w:color w:val="000000"/>
              </w:rPr>
              <w:br/>
              <w:t>кредиты банков, подлежащие погашению более чем через 12 месяцев</w:t>
            </w:r>
            <w:r>
              <w:rPr>
                <w:snapToGrid w:val="0"/>
                <w:color w:val="000000"/>
              </w:rPr>
              <w:br/>
              <w:t xml:space="preserve">после отчетной даты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511</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p>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p>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займы, подлежащие погашению более чем через 12 месяцев после</w:t>
            </w:r>
            <w:r>
              <w:rPr>
                <w:snapToGrid w:val="0"/>
                <w:color w:val="000000"/>
              </w:rPr>
              <w:br/>
              <w:t xml:space="preserve">отчетной даты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512</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Прочие долгосрочные обязательства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520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ИТОГО по разделу IV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590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b/>
                <w:bCs/>
                <w:snapToGrid w:val="0"/>
                <w:color w:val="000000"/>
              </w:rPr>
            </w:pPr>
            <w:r>
              <w:rPr>
                <w:b/>
                <w:bCs/>
                <w:snapToGrid w:val="0"/>
                <w:color w:val="000000"/>
              </w:rPr>
              <w:t xml:space="preserve">V. КРАТКОСРОЧНЫЕ ОБЯЗАТЕЛЬСТВА </w:t>
            </w:r>
          </w:p>
          <w:p w:rsidR="00CA6C66" w:rsidRDefault="00CA6C66">
            <w:pPr>
              <w:tabs>
                <w:tab w:val="left" w:pos="567"/>
              </w:tabs>
              <w:rPr>
                <w:snapToGrid w:val="0"/>
                <w:color w:val="000000"/>
              </w:rPr>
            </w:pPr>
            <w:r>
              <w:rPr>
                <w:snapToGrid w:val="0"/>
                <w:color w:val="000000"/>
              </w:rPr>
              <w:t xml:space="preserve">Займы и кредиты (90, 94)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610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в том числе:</w:t>
            </w:r>
            <w:r>
              <w:rPr>
                <w:snapToGrid w:val="0"/>
                <w:color w:val="000000"/>
              </w:rPr>
              <w:br/>
              <w:t>кредиты банков, подлежащие погашению в течение 12 месяцев</w:t>
            </w:r>
            <w:r>
              <w:rPr>
                <w:snapToGrid w:val="0"/>
                <w:color w:val="000000"/>
              </w:rPr>
              <w:br/>
              <w:t xml:space="preserve">после отчетной даты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611</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p>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p>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займы, подлежащие погашению в течение 12 месяцев после</w:t>
            </w:r>
            <w:r>
              <w:rPr>
                <w:snapToGrid w:val="0"/>
                <w:color w:val="000000"/>
              </w:rPr>
              <w:br/>
              <w:t xml:space="preserve">отчетной даты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612</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Кредиторская задолженность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273</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623</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в том числе:</w:t>
            </w:r>
            <w:r>
              <w:rPr>
                <w:snapToGrid w:val="0"/>
                <w:color w:val="000000"/>
              </w:rPr>
              <w:br/>
              <w:t xml:space="preserve">поставщики и подрядчики (60, 76)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621</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193</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векселя к уплате (60)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622</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задолженность перед дочерними и зависимыми обществами (78)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623</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задолженность перед персоналом организации (70)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624</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60</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69</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задолженность перед государственными внебюджетными фондами (69)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625</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33</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31</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задолженность перед бюджетом (68)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626</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105</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177</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авансы полученные (64)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627</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прочие кредиторы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628</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75</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153</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Задолженность участникам (учредителям) по выплате доходов (75)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630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Доходы будущих периодов (83)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640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Резервы предстоящих расходов (89)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650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rPr>
          <w:trHeight w:val="92"/>
        </w:trPr>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Прочие краткосрочные обязательства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660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w:t>
            </w:r>
          </w:p>
        </w:tc>
      </w:tr>
      <w:tr w:rsidR="00CA6C66">
        <w:trPr>
          <w:trHeight w:val="65"/>
        </w:trPr>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 xml:space="preserve">ИТОГО по разделу V </w:t>
            </w:r>
          </w:p>
        </w:tc>
        <w:tc>
          <w:tcPr>
            <w:tcW w:w="700"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tabs>
                <w:tab w:val="left" w:pos="567"/>
              </w:tabs>
              <w:rPr>
                <w:snapToGrid w:val="0"/>
                <w:color w:val="000000"/>
              </w:rPr>
            </w:pPr>
            <w:r>
              <w:rPr>
                <w:snapToGrid w:val="0"/>
                <w:color w:val="000000"/>
              </w:rPr>
              <w:t>690</w:t>
            </w:r>
          </w:p>
        </w:tc>
        <w:tc>
          <w:tcPr>
            <w:tcW w:w="1688" w:type="dxa"/>
            <w:tcBorders>
              <w:top w:val="single" w:sz="6" w:space="0" w:color="auto"/>
              <w:left w:val="single" w:sz="6" w:space="0" w:color="auto"/>
              <w:bottom w:val="single" w:sz="6" w:space="0" w:color="auto"/>
              <w:right w:val="single" w:sz="6" w:space="0" w:color="auto"/>
            </w:tcBorders>
          </w:tcPr>
          <w:p w:rsidR="00CA6C66" w:rsidRDefault="00CA6C66">
            <w:pPr>
              <w:tabs>
                <w:tab w:val="left" w:pos="567"/>
              </w:tabs>
              <w:rPr>
                <w:snapToGrid w:val="0"/>
                <w:color w:val="000000"/>
              </w:rPr>
            </w:pPr>
            <w:r>
              <w:rPr>
                <w:snapToGrid w:val="0"/>
                <w:color w:val="000000"/>
              </w:rPr>
              <w:t>273</w:t>
            </w:r>
          </w:p>
        </w:tc>
        <w:tc>
          <w:tcPr>
            <w:tcW w:w="1701" w:type="dxa"/>
            <w:gridSpan w:val="2"/>
            <w:tcBorders>
              <w:top w:val="single" w:sz="6" w:space="0" w:color="auto"/>
              <w:left w:val="single" w:sz="6" w:space="0" w:color="auto"/>
              <w:bottom w:val="single" w:sz="6" w:space="0" w:color="auto"/>
              <w:right w:val="double" w:sz="4" w:space="0" w:color="auto"/>
            </w:tcBorders>
          </w:tcPr>
          <w:p w:rsidR="00CA6C66" w:rsidRDefault="00CA6C66">
            <w:pPr>
              <w:tabs>
                <w:tab w:val="left" w:pos="567"/>
              </w:tabs>
              <w:rPr>
                <w:snapToGrid w:val="0"/>
                <w:color w:val="000000"/>
              </w:rPr>
            </w:pPr>
            <w:r>
              <w:rPr>
                <w:snapToGrid w:val="0"/>
                <w:color w:val="000000"/>
              </w:rPr>
              <w:t>623</w:t>
            </w:r>
          </w:p>
        </w:tc>
      </w:tr>
      <w:tr w:rsidR="00CA6C66">
        <w:tc>
          <w:tcPr>
            <w:tcW w:w="5480" w:type="dxa"/>
            <w:gridSpan w:val="2"/>
            <w:tcBorders>
              <w:top w:val="single" w:sz="6" w:space="0" w:color="auto"/>
              <w:left w:val="single" w:sz="6" w:space="0" w:color="auto"/>
              <w:bottom w:val="single" w:sz="6" w:space="0" w:color="auto"/>
              <w:right w:val="nil"/>
            </w:tcBorders>
          </w:tcPr>
          <w:p w:rsidR="00CA6C66" w:rsidRDefault="00CA6C66">
            <w:pPr>
              <w:tabs>
                <w:tab w:val="left" w:pos="567"/>
              </w:tabs>
              <w:rPr>
                <w:b/>
                <w:bCs/>
                <w:snapToGrid w:val="0"/>
                <w:color w:val="000000"/>
              </w:rPr>
            </w:pPr>
            <w:r>
              <w:rPr>
                <w:b/>
                <w:bCs/>
                <w:snapToGrid w:val="0"/>
                <w:color w:val="000000"/>
              </w:rPr>
              <w:t xml:space="preserve">БАЛАНС (сумма строк 490 + 590 + 690) </w:t>
            </w:r>
          </w:p>
        </w:tc>
        <w:tc>
          <w:tcPr>
            <w:tcW w:w="700" w:type="dxa"/>
            <w:gridSpan w:val="2"/>
            <w:tcBorders>
              <w:top w:val="single" w:sz="6" w:space="0" w:color="auto"/>
              <w:left w:val="double" w:sz="4" w:space="0" w:color="auto"/>
              <w:bottom w:val="double" w:sz="4" w:space="0" w:color="auto"/>
              <w:right w:val="single" w:sz="6" w:space="0" w:color="auto"/>
            </w:tcBorders>
            <w:vAlign w:val="bottom"/>
          </w:tcPr>
          <w:p w:rsidR="00CA6C66" w:rsidRDefault="00CA6C66">
            <w:pPr>
              <w:tabs>
                <w:tab w:val="left" w:pos="567"/>
              </w:tabs>
              <w:rPr>
                <w:snapToGrid w:val="0"/>
                <w:color w:val="000000"/>
              </w:rPr>
            </w:pPr>
            <w:r>
              <w:rPr>
                <w:snapToGrid w:val="0"/>
                <w:color w:val="000000"/>
              </w:rPr>
              <w:t>700</w:t>
            </w:r>
          </w:p>
        </w:tc>
        <w:tc>
          <w:tcPr>
            <w:tcW w:w="1688" w:type="dxa"/>
            <w:tcBorders>
              <w:top w:val="single" w:sz="6" w:space="0" w:color="auto"/>
              <w:left w:val="single" w:sz="6" w:space="0" w:color="auto"/>
              <w:bottom w:val="double" w:sz="4" w:space="0" w:color="auto"/>
              <w:right w:val="single" w:sz="6" w:space="0" w:color="auto"/>
            </w:tcBorders>
          </w:tcPr>
          <w:p w:rsidR="00CA6C66" w:rsidRDefault="00CA6C66">
            <w:pPr>
              <w:tabs>
                <w:tab w:val="left" w:pos="567"/>
              </w:tabs>
              <w:rPr>
                <w:snapToGrid w:val="0"/>
                <w:color w:val="000000"/>
              </w:rPr>
            </w:pPr>
            <w:r>
              <w:rPr>
                <w:snapToGrid w:val="0"/>
                <w:color w:val="000000"/>
              </w:rPr>
              <w:t>7281</w:t>
            </w:r>
          </w:p>
        </w:tc>
        <w:tc>
          <w:tcPr>
            <w:tcW w:w="1701" w:type="dxa"/>
            <w:gridSpan w:val="2"/>
            <w:tcBorders>
              <w:top w:val="single" w:sz="6" w:space="0" w:color="auto"/>
              <w:left w:val="single" w:sz="6" w:space="0" w:color="auto"/>
              <w:bottom w:val="double" w:sz="4" w:space="0" w:color="auto"/>
              <w:right w:val="double" w:sz="4" w:space="0" w:color="auto"/>
            </w:tcBorders>
          </w:tcPr>
          <w:p w:rsidR="00CA6C66" w:rsidRDefault="00CA6C66">
            <w:pPr>
              <w:tabs>
                <w:tab w:val="left" w:pos="567"/>
              </w:tabs>
              <w:rPr>
                <w:snapToGrid w:val="0"/>
                <w:color w:val="000000"/>
              </w:rPr>
            </w:pPr>
            <w:r>
              <w:rPr>
                <w:snapToGrid w:val="0"/>
                <w:color w:val="000000"/>
              </w:rPr>
              <w:t>7681</w:t>
            </w:r>
          </w:p>
        </w:tc>
      </w:tr>
    </w:tbl>
    <w:p w:rsidR="00CA6C66" w:rsidRDefault="00CA6C66">
      <w:pPr>
        <w:pStyle w:val="a4"/>
        <w:widowControl w:val="0"/>
        <w:tabs>
          <w:tab w:val="clear" w:pos="10631"/>
          <w:tab w:val="left" w:pos="567"/>
        </w:tabs>
        <w:adjustRightInd w:val="0"/>
        <w:spacing w:line="360" w:lineRule="auto"/>
        <w:rPr>
          <w:rFonts w:ascii="Times New Roman" w:hAnsi="Times New Roman" w:cs="Times New Roman"/>
          <w:snapToGrid w:val="0"/>
        </w:rPr>
      </w:pPr>
    </w:p>
    <w:p w:rsidR="00CA6C66" w:rsidRDefault="00CA6C66">
      <w:pPr>
        <w:shd w:val="clear" w:color="auto" w:fill="FFFFFF"/>
        <w:spacing w:line="360" w:lineRule="auto"/>
        <w:ind w:firstLine="708"/>
        <w:jc w:val="both"/>
      </w:pPr>
      <w:r>
        <w:rPr>
          <w:color w:val="000000"/>
        </w:rPr>
        <w:t>В составе оборотных средств наибольшая часть приходится на дебиторскую задолженность, возросшую к концу года. Предприятие имеет небольшой объем производственных запасов и в течение отчетного периода несколько его увеличило.</w:t>
      </w:r>
    </w:p>
    <w:p w:rsidR="00CA6C66" w:rsidRDefault="00CA6C66">
      <w:pPr>
        <w:shd w:val="clear" w:color="auto" w:fill="FFFFFF"/>
        <w:spacing w:line="360" w:lineRule="auto"/>
        <w:ind w:firstLine="708"/>
        <w:jc w:val="both"/>
      </w:pPr>
      <w:r>
        <w:rPr>
          <w:color w:val="000000"/>
        </w:rPr>
        <w:t>Источниками средств данного предприятия являются уставный капитал, добавочный капитал и краткосрочная кредиторская задолженность, по которой наблюдается значительное увеличение к концу года по сравнению с началом года.</w:t>
      </w:r>
    </w:p>
    <w:p w:rsidR="00CA6C66" w:rsidRDefault="00CA6C66">
      <w:pPr>
        <w:pStyle w:val="a5"/>
        <w:spacing w:line="360" w:lineRule="auto"/>
        <w:jc w:val="both"/>
        <w:rPr>
          <w:sz w:val="24"/>
          <w:szCs w:val="24"/>
        </w:rPr>
      </w:pPr>
      <w:r>
        <w:rPr>
          <w:sz w:val="24"/>
          <w:szCs w:val="24"/>
        </w:rPr>
        <w:t>На начальном этапе анализа бухгалтерской (финансовой) отчетности пользователь может определить ликвидность баланса по существующим рациональным балансовым пропорциям, соблюдение которых способствует финансовой устойчивости предприятия. Такими пропорциями являются следующие:</w:t>
      </w:r>
    </w:p>
    <w:p w:rsidR="00CA6C66" w:rsidRDefault="00CA6C66">
      <w:pPr>
        <w:numPr>
          <w:ilvl w:val="0"/>
          <w:numId w:val="23"/>
        </w:numPr>
        <w:shd w:val="clear" w:color="auto" w:fill="FFFFFF"/>
        <w:spacing w:line="360" w:lineRule="auto"/>
        <w:jc w:val="both"/>
      </w:pPr>
      <w:r>
        <w:t>быстрореализуемые активы (денежные средства и краткосрочные финансовые вложения) должны покрывать наиболее срочные обязательства или превышать их;</w:t>
      </w:r>
    </w:p>
    <w:p w:rsidR="00CA6C66" w:rsidRDefault="00CA6C66">
      <w:pPr>
        <w:numPr>
          <w:ilvl w:val="0"/>
          <w:numId w:val="23"/>
        </w:numPr>
        <w:shd w:val="clear" w:color="auto" w:fill="FFFFFF"/>
        <w:spacing w:line="360" w:lineRule="auto"/>
        <w:jc w:val="both"/>
      </w:pPr>
      <w:r>
        <w:t>активы средней реализуемости (дебиторская задолженность) должны покрывать краткосрочные обязательства или превышать их;</w:t>
      </w:r>
    </w:p>
    <w:p w:rsidR="00CA6C66" w:rsidRDefault="00CA6C66">
      <w:pPr>
        <w:numPr>
          <w:ilvl w:val="0"/>
          <w:numId w:val="23"/>
        </w:numPr>
        <w:shd w:val="clear" w:color="auto" w:fill="FFFFFF"/>
        <w:spacing w:line="360" w:lineRule="auto"/>
        <w:jc w:val="both"/>
      </w:pPr>
      <w:r>
        <w:t>медленнореализуемые активы (производственные запасы) должны покрывать долгосрочные обязательства или превышать их;</w:t>
      </w:r>
    </w:p>
    <w:p w:rsidR="00CA6C66" w:rsidRDefault="00CA6C66">
      <w:pPr>
        <w:numPr>
          <w:ilvl w:val="0"/>
          <w:numId w:val="23"/>
        </w:numPr>
        <w:shd w:val="clear" w:color="auto" w:fill="FFFFFF"/>
        <w:spacing w:line="360" w:lineRule="auto"/>
        <w:jc w:val="both"/>
      </w:pPr>
      <w:r>
        <w:t>труднореализуемые активы (внеоборотные активы) должны покрываться собственными средствами и не превышать их.</w:t>
      </w:r>
    </w:p>
    <w:p w:rsidR="00CA6C66" w:rsidRDefault="00CA6C66">
      <w:pPr>
        <w:shd w:val="clear" w:color="auto" w:fill="FFFFFF"/>
        <w:spacing w:line="360" w:lineRule="auto"/>
        <w:ind w:firstLine="708"/>
        <w:jc w:val="both"/>
      </w:pPr>
      <w:r>
        <w:rPr>
          <w:color w:val="000000"/>
        </w:rPr>
        <w:t>Отчет о прибылях и убытках позволяет увидеть порядок формирования конечного финансового результата предприятия, величину этого результата как от реализации товаров, продукции, работ, услуг, так и от прочих операций, сумму причитающихся платежей бюджету по налогу на прибыль и другим налогам из чистой прибыли, а также сумму остающейся в распоряжении предприятия чистой прибыли. Все эти данные пользователю представляются за отчетный и предыдущий годы, что обеспечивает еще возможность сравнения соответствующих показателей за два года.</w:t>
      </w:r>
    </w:p>
    <w:p w:rsidR="00CA6C66" w:rsidRDefault="00CA6C66">
      <w:pPr>
        <w:shd w:val="clear" w:color="auto" w:fill="FFFFFF"/>
        <w:spacing w:line="360" w:lineRule="auto"/>
        <w:ind w:firstLine="708"/>
        <w:jc w:val="both"/>
      </w:pPr>
      <w:r>
        <w:rPr>
          <w:color w:val="000000"/>
        </w:rPr>
        <w:t>Так, по отчету о прибылях и убытках ОАО "Транс" (табл. 2) можно сказать, что при равной прибыли, полученной за два года, предприятие имело от реализации услуг (основной уставной деятельности) в предыдущем отчетному году убыток в сумме 24 тыс. руб., а в отчетном - прибыль в сумме 365 тыс. руб.</w:t>
      </w:r>
    </w:p>
    <w:p w:rsidR="00CA6C66" w:rsidRDefault="00CA6C66">
      <w:pPr>
        <w:shd w:val="clear" w:color="auto" w:fill="FFFFFF"/>
        <w:spacing w:line="360" w:lineRule="auto"/>
        <w:jc w:val="both"/>
        <w:rPr>
          <w:b/>
          <w:bCs/>
        </w:rPr>
      </w:pPr>
      <w:r>
        <w:t>Таблица 2</w:t>
      </w:r>
      <w:r w:rsidR="007F641D">
        <w:rPr>
          <w:noProof/>
        </w:rPr>
        <w:pict>
          <v:shape id="_x0000_s1035" type="#_x0000_t202" style="position:absolute;left:0;text-align:left;margin-left:290.25pt;margin-top:11.3pt;width:14.4pt;height:14.4pt;z-index:251664896;mso-position-horizontal-relative:text;mso-position-vertical-relative:text" o:allowincell="f" filled="f" stroked="f">
            <v:textbox style="mso-next-textbox:#_x0000_s1035" inset="0,0,0,0">
              <w:txbxContent>
                <w:p w:rsidR="00CA6C66" w:rsidRDefault="00CA6C66">
                  <w:pPr>
                    <w:rPr>
                      <w:sz w:val="20"/>
                      <w:szCs w:val="20"/>
                      <w:lang w:val="en-US"/>
                    </w:rPr>
                  </w:pPr>
                </w:p>
              </w:txbxContent>
            </v:textbox>
          </v:shape>
        </w:pict>
      </w:r>
      <w:r>
        <w:t xml:space="preserve"> </w:t>
      </w:r>
      <w:r>
        <w:rPr>
          <w:b/>
          <w:bCs/>
          <w:snapToGrid w:val="0"/>
          <w:color w:val="000000"/>
        </w:rPr>
        <w:t>Отчет о прибылях и убытках</w:t>
      </w:r>
    </w:p>
    <w:tbl>
      <w:tblPr>
        <w:tblW w:w="0" w:type="auto"/>
        <w:tblLayout w:type="fixed"/>
        <w:tblCellMar>
          <w:left w:w="71" w:type="dxa"/>
          <w:right w:w="71" w:type="dxa"/>
        </w:tblCellMar>
        <w:tblLook w:val="0000" w:firstRow="0" w:lastRow="0" w:firstColumn="0" w:lastColumn="0" w:noHBand="0" w:noVBand="0"/>
      </w:tblPr>
      <w:tblGrid>
        <w:gridCol w:w="7560"/>
        <w:gridCol w:w="660"/>
        <w:gridCol w:w="360"/>
        <w:gridCol w:w="300"/>
        <w:gridCol w:w="660"/>
      </w:tblGrid>
      <w:tr w:rsidR="00CA6C66">
        <w:trPr>
          <w:cantSplit/>
          <w:trHeight w:val="294"/>
        </w:trPr>
        <w:tc>
          <w:tcPr>
            <w:tcW w:w="7560" w:type="dxa"/>
            <w:tcBorders>
              <w:top w:val="nil"/>
              <w:left w:val="nil"/>
              <w:bottom w:val="nil"/>
              <w:right w:val="single" w:sz="4" w:space="0" w:color="auto"/>
            </w:tcBorders>
          </w:tcPr>
          <w:p w:rsidR="00CA6C66" w:rsidRDefault="007F641D">
            <w:pPr>
              <w:tabs>
                <w:tab w:val="left" w:pos="2127"/>
              </w:tabs>
              <w:rPr>
                <w:snapToGrid w:val="0"/>
                <w:color w:val="000000"/>
              </w:rPr>
            </w:pPr>
            <w:r>
              <w:rPr>
                <w:noProof/>
              </w:rPr>
              <w:pict>
                <v:shape id="_x0000_s1036" type="#_x0000_t202" style="position:absolute;margin-left:180.3pt;margin-top:-.15pt;width:95.1pt;height:14.4pt;z-index:251659776" o:allowincell="f" filled="f" stroked="f">
                  <v:textbox style="mso-next-textbox:#_x0000_s1036" inset="0,0,0,0">
                    <w:txbxContent>
                      <w:p w:rsidR="00CA6C66" w:rsidRDefault="00CA6C66">
                        <w:pPr>
                          <w:rPr>
                            <w:sz w:val="20"/>
                            <w:szCs w:val="20"/>
                          </w:rPr>
                        </w:pPr>
                      </w:p>
                    </w:txbxContent>
                  </v:textbox>
                </v:shape>
              </w:pict>
            </w:r>
            <w:r w:rsidR="00CA6C66">
              <w:rPr>
                <w:b/>
                <w:bCs/>
                <w:snapToGrid w:val="0"/>
                <w:color w:val="000000"/>
              </w:rPr>
              <w:t>за __________________20___г.</w:t>
            </w:r>
          </w:p>
        </w:tc>
        <w:tc>
          <w:tcPr>
            <w:tcW w:w="1980" w:type="dxa"/>
            <w:gridSpan w:val="4"/>
            <w:tcBorders>
              <w:top w:val="single" w:sz="6" w:space="0" w:color="auto"/>
              <w:left w:val="nil"/>
              <w:bottom w:val="nil"/>
              <w:right w:val="single" w:sz="6" w:space="0" w:color="auto"/>
            </w:tcBorders>
          </w:tcPr>
          <w:p w:rsidR="00CA6C66" w:rsidRDefault="00CA6C66">
            <w:pPr>
              <w:rPr>
                <w:snapToGrid w:val="0"/>
                <w:color w:val="000000"/>
              </w:rPr>
            </w:pPr>
            <w:r>
              <w:rPr>
                <w:snapToGrid w:val="0"/>
                <w:color w:val="000000"/>
              </w:rPr>
              <w:t>Коды</w:t>
            </w:r>
          </w:p>
        </w:tc>
      </w:tr>
      <w:tr w:rsidR="00CA6C66">
        <w:trPr>
          <w:cantSplit/>
        </w:trPr>
        <w:tc>
          <w:tcPr>
            <w:tcW w:w="7560" w:type="dxa"/>
            <w:vMerge w:val="restart"/>
            <w:tcBorders>
              <w:top w:val="nil"/>
              <w:left w:val="nil"/>
              <w:bottom w:val="nil"/>
              <w:right w:val="nil"/>
            </w:tcBorders>
          </w:tcPr>
          <w:p w:rsidR="00CA6C66" w:rsidRDefault="007F641D">
            <w:pPr>
              <w:rPr>
                <w:snapToGrid w:val="0"/>
                <w:color w:val="000000"/>
              </w:rPr>
            </w:pPr>
            <w:r>
              <w:rPr>
                <w:noProof/>
              </w:rPr>
              <w:pict>
                <v:shape id="_x0000_s1037" type="#_x0000_t202" style="position:absolute;margin-left:51.15pt;margin-top:20.55pt;width:273.6pt;height:10.95pt;z-index:251660800;mso-position-horizontal-relative:text;mso-position-vertical-relative:text" o:allowincell="f" filled="f" stroked="f">
                  <v:textbox style="mso-next-textbox:#_x0000_s1037" inset="0,0,0,0">
                    <w:txbxContent>
                      <w:p w:rsidR="00CA6C66" w:rsidRDefault="00CA6C66">
                        <w:pPr>
                          <w:rPr>
                            <w:sz w:val="20"/>
                            <w:szCs w:val="20"/>
                          </w:rPr>
                        </w:pPr>
                      </w:p>
                    </w:txbxContent>
                  </v:textbox>
                </v:shape>
              </w:pict>
            </w:r>
            <w:r w:rsidR="00CA6C66">
              <w:rPr>
                <w:snapToGrid w:val="0"/>
                <w:color w:val="000000"/>
              </w:rPr>
              <w:t xml:space="preserve">                                                                                                                             Форма № 2 по ОКУД</w:t>
            </w:r>
            <w:r w:rsidR="00CA6C66">
              <w:rPr>
                <w:snapToGrid w:val="0"/>
                <w:color w:val="000000"/>
              </w:rPr>
              <w:br/>
              <w:t xml:space="preserve">                                                                                                                         Дата (год, месяц, число)</w:t>
            </w:r>
            <w:r w:rsidR="00CA6C66">
              <w:rPr>
                <w:snapToGrid w:val="0"/>
                <w:color w:val="000000"/>
              </w:rPr>
              <w:br/>
              <w:t xml:space="preserve">Организация ______________________________________________________________по ОКПО </w:t>
            </w:r>
          </w:p>
        </w:tc>
        <w:tc>
          <w:tcPr>
            <w:tcW w:w="1980" w:type="dxa"/>
            <w:gridSpan w:val="4"/>
            <w:tcBorders>
              <w:top w:val="single" w:sz="12" w:space="0" w:color="auto"/>
              <w:left w:val="single" w:sz="12" w:space="0" w:color="auto"/>
              <w:bottom w:val="single" w:sz="6" w:space="0" w:color="auto"/>
              <w:right w:val="single" w:sz="12" w:space="0" w:color="auto"/>
            </w:tcBorders>
          </w:tcPr>
          <w:p w:rsidR="00CA6C66" w:rsidRDefault="00CA6C66">
            <w:pPr>
              <w:rPr>
                <w:snapToGrid w:val="0"/>
                <w:color w:val="000000"/>
              </w:rPr>
            </w:pPr>
            <w:r>
              <w:rPr>
                <w:snapToGrid w:val="0"/>
                <w:color w:val="000000"/>
              </w:rPr>
              <w:t>0710002</w:t>
            </w:r>
          </w:p>
        </w:tc>
      </w:tr>
      <w:tr w:rsidR="00CA6C66">
        <w:trPr>
          <w:cantSplit/>
        </w:trPr>
        <w:tc>
          <w:tcPr>
            <w:tcW w:w="7560" w:type="dxa"/>
            <w:vMerge/>
            <w:tcBorders>
              <w:top w:val="nil"/>
              <w:left w:val="nil"/>
              <w:bottom w:val="nil"/>
              <w:right w:val="nil"/>
            </w:tcBorders>
          </w:tcPr>
          <w:p w:rsidR="00CA6C66" w:rsidRDefault="00CA6C66">
            <w:pPr>
              <w:rPr>
                <w:snapToGrid w:val="0"/>
              </w:rPr>
            </w:pPr>
          </w:p>
        </w:tc>
        <w:tc>
          <w:tcPr>
            <w:tcW w:w="660" w:type="dxa"/>
            <w:tcBorders>
              <w:top w:val="single" w:sz="6" w:space="0" w:color="auto"/>
              <w:left w:val="single" w:sz="12" w:space="0" w:color="auto"/>
              <w:bottom w:val="single" w:sz="6" w:space="0" w:color="auto"/>
              <w:right w:val="single" w:sz="6" w:space="0" w:color="auto"/>
            </w:tcBorders>
          </w:tcPr>
          <w:p w:rsidR="00CA6C66" w:rsidRDefault="00CA6C66">
            <w:pPr>
              <w:rPr>
                <w:snapToGrid w:val="0"/>
                <w:color w:val="000000"/>
              </w:rPr>
            </w:pPr>
          </w:p>
        </w:tc>
        <w:tc>
          <w:tcPr>
            <w:tcW w:w="660" w:type="dxa"/>
            <w:gridSpan w:val="2"/>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p>
        </w:tc>
        <w:tc>
          <w:tcPr>
            <w:tcW w:w="660" w:type="dxa"/>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p>
        </w:tc>
      </w:tr>
      <w:tr w:rsidR="00CA6C66">
        <w:trPr>
          <w:cantSplit/>
        </w:trPr>
        <w:tc>
          <w:tcPr>
            <w:tcW w:w="7560" w:type="dxa"/>
            <w:vMerge/>
            <w:tcBorders>
              <w:top w:val="nil"/>
              <w:left w:val="nil"/>
              <w:bottom w:val="nil"/>
              <w:right w:val="nil"/>
            </w:tcBorders>
          </w:tcPr>
          <w:p w:rsidR="00CA6C66" w:rsidRDefault="00CA6C66">
            <w:pPr>
              <w:rPr>
                <w:snapToGrid w:val="0"/>
              </w:rPr>
            </w:pPr>
          </w:p>
        </w:tc>
        <w:tc>
          <w:tcPr>
            <w:tcW w:w="1980" w:type="dxa"/>
            <w:gridSpan w:val="4"/>
            <w:tcBorders>
              <w:top w:val="single" w:sz="6" w:space="0" w:color="auto"/>
              <w:left w:val="single" w:sz="12" w:space="0" w:color="auto"/>
              <w:bottom w:val="single" w:sz="6" w:space="0" w:color="auto"/>
              <w:right w:val="single" w:sz="12" w:space="0" w:color="auto"/>
            </w:tcBorders>
          </w:tcPr>
          <w:p w:rsidR="00CA6C66" w:rsidRDefault="00CA6C66">
            <w:pPr>
              <w:rPr>
                <w:snapToGrid w:val="0"/>
                <w:color w:val="000000"/>
              </w:rPr>
            </w:pPr>
          </w:p>
        </w:tc>
      </w:tr>
      <w:tr w:rsidR="00CA6C66">
        <w:trPr>
          <w:cantSplit/>
        </w:trPr>
        <w:tc>
          <w:tcPr>
            <w:tcW w:w="7560" w:type="dxa"/>
            <w:vMerge w:val="restart"/>
            <w:tcBorders>
              <w:top w:val="nil"/>
              <w:left w:val="nil"/>
              <w:bottom w:val="nil"/>
              <w:right w:val="nil"/>
            </w:tcBorders>
          </w:tcPr>
          <w:p w:rsidR="00CA6C66" w:rsidRDefault="007F641D">
            <w:pPr>
              <w:rPr>
                <w:snapToGrid w:val="0"/>
                <w:color w:val="000000"/>
              </w:rPr>
            </w:pPr>
            <w:r>
              <w:rPr>
                <w:noProof/>
              </w:rPr>
              <w:pict>
                <v:shape id="_x0000_s1038" type="#_x0000_t202" style="position:absolute;margin-left:220.2pt;margin-top:26.55pt;width:147.75pt;height:15.15pt;z-index:251662848;mso-position-horizontal-relative:text;mso-position-vertical-relative:text" o:allowincell="f" filled="f" stroked="f">
                  <v:textbox style="mso-next-textbox:#_x0000_s1038" inset="0,0,0,0">
                    <w:txbxContent>
                      <w:p w:rsidR="00CA6C66" w:rsidRDefault="00CA6C66">
                        <w:pPr>
                          <w:rPr>
                            <w:sz w:val="20"/>
                            <w:szCs w:val="20"/>
                          </w:rPr>
                        </w:pPr>
                      </w:p>
                    </w:txbxContent>
                  </v:textbox>
                </v:shape>
              </w:pict>
            </w:r>
            <w:r>
              <w:rPr>
                <w:noProof/>
              </w:rPr>
              <w:pict>
                <v:shape id="_x0000_s1039" type="#_x0000_t202" style="position:absolute;margin-left:69.75pt;margin-top:8.7pt;width:262.2pt;height:15.15pt;z-index:251661824;mso-position-horizontal-relative:text;mso-position-vertical-relative:text" o:allowincell="f" filled="f" stroked="f">
                  <v:textbox style="mso-next-textbox:#_x0000_s1039" inset="0,0,0,0">
                    <w:txbxContent>
                      <w:p w:rsidR="00CA6C66" w:rsidRDefault="00CA6C66">
                        <w:pPr>
                          <w:rPr>
                            <w:sz w:val="20"/>
                            <w:szCs w:val="20"/>
                          </w:rPr>
                        </w:pPr>
                      </w:p>
                    </w:txbxContent>
                  </v:textbox>
                </v:shape>
              </w:pict>
            </w:r>
            <w:r w:rsidR="00CA6C66">
              <w:rPr>
                <w:snapToGrid w:val="0"/>
                <w:color w:val="000000"/>
              </w:rPr>
              <w:t>Идентификационный номер налогоплательщика                                                                      ИНН</w:t>
            </w:r>
            <w:r w:rsidR="00CA6C66">
              <w:rPr>
                <w:snapToGrid w:val="0"/>
                <w:color w:val="000000"/>
              </w:rPr>
              <w:br/>
              <w:t xml:space="preserve">Вид деятельности __________________________________________________________по ОКДП </w:t>
            </w:r>
          </w:p>
        </w:tc>
        <w:tc>
          <w:tcPr>
            <w:tcW w:w="1980" w:type="dxa"/>
            <w:gridSpan w:val="4"/>
            <w:tcBorders>
              <w:top w:val="single" w:sz="6" w:space="0" w:color="auto"/>
              <w:left w:val="single" w:sz="12" w:space="0" w:color="auto"/>
              <w:bottom w:val="single" w:sz="6" w:space="0" w:color="auto"/>
              <w:right w:val="single" w:sz="12" w:space="0" w:color="auto"/>
            </w:tcBorders>
          </w:tcPr>
          <w:p w:rsidR="00CA6C66" w:rsidRDefault="00CA6C66">
            <w:pPr>
              <w:rPr>
                <w:snapToGrid w:val="0"/>
                <w:color w:val="000000"/>
              </w:rPr>
            </w:pPr>
          </w:p>
        </w:tc>
      </w:tr>
      <w:tr w:rsidR="00CA6C66">
        <w:trPr>
          <w:cantSplit/>
        </w:trPr>
        <w:tc>
          <w:tcPr>
            <w:tcW w:w="7560" w:type="dxa"/>
            <w:vMerge/>
            <w:tcBorders>
              <w:top w:val="nil"/>
              <w:left w:val="nil"/>
              <w:bottom w:val="nil"/>
              <w:right w:val="nil"/>
            </w:tcBorders>
          </w:tcPr>
          <w:p w:rsidR="00CA6C66" w:rsidRDefault="00CA6C66">
            <w:pPr>
              <w:rPr>
                <w:snapToGrid w:val="0"/>
              </w:rPr>
            </w:pPr>
          </w:p>
        </w:tc>
        <w:tc>
          <w:tcPr>
            <w:tcW w:w="1020" w:type="dxa"/>
            <w:gridSpan w:val="2"/>
            <w:tcBorders>
              <w:top w:val="single" w:sz="6" w:space="0" w:color="auto"/>
              <w:left w:val="single" w:sz="12" w:space="0" w:color="auto"/>
              <w:bottom w:val="nil"/>
              <w:right w:val="single" w:sz="4" w:space="0" w:color="auto"/>
            </w:tcBorders>
          </w:tcPr>
          <w:p w:rsidR="00CA6C66" w:rsidRDefault="00CA6C66">
            <w:pPr>
              <w:rPr>
                <w:snapToGrid w:val="0"/>
                <w:color w:val="000000"/>
              </w:rPr>
            </w:pPr>
          </w:p>
        </w:tc>
        <w:tc>
          <w:tcPr>
            <w:tcW w:w="960" w:type="dxa"/>
            <w:gridSpan w:val="2"/>
            <w:tcBorders>
              <w:top w:val="single" w:sz="6" w:space="0" w:color="auto"/>
              <w:left w:val="single" w:sz="4" w:space="0" w:color="auto"/>
              <w:bottom w:val="nil"/>
              <w:right w:val="single" w:sz="12" w:space="0" w:color="auto"/>
            </w:tcBorders>
          </w:tcPr>
          <w:p w:rsidR="00CA6C66" w:rsidRDefault="00CA6C66">
            <w:pPr>
              <w:rPr>
                <w:snapToGrid w:val="0"/>
                <w:color w:val="000000"/>
              </w:rPr>
            </w:pPr>
          </w:p>
        </w:tc>
      </w:tr>
      <w:tr w:rsidR="00CA6C66">
        <w:trPr>
          <w:cantSplit/>
        </w:trPr>
        <w:tc>
          <w:tcPr>
            <w:tcW w:w="7560" w:type="dxa"/>
            <w:tcBorders>
              <w:top w:val="nil"/>
              <w:left w:val="nil"/>
              <w:bottom w:val="nil"/>
              <w:right w:val="nil"/>
            </w:tcBorders>
          </w:tcPr>
          <w:p w:rsidR="00CA6C66" w:rsidRDefault="00CA6C66">
            <w:pPr>
              <w:rPr>
                <w:snapToGrid w:val="0"/>
                <w:color w:val="000000"/>
              </w:rPr>
            </w:pPr>
            <w:r>
              <w:rPr>
                <w:snapToGrid w:val="0"/>
                <w:color w:val="000000"/>
              </w:rPr>
              <w:t>Организационно-правовая форма / форма собственности  ________________________________</w:t>
            </w:r>
          </w:p>
        </w:tc>
        <w:tc>
          <w:tcPr>
            <w:tcW w:w="1020" w:type="dxa"/>
            <w:gridSpan w:val="2"/>
            <w:vMerge w:val="restart"/>
            <w:tcBorders>
              <w:top w:val="single" w:sz="4" w:space="0" w:color="auto"/>
              <w:left w:val="single" w:sz="12" w:space="0" w:color="auto"/>
              <w:bottom w:val="single" w:sz="6" w:space="0" w:color="auto"/>
              <w:right w:val="single" w:sz="6" w:space="0" w:color="auto"/>
            </w:tcBorders>
          </w:tcPr>
          <w:p w:rsidR="00CA6C66" w:rsidRDefault="00CA6C66">
            <w:pPr>
              <w:rPr>
                <w:snapToGrid w:val="0"/>
              </w:rPr>
            </w:pPr>
          </w:p>
        </w:tc>
        <w:tc>
          <w:tcPr>
            <w:tcW w:w="960" w:type="dxa"/>
            <w:gridSpan w:val="2"/>
            <w:vMerge w:val="restart"/>
            <w:tcBorders>
              <w:top w:val="single" w:sz="6" w:space="0" w:color="auto"/>
              <w:left w:val="single" w:sz="6" w:space="0" w:color="auto"/>
              <w:bottom w:val="nil"/>
              <w:right w:val="single" w:sz="12" w:space="0" w:color="auto"/>
            </w:tcBorders>
          </w:tcPr>
          <w:p w:rsidR="00CA6C66" w:rsidRDefault="00CA6C66">
            <w:pPr>
              <w:rPr>
                <w:snapToGrid w:val="0"/>
                <w:color w:val="000000"/>
              </w:rPr>
            </w:pPr>
          </w:p>
        </w:tc>
      </w:tr>
      <w:tr w:rsidR="00CA6C66">
        <w:trPr>
          <w:cantSplit/>
        </w:trPr>
        <w:tc>
          <w:tcPr>
            <w:tcW w:w="7560" w:type="dxa"/>
            <w:tcBorders>
              <w:top w:val="nil"/>
              <w:left w:val="nil"/>
              <w:bottom w:val="nil"/>
              <w:right w:val="nil"/>
            </w:tcBorders>
          </w:tcPr>
          <w:p w:rsidR="00CA6C66" w:rsidRDefault="007F641D">
            <w:pPr>
              <w:rPr>
                <w:snapToGrid w:val="0"/>
                <w:color w:val="000000"/>
              </w:rPr>
            </w:pPr>
            <w:r>
              <w:rPr>
                <w:noProof/>
              </w:rPr>
              <w:pict>
                <v:shape id="_x0000_s1040" type="#_x0000_t202" style="position:absolute;margin-left:-.45pt;margin-top:-1.5pt;width:282.75pt;height:12.9pt;z-index:251663872;mso-position-horizontal-relative:text;mso-position-vertical-relative:text" o:allowincell="f" filled="f" stroked="f">
                  <v:textbox style="mso-next-textbox:#_x0000_s1040" inset="0,0,0,0">
                    <w:txbxContent>
                      <w:p w:rsidR="00CA6C66" w:rsidRDefault="00CA6C66">
                        <w:pPr>
                          <w:rPr>
                            <w:sz w:val="20"/>
                            <w:szCs w:val="20"/>
                          </w:rPr>
                        </w:pPr>
                      </w:p>
                    </w:txbxContent>
                  </v:textbox>
                </v:shape>
              </w:pict>
            </w:r>
            <w:r w:rsidR="00CA6C66">
              <w:rPr>
                <w:snapToGrid w:val="0"/>
                <w:color w:val="000000"/>
              </w:rPr>
              <w:t xml:space="preserve">________________________________________________________________по ОКОПФ / ОКФС </w:t>
            </w:r>
          </w:p>
        </w:tc>
        <w:tc>
          <w:tcPr>
            <w:tcW w:w="1020" w:type="dxa"/>
            <w:gridSpan w:val="2"/>
            <w:vMerge/>
            <w:tcBorders>
              <w:top w:val="single" w:sz="6" w:space="0" w:color="auto"/>
              <w:left w:val="single" w:sz="12" w:space="0" w:color="auto"/>
              <w:bottom w:val="single" w:sz="6" w:space="0" w:color="auto"/>
              <w:right w:val="single" w:sz="6" w:space="0" w:color="auto"/>
            </w:tcBorders>
          </w:tcPr>
          <w:p w:rsidR="00CA6C66" w:rsidRDefault="00CA6C66">
            <w:pPr>
              <w:rPr>
                <w:snapToGrid w:val="0"/>
              </w:rPr>
            </w:pPr>
          </w:p>
        </w:tc>
        <w:tc>
          <w:tcPr>
            <w:tcW w:w="960" w:type="dxa"/>
            <w:gridSpan w:val="2"/>
            <w:vMerge/>
            <w:tcBorders>
              <w:top w:val="nil"/>
              <w:left w:val="single" w:sz="6" w:space="0" w:color="auto"/>
              <w:bottom w:val="single" w:sz="6" w:space="0" w:color="auto"/>
              <w:right w:val="single" w:sz="12" w:space="0" w:color="auto"/>
            </w:tcBorders>
          </w:tcPr>
          <w:p w:rsidR="00CA6C66" w:rsidRDefault="00CA6C66">
            <w:pPr>
              <w:rPr>
                <w:snapToGrid w:val="0"/>
              </w:rPr>
            </w:pPr>
          </w:p>
        </w:tc>
      </w:tr>
      <w:tr w:rsidR="00CA6C66">
        <w:trPr>
          <w:cantSplit/>
        </w:trPr>
        <w:tc>
          <w:tcPr>
            <w:tcW w:w="7560" w:type="dxa"/>
            <w:tcBorders>
              <w:top w:val="nil"/>
              <w:left w:val="nil"/>
              <w:bottom w:val="nil"/>
              <w:right w:val="nil"/>
            </w:tcBorders>
          </w:tcPr>
          <w:p w:rsidR="00CA6C66" w:rsidRDefault="00CA6C66">
            <w:pPr>
              <w:rPr>
                <w:snapToGrid w:val="0"/>
                <w:color w:val="000000"/>
              </w:rPr>
            </w:pPr>
            <w:r>
              <w:rPr>
                <w:snapToGrid w:val="0"/>
                <w:color w:val="000000"/>
              </w:rPr>
              <w:t xml:space="preserve">Единица измерения: тыс. руб. / млн руб. (ненужное зачеркнуть)                                    по ОКЕИ </w:t>
            </w:r>
          </w:p>
        </w:tc>
        <w:tc>
          <w:tcPr>
            <w:tcW w:w="1980" w:type="dxa"/>
            <w:gridSpan w:val="4"/>
            <w:tcBorders>
              <w:top w:val="single" w:sz="6" w:space="0" w:color="auto"/>
              <w:left w:val="single" w:sz="12" w:space="0" w:color="auto"/>
              <w:bottom w:val="single" w:sz="12" w:space="0" w:color="auto"/>
              <w:right w:val="single" w:sz="12" w:space="0" w:color="auto"/>
            </w:tcBorders>
          </w:tcPr>
          <w:p w:rsidR="00CA6C66" w:rsidRDefault="00CA6C66">
            <w:pPr>
              <w:rPr>
                <w:snapToGrid w:val="0"/>
                <w:color w:val="000000"/>
              </w:rPr>
            </w:pPr>
            <w:r>
              <w:rPr>
                <w:snapToGrid w:val="0"/>
                <w:color w:val="000000"/>
              </w:rPr>
              <w:t>384/385</w:t>
            </w:r>
          </w:p>
        </w:tc>
      </w:tr>
    </w:tbl>
    <w:p w:rsidR="00CA6C66" w:rsidRDefault="00CA6C66">
      <w:pPr>
        <w:rPr>
          <w:snapToGrid w:val="0"/>
        </w:rPr>
      </w:pPr>
    </w:p>
    <w:tbl>
      <w:tblPr>
        <w:tblW w:w="0" w:type="auto"/>
        <w:tblInd w:w="-5" w:type="dxa"/>
        <w:tblLayout w:type="fixed"/>
        <w:tblCellMar>
          <w:left w:w="71" w:type="dxa"/>
          <w:right w:w="71" w:type="dxa"/>
        </w:tblCellMar>
        <w:tblLook w:val="0000" w:firstRow="0" w:lastRow="0" w:firstColumn="0" w:lastColumn="0" w:noHBand="0" w:noVBand="0"/>
      </w:tblPr>
      <w:tblGrid>
        <w:gridCol w:w="5400"/>
        <w:gridCol w:w="20"/>
        <w:gridCol w:w="676"/>
        <w:gridCol w:w="44"/>
        <w:gridCol w:w="1460"/>
        <w:gridCol w:w="40"/>
        <w:gridCol w:w="1840"/>
        <w:gridCol w:w="18"/>
      </w:tblGrid>
      <w:tr w:rsidR="00CA6C66">
        <w:trPr>
          <w:gridAfter w:val="1"/>
          <w:wAfter w:w="18" w:type="dxa"/>
        </w:trPr>
        <w:tc>
          <w:tcPr>
            <w:tcW w:w="5420" w:type="dxa"/>
            <w:gridSpan w:val="2"/>
            <w:tcBorders>
              <w:top w:val="single" w:sz="6" w:space="0" w:color="auto"/>
              <w:left w:val="sing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 xml:space="preserve">Наименование показателя </w:t>
            </w:r>
          </w:p>
        </w:tc>
        <w:tc>
          <w:tcPr>
            <w:tcW w:w="720" w:type="dxa"/>
            <w:gridSpan w:val="2"/>
            <w:tcBorders>
              <w:top w:val="single" w:sz="6" w:space="0" w:color="auto"/>
              <w:left w:val="single" w:sz="6"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Код</w:t>
            </w:r>
            <w:r>
              <w:rPr>
                <w:snapToGrid w:val="0"/>
                <w:color w:val="000000"/>
              </w:rPr>
              <w:br/>
              <w:t xml:space="preserve">строки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За отчетный</w:t>
            </w:r>
            <w:r>
              <w:rPr>
                <w:snapToGrid w:val="0"/>
                <w:color w:val="000000"/>
              </w:rPr>
              <w:br/>
              <w:t xml:space="preserve">период </w:t>
            </w:r>
          </w:p>
        </w:tc>
        <w:tc>
          <w:tcPr>
            <w:tcW w:w="1880" w:type="dxa"/>
            <w:gridSpan w:val="2"/>
            <w:tcBorders>
              <w:top w:val="single" w:sz="6" w:space="0" w:color="auto"/>
              <w:left w:val="single" w:sz="6" w:space="0" w:color="auto"/>
              <w:bottom w:val="single" w:sz="6" w:space="0" w:color="auto"/>
              <w:right w:val="single" w:sz="4" w:space="0" w:color="auto"/>
            </w:tcBorders>
          </w:tcPr>
          <w:p w:rsidR="00CA6C66" w:rsidRDefault="00CA6C66">
            <w:pPr>
              <w:rPr>
                <w:snapToGrid w:val="0"/>
                <w:color w:val="000000"/>
              </w:rPr>
            </w:pPr>
            <w:r>
              <w:rPr>
                <w:snapToGrid w:val="0"/>
                <w:color w:val="000000"/>
              </w:rPr>
              <w:t>За аналогичный период</w:t>
            </w:r>
            <w:r>
              <w:rPr>
                <w:snapToGrid w:val="0"/>
                <w:color w:val="000000"/>
              </w:rPr>
              <w:br/>
              <w:t xml:space="preserve">предыдущего года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6" w:space="0" w:color="auto"/>
            </w:tcBorders>
            <w:vAlign w:val="center"/>
          </w:tcPr>
          <w:p w:rsidR="00CA6C66" w:rsidRDefault="00CA6C66">
            <w:pPr>
              <w:rPr>
                <w:snapToGrid w:val="0"/>
                <w:color w:val="000000"/>
              </w:rPr>
            </w:pPr>
            <w:r>
              <w:rPr>
                <w:snapToGrid w:val="0"/>
                <w:color w:val="000000"/>
              </w:rPr>
              <w:t>1</w:t>
            </w:r>
          </w:p>
        </w:tc>
        <w:tc>
          <w:tcPr>
            <w:tcW w:w="720" w:type="dxa"/>
            <w:gridSpan w:val="2"/>
            <w:tcBorders>
              <w:top w:val="single" w:sz="6" w:space="0" w:color="auto"/>
              <w:left w:val="single" w:sz="6" w:space="0" w:color="auto"/>
              <w:bottom w:val="single" w:sz="12" w:space="0" w:color="auto"/>
              <w:right w:val="single" w:sz="6" w:space="0" w:color="auto"/>
            </w:tcBorders>
            <w:vAlign w:val="bottom"/>
          </w:tcPr>
          <w:p w:rsidR="00CA6C66" w:rsidRDefault="00CA6C66">
            <w:pPr>
              <w:rPr>
                <w:snapToGrid w:val="0"/>
                <w:color w:val="000000"/>
              </w:rPr>
            </w:pPr>
            <w:r>
              <w:rPr>
                <w:snapToGrid w:val="0"/>
                <w:color w:val="000000"/>
              </w:rPr>
              <w:t xml:space="preserve">2 </w:t>
            </w:r>
          </w:p>
        </w:tc>
        <w:tc>
          <w:tcPr>
            <w:tcW w:w="1460" w:type="dxa"/>
            <w:tcBorders>
              <w:top w:val="single" w:sz="6" w:space="0" w:color="auto"/>
              <w:left w:val="single" w:sz="6" w:space="0" w:color="auto"/>
              <w:bottom w:val="single" w:sz="12" w:space="0" w:color="auto"/>
              <w:right w:val="single" w:sz="6" w:space="0" w:color="auto"/>
            </w:tcBorders>
          </w:tcPr>
          <w:p w:rsidR="00CA6C66" w:rsidRDefault="00CA6C66">
            <w:pPr>
              <w:rPr>
                <w:snapToGrid w:val="0"/>
                <w:color w:val="000000"/>
              </w:rPr>
            </w:pPr>
            <w:r>
              <w:rPr>
                <w:snapToGrid w:val="0"/>
                <w:color w:val="000000"/>
              </w:rPr>
              <w:t xml:space="preserve">3 </w:t>
            </w:r>
          </w:p>
        </w:tc>
        <w:tc>
          <w:tcPr>
            <w:tcW w:w="1880" w:type="dxa"/>
            <w:gridSpan w:val="2"/>
            <w:tcBorders>
              <w:top w:val="single" w:sz="6" w:space="0" w:color="auto"/>
              <w:left w:val="single" w:sz="6" w:space="0" w:color="auto"/>
              <w:bottom w:val="single" w:sz="12" w:space="0" w:color="auto"/>
              <w:right w:val="single" w:sz="4" w:space="0" w:color="auto"/>
            </w:tcBorders>
          </w:tcPr>
          <w:p w:rsidR="00CA6C66" w:rsidRDefault="00CA6C66">
            <w:pPr>
              <w:rPr>
                <w:snapToGrid w:val="0"/>
                <w:color w:val="000000"/>
              </w:rPr>
            </w:pPr>
            <w:r>
              <w:rPr>
                <w:snapToGrid w:val="0"/>
                <w:color w:val="000000"/>
              </w:rPr>
              <w:t xml:space="preserve">4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b/>
                <w:bCs/>
                <w:snapToGrid w:val="0"/>
                <w:color w:val="000000"/>
              </w:rPr>
            </w:pPr>
            <w:r>
              <w:rPr>
                <w:b/>
                <w:bCs/>
                <w:snapToGrid w:val="0"/>
                <w:color w:val="000000"/>
              </w:rPr>
              <w:t xml:space="preserve">I. Доходы и расходы по обычным видам деятельности </w:t>
            </w:r>
          </w:p>
          <w:p w:rsidR="00CA6C66" w:rsidRDefault="00CA6C66">
            <w:pPr>
              <w:rPr>
                <w:snapToGrid w:val="0"/>
                <w:color w:val="000000"/>
              </w:rPr>
            </w:pPr>
            <w:r>
              <w:rPr>
                <w:snapToGrid w:val="0"/>
                <w:color w:val="000000"/>
              </w:rPr>
              <w:t>Выручка (нетто) от продажи товаров, продукции, работ, услуг</w:t>
            </w:r>
            <w:r>
              <w:rPr>
                <w:snapToGrid w:val="0"/>
                <w:color w:val="000000"/>
              </w:rPr>
              <w:br/>
              <w:t>(за минусом налога на добавленную стоимость, акцизов и аналогичных</w:t>
            </w:r>
            <w:r>
              <w:rPr>
                <w:snapToGrid w:val="0"/>
                <w:color w:val="000000"/>
              </w:rPr>
              <w:br/>
              <w:t xml:space="preserve">обязательных платежей) </w:t>
            </w:r>
          </w:p>
        </w:tc>
        <w:tc>
          <w:tcPr>
            <w:tcW w:w="720" w:type="dxa"/>
            <w:gridSpan w:val="2"/>
            <w:tcBorders>
              <w:top w:val="single" w:sz="12"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010 </w:t>
            </w:r>
          </w:p>
        </w:tc>
        <w:tc>
          <w:tcPr>
            <w:tcW w:w="1460" w:type="dxa"/>
            <w:tcBorders>
              <w:top w:val="single" w:sz="12"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3848</w:t>
            </w:r>
          </w:p>
        </w:tc>
        <w:tc>
          <w:tcPr>
            <w:tcW w:w="1880" w:type="dxa"/>
            <w:gridSpan w:val="2"/>
            <w:tcBorders>
              <w:top w:val="single" w:sz="12"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2369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tabs>
                <w:tab w:val="left" w:pos="567"/>
              </w:tabs>
              <w:rPr>
                <w:snapToGrid w:val="0"/>
                <w:color w:val="000000"/>
              </w:rPr>
            </w:pPr>
            <w:r>
              <w:rPr>
                <w:snapToGrid w:val="0"/>
                <w:color w:val="000000"/>
              </w:rPr>
              <w:tab/>
              <w:t xml:space="preserve">в том числе от продажи: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011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3848</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2369</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012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013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Себестоимость проданных товаров, продукции, работ, услуг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020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3135</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2367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tabs>
                <w:tab w:val="left" w:pos="567"/>
              </w:tabs>
              <w:rPr>
                <w:snapToGrid w:val="0"/>
                <w:color w:val="000000"/>
              </w:rPr>
            </w:pPr>
            <w:r>
              <w:rPr>
                <w:snapToGrid w:val="0"/>
                <w:color w:val="000000"/>
              </w:rPr>
              <w:tab/>
              <w:t xml:space="preserve">в том числе проданных: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021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3135</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2367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022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023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Валовая прибыль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029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713</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Коммерческие расходы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030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348</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26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Управленческие расходы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040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Прибыль (убыток) от продаж (строки (010 - 020 - 030 - 040)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050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3365</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-24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b/>
                <w:bCs/>
                <w:snapToGrid w:val="0"/>
                <w:color w:val="000000"/>
              </w:rPr>
            </w:pPr>
            <w:r>
              <w:rPr>
                <w:b/>
                <w:bCs/>
                <w:snapToGrid w:val="0"/>
                <w:color w:val="000000"/>
              </w:rPr>
              <w:t xml:space="preserve">II. Операционные доходы и расходы </w:t>
            </w:r>
          </w:p>
          <w:p w:rsidR="00CA6C66" w:rsidRDefault="00CA6C66">
            <w:pPr>
              <w:rPr>
                <w:snapToGrid w:val="0"/>
                <w:color w:val="000000"/>
              </w:rPr>
            </w:pPr>
            <w:r>
              <w:rPr>
                <w:snapToGrid w:val="0"/>
                <w:color w:val="000000"/>
              </w:rPr>
              <w:t xml:space="preserve">Проценты к получению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060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Проценты к уплате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070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Доходы от участия в других организациях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080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Прочие операционные доходы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090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27</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11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Прочие операционные расходы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100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134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3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b/>
                <w:bCs/>
                <w:snapToGrid w:val="0"/>
                <w:color w:val="000000"/>
              </w:rPr>
            </w:pPr>
            <w:r>
              <w:rPr>
                <w:b/>
                <w:bCs/>
                <w:snapToGrid w:val="0"/>
                <w:color w:val="000000"/>
              </w:rPr>
              <w:t xml:space="preserve">III. Внереализационные доходы и расходы </w:t>
            </w:r>
          </w:p>
          <w:p w:rsidR="00CA6C66" w:rsidRDefault="00CA6C66">
            <w:pPr>
              <w:rPr>
                <w:snapToGrid w:val="0"/>
                <w:color w:val="000000"/>
              </w:rPr>
            </w:pPr>
            <w:r>
              <w:rPr>
                <w:snapToGrid w:val="0"/>
                <w:color w:val="000000"/>
              </w:rPr>
              <w:t xml:space="preserve">Внереализационные доходы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120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41</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373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Внереализационные расходы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130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217</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263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Прибыль (убыток) до налогообложения</w:t>
            </w:r>
            <w:r>
              <w:rPr>
                <w:snapToGrid w:val="0"/>
                <w:color w:val="000000"/>
              </w:rPr>
              <w:br/>
              <w:t xml:space="preserve">(строки (050 + 060 - 070 + 080 + 090 - 100 + 120 - 130))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140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82</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94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Налог на прибыль и иные аналогичные обязательные платежи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150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82</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94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Прибыль (убыток) от обычной деятельности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160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b/>
                <w:bCs/>
                <w:snapToGrid w:val="0"/>
                <w:color w:val="000000"/>
              </w:rPr>
            </w:pPr>
            <w:r>
              <w:rPr>
                <w:b/>
                <w:bCs/>
                <w:snapToGrid w:val="0"/>
                <w:color w:val="000000"/>
              </w:rPr>
              <w:t xml:space="preserve">IV. Чрезвычайные доходы и расходы </w:t>
            </w:r>
          </w:p>
          <w:p w:rsidR="00CA6C66" w:rsidRDefault="00CA6C66">
            <w:pPr>
              <w:rPr>
                <w:snapToGrid w:val="0"/>
                <w:color w:val="000000"/>
              </w:rPr>
            </w:pPr>
            <w:r>
              <w:rPr>
                <w:snapToGrid w:val="0"/>
                <w:color w:val="000000"/>
              </w:rPr>
              <w:t xml:space="preserve">Чрезвычайные доходы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170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Чрезвычайные расходы </w:t>
            </w:r>
          </w:p>
        </w:tc>
        <w:tc>
          <w:tcPr>
            <w:tcW w:w="720" w:type="dxa"/>
            <w:gridSpan w:val="2"/>
            <w:tcBorders>
              <w:top w:val="single" w:sz="6" w:space="0" w:color="auto"/>
              <w:left w:val="nil"/>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180 </w:t>
            </w:r>
          </w:p>
        </w:tc>
        <w:tc>
          <w:tcPr>
            <w:tcW w:w="1460" w:type="dxa"/>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6"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rPr>
          <w:gridAfter w:val="1"/>
          <w:wAfter w:w="18" w:type="dxa"/>
        </w:trPr>
        <w:tc>
          <w:tcPr>
            <w:tcW w:w="5420" w:type="dxa"/>
            <w:gridSpan w:val="2"/>
            <w:tcBorders>
              <w:top w:val="single" w:sz="6" w:space="0" w:color="auto"/>
              <w:left w:val="single" w:sz="4" w:space="0" w:color="auto"/>
              <w:bottom w:val="single" w:sz="6" w:space="0" w:color="auto"/>
              <w:right w:val="single" w:sz="12" w:space="0" w:color="auto"/>
            </w:tcBorders>
          </w:tcPr>
          <w:p w:rsidR="00CA6C66" w:rsidRDefault="00CA6C66">
            <w:pPr>
              <w:rPr>
                <w:snapToGrid w:val="0"/>
                <w:color w:val="000000"/>
              </w:rPr>
            </w:pPr>
            <w:r>
              <w:rPr>
                <w:snapToGrid w:val="0"/>
                <w:color w:val="000000"/>
              </w:rPr>
              <w:t>Чистая прибыль (нераспределенная прибыль (убыток) отчетного</w:t>
            </w:r>
            <w:r>
              <w:rPr>
                <w:snapToGrid w:val="0"/>
                <w:color w:val="000000"/>
              </w:rPr>
              <w:br/>
              <w:t xml:space="preserve">периода) (строки (160 + 170 - 180)) </w:t>
            </w:r>
          </w:p>
        </w:tc>
        <w:tc>
          <w:tcPr>
            <w:tcW w:w="720" w:type="dxa"/>
            <w:gridSpan w:val="2"/>
            <w:tcBorders>
              <w:top w:val="single" w:sz="6" w:space="0" w:color="auto"/>
              <w:left w:val="nil"/>
              <w:bottom w:val="single" w:sz="12" w:space="0" w:color="auto"/>
              <w:right w:val="single" w:sz="6" w:space="0" w:color="auto"/>
            </w:tcBorders>
            <w:vAlign w:val="bottom"/>
          </w:tcPr>
          <w:p w:rsidR="00CA6C66" w:rsidRDefault="00CA6C66">
            <w:pPr>
              <w:rPr>
                <w:snapToGrid w:val="0"/>
                <w:color w:val="000000"/>
              </w:rPr>
            </w:pPr>
            <w:r>
              <w:rPr>
                <w:snapToGrid w:val="0"/>
                <w:color w:val="000000"/>
              </w:rPr>
              <w:t xml:space="preserve">190 </w:t>
            </w:r>
          </w:p>
        </w:tc>
        <w:tc>
          <w:tcPr>
            <w:tcW w:w="1460" w:type="dxa"/>
            <w:tcBorders>
              <w:top w:val="single" w:sz="6" w:space="0" w:color="auto"/>
              <w:left w:val="single" w:sz="6" w:space="0" w:color="auto"/>
              <w:bottom w:val="single" w:sz="12" w:space="0" w:color="auto"/>
              <w:right w:val="single" w:sz="6" w:space="0" w:color="auto"/>
            </w:tcBorders>
          </w:tcPr>
          <w:p w:rsidR="00CA6C66" w:rsidRDefault="00CA6C66">
            <w:pPr>
              <w:rPr>
                <w:snapToGrid w:val="0"/>
                <w:color w:val="000000"/>
              </w:rPr>
            </w:pPr>
            <w:r>
              <w:rPr>
                <w:snapToGrid w:val="0"/>
                <w:color w:val="000000"/>
              </w:rPr>
              <w:t xml:space="preserve">- </w:t>
            </w:r>
          </w:p>
        </w:tc>
        <w:tc>
          <w:tcPr>
            <w:tcW w:w="1880" w:type="dxa"/>
            <w:gridSpan w:val="2"/>
            <w:tcBorders>
              <w:top w:val="single" w:sz="6" w:space="0" w:color="auto"/>
              <w:left w:val="single" w:sz="6" w:space="0" w:color="auto"/>
              <w:bottom w:val="single" w:sz="12" w:space="0" w:color="auto"/>
              <w:right w:val="single" w:sz="12" w:space="0" w:color="auto"/>
            </w:tcBorders>
          </w:tcPr>
          <w:p w:rsidR="00CA6C66" w:rsidRDefault="00CA6C66">
            <w:pPr>
              <w:rPr>
                <w:snapToGrid w:val="0"/>
                <w:color w:val="000000"/>
              </w:rPr>
            </w:pPr>
            <w:r>
              <w:rPr>
                <w:snapToGrid w:val="0"/>
                <w:color w:val="000000"/>
              </w:rPr>
              <w:t xml:space="preserve">- </w:t>
            </w:r>
          </w:p>
        </w:tc>
      </w:tr>
      <w:tr w:rsidR="00CA6C66">
        <w:tc>
          <w:tcPr>
            <w:tcW w:w="5400" w:type="dxa"/>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СПРАВОЧНО.</w:t>
            </w:r>
          </w:p>
          <w:p w:rsidR="00CA6C66" w:rsidRDefault="00CA6C66">
            <w:pPr>
              <w:tabs>
                <w:tab w:val="left" w:pos="567"/>
              </w:tabs>
              <w:rPr>
                <w:snapToGrid w:val="0"/>
                <w:color w:val="000000"/>
              </w:rPr>
            </w:pPr>
            <w:r>
              <w:rPr>
                <w:snapToGrid w:val="0"/>
                <w:color w:val="000000"/>
              </w:rPr>
              <w:t xml:space="preserve">Дивиденды, приходящиеся на одну акцию: </w:t>
            </w:r>
            <w:r>
              <w:rPr>
                <w:snapToGrid w:val="0"/>
                <w:color w:val="000000"/>
              </w:rPr>
              <w:br/>
            </w:r>
            <w:r>
              <w:rPr>
                <w:snapToGrid w:val="0"/>
                <w:color w:val="000000"/>
              </w:rPr>
              <w:tab/>
              <w:t xml:space="preserve">по привилегированным </w:t>
            </w:r>
          </w:p>
        </w:tc>
        <w:tc>
          <w:tcPr>
            <w:tcW w:w="696"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201 </w:t>
            </w:r>
          </w:p>
        </w:tc>
        <w:tc>
          <w:tcPr>
            <w:tcW w:w="1544"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58"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 xml:space="preserve">- </w:t>
            </w:r>
          </w:p>
        </w:tc>
      </w:tr>
      <w:tr w:rsidR="00CA6C66">
        <w:tc>
          <w:tcPr>
            <w:tcW w:w="5400" w:type="dxa"/>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 xml:space="preserve">по обычным </w:t>
            </w:r>
          </w:p>
        </w:tc>
        <w:tc>
          <w:tcPr>
            <w:tcW w:w="696"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202 </w:t>
            </w:r>
          </w:p>
        </w:tc>
        <w:tc>
          <w:tcPr>
            <w:tcW w:w="1544"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58"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 xml:space="preserve">- </w:t>
            </w:r>
          </w:p>
        </w:tc>
      </w:tr>
      <w:tr w:rsidR="00CA6C66">
        <w:tc>
          <w:tcPr>
            <w:tcW w:w="5400" w:type="dxa"/>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Предполагаемые в следующем отчетном году суммы дивидендов,</w:t>
            </w:r>
            <w:r>
              <w:rPr>
                <w:snapToGrid w:val="0"/>
                <w:color w:val="000000"/>
              </w:rPr>
              <w:br/>
              <w:t xml:space="preserve">приходящиеся на одну акцию: </w:t>
            </w:r>
            <w:r>
              <w:rPr>
                <w:snapToGrid w:val="0"/>
                <w:color w:val="000000"/>
              </w:rPr>
              <w:br/>
            </w:r>
            <w:r>
              <w:rPr>
                <w:snapToGrid w:val="0"/>
                <w:color w:val="000000"/>
              </w:rPr>
              <w:tab/>
              <w:t xml:space="preserve">по привилегированным </w:t>
            </w:r>
          </w:p>
        </w:tc>
        <w:tc>
          <w:tcPr>
            <w:tcW w:w="696" w:type="dxa"/>
            <w:gridSpan w:val="2"/>
            <w:tcBorders>
              <w:top w:val="single" w:sz="6" w:space="0" w:color="auto"/>
              <w:left w:val="double" w:sz="4" w:space="0" w:color="auto"/>
              <w:bottom w:val="single" w:sz="6" w:space="0" w:color="auto"/>
              <w:right w:val="single" w:sz="6" w:space="0" w:color="auto"/>
            </w:tcBorders>
            <w:vAlign w:val="bottom"/>
          </w:tcPr>
          <w:p w:rsidR="00CA6C66" w:rsidRDefault="00CA6C66">
            <w:pPr>
              <w:rPr>
                <w:snapToGrid w:val="0"/>
                <w:color w:val="000000"/>
              </w:rPr>
            </w:pPr>
            <w:r>
              <w:rPr>
                <w:snapToGrid w:val="0"/>
                <w:color w:val="000000"/>
              </w:rPr>
              <w:t xml:space="preserve">203 </w:t>
            </w:r>
          </w:p>
        </w:tc>
        <w:tc>
          <w:tcPr>
            <w:tcW w:w="1544" w:type="dxa"/>
            <w:gridSpan w:val="3"/>
            <w:tcBorders>
              <w:top w:val="single" w:sz="6" w:space="0" w:color="auto"/>
              <w:left w:val="single" w:sz="6" w:space="0" w:color="auto"/>
              <w:bottom w:val="single" w:sz="6" w:space="0" w:color="auto"/>
              <w:right w:val="single" w:sz="6" w:space="0" w:color="auto"/>
            </w:tcBorders>
          </w:tcPr>
          <w:p w:rsidR="00CA6C66" w:rsidRDefault="00CA6C66">
            <w:pPr>
              <w:rPr>
                <w:snapToGrid w:val="0"/>
                <w:color w:val="000000"/>
              </w:rPr>
            </w:pPr>
            <w:r>
              <w:rPr>
                <w:snapToGrid w:val="0"/>
                <w:color w:val="000000"/>
              </w:rPr>
              <w:t xml:space="preserve">- </w:t>
            </w:r>
          </w:p>
        </w:tc>
        <w:tc>
          <w:tcPr>
            <w:tcW w:w="1858" w:type="dxa"/>
            <w:gridSpan w:val="2"/>
            <w:tcBorders>
              <w:top w:val="single" w:sz="6" w:space="0" w:color="auto"/>
              <w:left w:val="single" w:sz="6" w:space="0" w:color="auto"/>
              <w:bottom w:val="single" w:sz="6" w:space="0" w:color="auto"/>
              <w:right w:val="double" w:sz="4" w:space="0" w:color="auto"/>
            </w:tcBorders>
          </w:tcPr>
          <w:p w:rsidR="00CA6C66" w:rsidRDefault="00CA6C66">
            <w:pPr>
              <w:rPr>
                <w:snapToGrid w:val="0"/>
                <w:color w:val="000000"/>
              </w:rPr>
            </w:pPr>
            <w:r>
              <w:rPr>
                <w:snapToGrid w:val="0"/>
                <w:color w:val="000000"/>
              </w:rPr>
              <w:t xml:space="preserve">- </w:t>
            </w:r>
          </w:p>
        </w:tc>
      </w:tr>
      <w:tr w:rsidR="00CA6C66">
        <w:tc>
          <w:tcPr>
            <w:tcW w:w="5400" w:type="dxa"/>
            <w:tcBorders>
              <w:top w:val="single" w:sz="6" w:space="0" w:color="auto"/>
              <w:left w:val="single" w:sz="6" w:space="0" w:color="auto"/>
              <w:bottom w:val="single" w:sz="6" w:space="0" w:color="auto"/>
              <w:right w:val="nil"/>
            </w:tcBorders>
          </w:tcPr>
          <w:p w:rsidR="00CA6C66" w:rsidRDefault="00CA6C66">
            <w:pPr>
              <w:tabs>
                <w:tab w:val="left" w:pos="567"/>
              </w:tabs>
              <w:rPr>
                <w:snapToGrid w:val="0"/>
                <w:color w:val="000000"/>
              </w:rPr>
            </w:pPr>
            <w:r>
              <w:rPr>
                <w:snapToGrid w:val="0"/>
                <w:color w:val="000000"/>
              </w:rPr>
              <w:tab/>
              <w:t xml:space="preserve">по обычным </w:t>
            </w:r>
          </w:p>
        </w:tc>
        <w:tc>
          <w:tcPr>
            <w:tcW w:w="696" w:type="dxa"/>
            <w:gridSpan w:val="2"/>
            <w:tcBorders>
              <w:top w:val="single" w:sz="6" w:space="0" w:color="auto"/>
              <w:left w:val="double" w:sz="4" w:space="0" w:color="auto"/>
              <w:bottom w:val="double" w:sz="4" w:space="0" w:color="auto"/>
              <w:right w:val="single" w:sz="6" w:space="0" w:color="auto"/>
            </w:tcBorders>
            <w:vAlign w:val="bottom"/>
          </w:tcPr>
          <w:p w:rsidR="00CA6C66" w:rsidRDefault="00CA6C66">
            <w:pPr>
              <w:rPr>
                <w:snapToGrid w:val="0"/>
                <w:color w:val="000000"/>
              </w:rPr>
            </w:pPr>
            <w:r>
              <w:rPr>
                <w:snapToGrid w:val="0"/>
                <w:color w:val="000000"/>
              </w:rPr>
              <w:t xml:space="preserve">204 </w:t>
            </w:r>
          </w:p>
        </w:tc>
        <w:tc>
          <w:tcPr>
            <w:tcW w:w="1544" w:type="dxa"/>
            <w:gridSpan w:val="3"/>
            <w:tcBorders>
              <w:top w:val="single" w:sz="6" w:space="0" w:color="auto"/>
              <w:left w:val="single" w:sz="6" w:space="0" w:color="auto"/>
              <w:bottom w:val="double" w:sz="4" w:space="0" w:color="auto"/>
              <w:right w:val="single" w:sz="6" w:space="0" w:color="auto"/>
            </w:tcBorders>
          </w:tcPr>
          <w:p w:rsidR="00CA6C66" w:rsidRDefault="00CA6C66">
            <w:pPr>
              <w:rPr>
                <w:snapToGrid w:val="0"/>
                <w:color w:val="000000"/>
              </w:rPr>
            </w:pPr>
            <w:r>
              <w:rPr>
                <w:snapToGrid w:val="0"/>
                <w:color w:val="000000"/>
              </w:rPr>
              <w:t xml:space="preserve">- </w:t>
            </w:r>
          </w:p>
        </w:tc>
        <w:tc>
          <w:tcPr>
            <w:tcW w:w="1858" w:type="dxa"/>
            <w:gridSpan w:val="2"/>
            <w:tcBorders>
              <w:top w:val="single" w:sz="6" w:space="0" w:color="auto"/>
              <w:left w:val="single" w:sz="6" w:space="0" w:color="auto"/>
              <w:bottom w:val="double" w:sz="4" w:space="0" w:color="auto"/>
              <w:right w:val="double" w:sz="4" w:space="0" w:color="auto"/>
            </w:tcBorders>
          </w:tcPr>
          <w:p w:rsidR="00CA6C66" w:rsidRDefault="00CA6C66">
            <w:pPr>
              <w:rPr>
                <w:snapToGrid w:val="0"/>
                <w:color w:val="000000"/>
              </w:rPr>
            </w:pPr>
            <w:r>
              <w:rPr>
                <w:snapToGrid w:val="0"/>
                <w:color w:val="000000"/>
              </w:rPr>
              <w:t xml:space="preserve">- </w:t>
            </w:r>
          </w:p>
        </w:tc>
      </w:tr>
    </w:tbl>
    <w:p w:rsidR="00CA6C66" w:rsidRDefault="00CA6C66">
      <w:pPr>
        <w:jc w:val="both"/>
        <w:rPr>
          <w:snapToGrid w:val="0"/>
        </w:rPr>
      </w:pPr>
    </w:p>
    <w:p w:rsidR="00CA6C66" w:rsidRDefault="00CA6C66">
      <w:pPr>
        <w:shd w:val="clear" w:color="auto" w:fill="FFFFFF"/>
        <w:spacing w:line="360" w:lineRule="auto"/>
        <w:ind w:firstLine="708"/>
        <w:jc w:val="both"/>
      </w:pPr>
      <w:r>
        <w:rPr>
          <w:color w:val="000000"/>
        </w:rPr>
        <w:t xml:space="preserve">По прочим операциям (выбытия основных средств, прочих активов и др.) предприятие получило в предыдущем году прибыль в размере 8 тыс. руб. (11 - 3), </w:t>
      </w:r>
      <w:r>
        <w:rPr>
          <w:color w:val="000000"/>
          <w:lang w:val="en-US"/>
        </w:rPr>
        <w:t>a</w:t>
      </w:r>
      <w:r>
        <w:rPr>
          <w:color w:val="000000"/>
        </w:rPr>
        <w:t xml:space="preserve"> в отчетном - убыток в сумме 107 тыс. руб. (134 - 27). Аналогичная картина и по внереализационным результатам. В целом балансовая прибыль прошлого года получена за счет доходов по внереализационным операциям, перекрывшим и расходы по данным операциям, и убыток от финансово-хозяйственной деятельности. Балансовая прибыль отчетного года сформировалась за счет доходов, полученных от реализации услуг, убытки от внереализационных операций лишь уменьшили ее. Это свидетельствует о положительных изменениях в основной деятельности предприятия.</w:t>
      </w:r>
    </w:p>
    <w:p w:rsidR="00CA6C66" w:rsidRDefault="00CA6C66">
      <w:pPr>
        <w:shd w:val="clear" w:color="auto" w:fill="FFFFFF"/>
        <w:spacing w:line="360" w:lineRule="auto"/>
        <w:ind w:firstLine="708"/>
        <w:jc w:val="both"/>
        <w:rPr>
          <w:color w:val="000000"/>
        </w:rPr>
      </w:pPr>
      <w:r>
        <w:rPr>
          <w:color w:val="000000"/>
        </w:rPr>
        <w:t>Рассмотрим в качестве примера вертикального анализа баланс ОАО "Транс" (табл. 3), предварительно объединив его статьи в однородные группы.</w:t>
      </w:r>
    </w:p>
    <w:p w:rsidR="00CA6C66" w:rsidRDefault="00CA6C66">
      <w:pPr>
        <w:shd w:val="clear" w:color="auto" w:fill="FFFFFF"/>
        <w:spacing w:line="360" w:lineRule="auto"/>
        <w:jc w:val="both"/>
      </w:pPr>
      <w:r>
        <w:rPr>
          <w:b/>
          <w:bCs/>
          <w:color w:val="000000"/>
        </w:rPr>
        <w:t>Таблица 3</w:t>
      </w:r>
    </w:p>
    <w:p w:rsidR="00CA6C66" w:rsidRDefault="00CA6C66">
      <w:pPr>
        <w:shd w:val="clear" w:color="auto" w:fill="FFFFFF"/>
        <w:spacing w:line="360" w:lineRule="auto"/>
        <w:jc w:val="both"/>
      </w:pPr>
      <w:r>
        <w:rPr>
          <w:b/>
          <w:bCs/>
          <w:color w:val="000000"/>
        </w:rPr>
        <w:t>Вертикальный анализ баланса ОАО "Транс" на 31 декабря ХХХХ г., %</w:t>
      </w:r>
    </w:p>
    <w:tbl>
      <w:tblPr>
        <w:tblW w:w="0" w:type="auto"/>
        <w:tblInd w:w="-8" w:type="dxa"/>
        <w:tblLayout w:type="fixed"/>
        <w:tblCellMar>
          <w:left w:w="40" w:type="dxa"/>
          <w:right w:w="40" w:type="dxa"/>
        </w:tblCellMar>
        <w:tblLook w:val="0000" w:firstRow="0" w:lastRow="0" w:firstColumn="0" w:lastColumn="0" w:noHBand="0" w:noVBand="0"/>
      </w:tblPr>
      <w:tblGrid>
        <w:gridCol w:w="4680"/>
        <w:gridCol w:w="2340"/>
        <w:gridCol w:w="2160"/>
      </w:tblGrid>
      <w:tr w:rsidR="00CA6C66">
        <w:trPr>
          <w:trHeight w:val="326"/>
        </w:trPr>
        <w:tc>
          <w:tcPr>
            <w:tcW w:w="468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Показатели</w:t>
            </w:r>
          </w:p>
          <w:p w:rsidR="00CA6C66" w:rsidRDefault="00CA6C66">
            <w:pPr>
              <w:shd w:val="clear" w:color="auto" w:fill="FFFFFF"/>
              <w:jc w:val="both"/>
            </w:pPr>
          </w:p>
        </w:tc>
        <w:tc>
          <w:tcPr>
            <w:tcW w:w="23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Предыдущий год</w:t>
            </w:r>
          </w:p>
          <w:p w:rsidR="00CA6C66" w:rsidRDefault="00CA6C66">
            <w:pPr>
              <w:shd w:val="clear" w:color="auto" w:fill="FFFFFF"/>
              <w:jc w:val="both"/>
            </w:pPr>
          </w:p>
        </w:tc>
        <w:tc>
          <w:tcPr>
            <w:tcW w:w="21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Отчетный год</w:t>
            </w:r>
          </w:p>
          <w:p w:rsidR="00CA6C66" w:rsidRDefault="00CA6C66">
            <w:pPr>
              <w:shd w:val="clear" w:color="auto" w:fill="FFFFFF"/>
              <w:jc w:val="both"/>
            </w:pPr>
          </w:p>
        </w:tc>
      </w:tr>
      <w:tr w:rsidR="00CA6C66">
        <w:trPr>
          <w:trHeight w:val="259"/>
        </w:trPr>
        <w:tc>
          <w:tcPr>
            <w:tcW w:w="468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w:t>
            </w:r>
          </w:p>
          <w:p w:rsidR="00CA6C66" w:rsidRDefault="00CA6C66">
            <w:pPr>
              <w:shd w:val="clear" w:color="auto" w:fill="FFFFFF"/>
              <w:jc w:val="both"/>
            </w:pPr>
          </w:p>
        </w:tc>
        <w:tc>
          <w:tcPr>
            <w:tcW w:w="23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w:t>
            </w:r>
          </w:p>
          <w:p w:rsidR="00CA6C66" w:rsidRDefault="00CA6C66">
            <w:pPr>
              <w:shd w:val="clear" w:color="auto" w:fill="FFFFFF"/>
              <w:jc w:val="both"/>
            </w:pPr>
          </w:p>
        </w:tc>
        <w:tc>
          <w:tcPr>
            <w:tcW w:w="21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w:t>
            </w:r>
          </w:p>
          <w:p w:rsidR="00CA6C66" w:rsidRDefault="00CA6C66">
            <w:pPr>
              <w:shd w:val="clear" w:color="auto" w:fill="FFFFFF"/>
              <w:jc w:val="both"/>
            </w:pPr>
          </w:p>
        </w:tc>
      </w:tr>
      <w:tr w:rsidR="00CA6C66">
        <w:trPr>
          <w:trHeight w:val="269"/>
        </w:trPr>
        <w:tc>
          <w:tcPr>
            <w:tcW w:w="468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АКТИВ</w:t>
            </w:r>
          </w:p>
          <w:p w:rsidR="00CA6C66" w:rsidRDefault="00CA6C66">
            <w:pPr>
              <w:shd w:val="clear" w:color="auto" w:fill="FFFFFF"/>
              <w:jc w:val="both"/>
            </w:pPr>
          </w:p>
        </w:tc>
        <w:tc>
          <w:tcPr>
            <w:tcW w:w="23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1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59"/>
        </w:trPr>
        <w:tc>
          <w:tcPr>
            <w:tcW w:w="468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 xml:space="preserve">/. </w:t>
            </w:r>
            <w:r>
              <w:rPr>
                <w:i/>
                <w:iCs/>
                <w:color w:val="000000"/>
              </w:rPr>
              <w:t>Внеоборотные активы</w:t>
            </w:r>
          </w:p>
          <w:p w:rsidR="00CA6C66" w:rsidRDefault="00CA6C66">
            <w:pPr>
              <w:shd w:val="clear" w:color="auto" w:fill="FFFFFF"/>
              <w:jc w:val="both"/>
            </w:pPr>
          </w:p>
        </w:tc>
        <w:tc>
          <w:tcPr>
            <w:tcW w:w="23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1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Основные средства</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91,9</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83,8</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Прочие внеоборотные средства</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0,2</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2,1</w:t>
            </w:r>
          </w:p>
          <w:p w:rsidR="00CA6C66" w:rsidRDefault="00CA6C66">
            <w:pPr>
              <w:shd w:val="clear" w:color="auto" w:fill="FFFFFF"/>
              <w:jc w:val="both"/>
            </w:pPr>
          </w:p>
        </w:tc>
      </w:tr>
      <w:tr w:rsidR="00CA6C66">
        <w:trPr>
          <w:trHeight w:val="24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92,1</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85,9</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 xml:space="preserve">//. </w:t>
            </w:r>
            <w:r>
              <w:rPr>
                <w:i/>
                <w:iCs/>
                <w:color w:val="000000"/>
              </w:rPr>
              <w:t>Оборотные активы</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3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Запасы</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0,8</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1,1</w:t>
            </w:r>
          </w:p>
          <w:p w:rsidR="00CA6C66" w:rsidRDefault="00CA6C66">
            <w:pPr>
              <w:shd w:val="clear" w:color="auto" w:fill="FFFFFF"/>
              <w:jc w:val="both"/>
            </w:pPr>
          </w:p>
        </w:tc>
      </w:tr>
      <w:tr w:rsidR="00CA6C66">
        <w:trPr>
          <w:trHeight w:val="259"/>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Дебиторская задолженность</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7.0</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12,9</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Денежные средства</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0,1</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0,1</w:t>
            </w:r>
          </w:p>
          <w:p w:rsidR="00CA6C66" w:rsidRDefault="00CA6C66">
            <w:pPr>
              <w:shd w:val="clear" w:color="auto" w:fill="FFFFFF"/>
              <w:jc w:val="both"/>
            </w:pPr>
          </w:p>
        </w:tc>
      </w:tr>
      <w:tr w:rsidR="00CA6C66">
        <w:trPr>
          <w:trHeight w:val="221"/>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7,9</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14,1</w:t>
            </w:r>
          </w:p>
          <w:p w:rsidR="00CA6C66" w:rsidRDefault="00CA6C66">
            <w:pPr>
              <w:shd w:val="clear" w:color="auto" w:fill="FFFFFF"/>
              <w:jc w:val="both"/>
            </w:pPr>
          </w:p>
        </w:tc>
      </w:tr>
      <w:tr w:rsidR="00CA6C66">
        <w:trPr>
          <w:trHeight w:val="259"/>
        </w:trPr>
        <w:tc>
          <w:tcPr>
            <w:tcW w:w="468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Баланс</w:t>
            </w:r>
          </w:p>
          <w:p w:rsidR="00CA6C66" w:rsidRDefault="00CA6C66">
            <w:pPr>
              <w:shd w:val="clear" w:color="auto" w:fill="FFFFFF"/>
              <w:jc w:val="both"/>
            </w:pPr>
          </w:p>
        </w:tc>
        <w:tc>
          <w:tcPr>
            <w:tcW w:w="234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100,0</w:t>
            </w:r>
          </w:p>
          <w:p w:rsidR="00CA6C66" w:rsidRDefault="00CA6C66">
            <w:pPr>
              <w:shd w:val="clear" w:color="auto" w:fill="FFFFFF"/>
              <w:jc w:val="both"/>
            </w:pPr>
          </w:p>
        </w:tc>
        <w:tc>
          <w:tcPr>
            <w:tcW w:w="21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100,0</w:t>
            </w:r>
          </w:p>
          <w:p w:rsidR="00CA6C66" w:rsidRDefault="00CA6C66">
            <w:pPr>
              <w:shd w:val="clear" w:color="auto" w:fill="FFFFFF"/>
              <w:jc w:val="both"/>
            </w:pPr>
          </w:p>
        </w:tc>
      </w:tr>
      <w:tr w:rsidR="00CA6C66">
        <w:trPr>
          <w:trHeight w:val="259"/>
        </w:trPr>
        <w:tc>
          <w:tcPr>
            <w:tcW w:w="468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ПАССИВ</w:t>
            </w:r>
          </w:p>
          <w:p w:rsidR="00CA6C66" w:rsidRDefault="00CA6C66">
            <w:pPr>
              <w:shd w:val="clear" w:color="auto" w:fill="FFFFFF"/>
              <w:jc w:val="both"/>
            </w:pPr>
          </w:p>
        </w:tc>
        <w:tc>
          <w:tcPr>
            <w:tcW w:w="23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1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69"/>
        </w:trPr>
        <w:tc>
          <w:tcPr>
            <w:tcW w:w="468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i/>
                <w:iCs/>
                <w:color w:val="000000"/>
                <w:lang w:val="en-US"/>
              </w:rPr>
              <w:t>III</w:t>
            </w:r>
            <w:r>
              <w:rPr>
                <w:i/>
                <w:iCs/>
                <w:color w:val="000000"/>
              </w:rPr>
              <w:t>. Капитал и резервы</w:t>
            </w:r>
          </w:p>
          <w:p w:rsidR="00CA6C66" w:rsidRDefault="00CA6C66">
            <w:pPr>
              <w:shd w:val="clear" w:color="auto" w:fill="FFFFFF"/>
              <w:jc w:val="both"/>
            </w:pPr>
          </w:p>
        </w:tc>
        <w:tc>
          <w:tcPr>
            <w:tcW w:w="23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1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3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Капитал</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96,3</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91,9</w:t>
            </w:r>
          </w:p>
          <w:p w:rsidR="00CA6C66" w:rsidRDefault="00CA6C66">
            <w:pPr>
              <w:shd w:val="clear" w:color="auto" w:fill="FFFFFF"/>
              <w:jc w:val="both"/>
            </w:pPr>
          </w:p>
        </w:tc>
      </w:tr>
      <w:tr w:rsidR="00CA6C66">
        <w:trPr>
          <w:trHeight w:val="259"/>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Нераспределенная прибыль</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r>
      <w:tr w:rsidR="00CA6C66">
        <w:trPr>
          <w:trHeight w:val="23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96,3</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91,9</w:t>
            </w:r>
          </w:p>
          <w:p w:rsidR="00CA6C66" w:rsidRDefault="00CA6C66">
            <w:pPr>
              <w:shd w:val="clear" w:color="auto" w:fill="FFFFFF"/>
              <w:jc w:val="both"/>
            </w:pPr>
          </w:p>
        </w:tc>
      </w:tr>
      <w:tr w:rsidR="00CA6C66">
        <w:trPr>
          <w:trHeight w:val="259"/>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i/>
                <w:iCs/>
                <w:color w:val="000000"/>
                <w:lang w:val="en-US"/>
              </w:rPr>
              <w:t>IV</w:t>
            </w:r>
            <w:r>
              <w:rPr>
                <w:i/>
                <w:iCs/>
                <w:color w:val="000000"/>
              </w:rPr>
              <w:t>. Долгосрочные пассивы</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i/>
                <w:iCs/>
                <w:color w:val="000000"/>
                <w:lang w:val="en-US"/>
              </w:rPr>
              <w:t>V</w:t>
            </w:r>
            <w:r>
              <w:rPr>
                <w:i/>
                <w:iCs/>
                <w:color w:val="000000"/>
              </w:rPr>
              <w:t>. Краткосрочные пассивы</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3,7</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8,1</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Заемные средства</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r>
      <w:tr w:rsidR="00CA6C66">
        <w:trPr>
          <w:trHeight w:val="24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Краткосрочная задолженность</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3,7</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8,1</w:t>
            </w:r>
          </w:p>
          <w:p w:rsidR="00CA6C66" w:rsidRDefault="00CA6C66">
            <w:pPr>
              <w:shd w:val="clear" w:color="auto" w:fill="FFFFFF"/>
              <w:jc w:val="both"/>
            </w:pPr>
          </w:p>
        </w:tc>
      </w:tr>
      <w:tr w:rsidR="00CA6C66">
        <w:trPr>
          <w:trHeight w:val="250"/>
        </w:trPr>
        <w:tc>
          <w:tcPr>
            <w:tcW w:w="468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Прочие пассивы</w:t>
            </w:r>
          </w:p>
          <w:p w:rsidR="00CA6C66" w:rsidRDefault="00CA6C66">
            <w:pPr>
              <w:shd w:val="clear" w:color="auto" w:fill="FFFFFF"/>
              <w:jc w:val="both"/>
            </w:pPr>
          </w:p>
        </w:tc>
        <w:tc>
          <w:tcPr>
            <w:tcW w:w="23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c>
          <w:tcPr>
            <w:tcW w:w="21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0,0</w:t>
            </w:r>
          </w:p>
          <w:p w:rsidR="00CA6C66" w:rsidRDefault="00CA6C66">
            <w:pPr>
              <w:shd w:val="clear" w:color="auto" w:fill="FFFFFF"/>
              <w:jc w:val="both"/>
            </w:pPr>
          </w:p>
        </w:tc>
      </w:tr>
      <w:tr w:rsidR="00CA6C66">
        <w:trPr>
          <w:trHeight w:val="250"/>
        </w:trPr>
        <w:tc>
          <w:tcPr>
            <w:tcW w:w="468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Баланс</w:t>
            </w:r>
          </w:p>
          <w:p w:rsidR="00CA6C66" w:rsidRDefault="00CA6C66">
            <w:pPr>
              <w:shd w:val="clear" w:color="auto" w:fill="FFFFFF"/>
              <w:jc w:val="both"/>
            </w:pPr>
          </w:p>
        </w:tc>
        <w:tc>
          <w:tcPr>
            <w:tcW w:w="234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100,0</w:t>
            </w:r>
          </w:p>
          <w:p w:rsidR="00CA6C66" w:rsidRDefault="00CA6C66">
            <w:pPr>
              <w:shd w:val="clear" w:color="auto" w:fill="FFFFFF"/>
              <w:jc w:val="both"/>
            </w:pPr>
          </w:p>
        </w:tc>
        <w:tc>
          <w:tcPr>
            <w:tcW w:w="21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100,0</w:t>
            </w:r>
          </w:p>
          <w:p w:rsidR="00CA6C66" w:rsidRDefault="00CA6C66">
            <w:pPr>
              <w:shd w:val="clear" w:color="auto" w:fill="FFFFFF"/>
              <w:jc w:val="both"/>
            </w:pPr>
          </w:p>
        </w:tc>
      </w:tr>
    </w:tbl>
    <w:p w:rsidR="00CA6C66" w:rsidRDefault="00CA6C66">
      <w:pPr>
        <w:shd w:val="clear" w:color="auto" w:fill="FFFFFF"/>
        <w:spacing w:line="360" w:lineRule="auto"/>
        <w:ind w:firstLine="708"/>
        <w:jc w:val="both"/>
      </w:pPr>
      <w:r>
        <w:rPr>
          <w:color w:val="000000"/>
        </w:rPr>
        <w:t xml:space="preserve">Вертикальный анализ баланса позволяет наглядно определить значимость активов и пассивов баланса. Внеоборотные активы на начало года составляли 92,1% всех средств, к концу года их удельный вес уменьшился на 6,2%. Оборотные средства на начало года составляли 7,9% всех средств, преобладающая часть оборотных средств представлена дебиторской задолженностью (89%), увеличившейся к концу года почти в два раза. </w:t>
      </w:r>
    </w:p>
    <w:p w:rsidR="00CA6C66" w:rsidRDefault="00CA6C66">
      <w:pPr>
        <w:shd w:val="clear" w:color="auto" w:fill="FFFFFF"/>
        <w:spacing w:line="360" w:lineRule="auto"/>
        <w:jc w:val="both"/>
      </w:pPr>
      <w:r>
        <w:rPr>
          <w:color w:val="000000"/>
        </w:rPr>
        <w:t>Уставный и добавочный капитал занимал в источниках средств предприятия 96,3% на начало года и 91,9% - на конец года. Заемный капитал представлен краткосрочной кредиторской задолженностью, которая на начало и конец года составляла соответственно 3,7% и 8,1%. Краткосрочная задолженность возросла на конец года более чем в два раза.</w:t>
      </w:r>
    </w:p>
    <w:p w:rsidR="00CA6C66" w:rsidRDefault="00CA6C66">
      <w:pPr>
        <w:shd w:val="clear" w:color="auto" w:fill="FFFFFF"/>
        <w:spacing w:line="360" w:lineRule="auto"/>
        <w:ind w:firstLine="708"/>
        <w:jc w:val="both"/>
      </w:pPr>
      <w:r>
        <w:rPr>
          <w:color w:val="000000"/>
        </w:rPr>
        <w:t>Все показатели отчета о прибылях и убытках при проведении структурного анализа приводятся в процентах к объему выручки от реализации (табл. 4). Структурный анализ прибыли (доходов, расходов) можно провести по сферам деятельности (операционной, финансовой, инвестиционной). Следует помнить, что порядок составления отчета о прибылях и убытках предусматривает выделение прибыли от реализации, в то время как доходы и расходы от инвестиционной и финансовой деятельности объединены общими показателями.</w:t>
      </w:r>
    </w:p>
    <w:p w:rsidR="00CA6C66" w:rsidRDefault="00CA6C66">
      <w:pPr>
        <w:shd w:val="clear" w:color="auto" w:fill="FFFFFF"/>
        <w:spacing w:line="360" w:lineRule="auto"/>
        <w:jc w:val="both"/>
      </w:pPr>
      <w:r>
        <w:rPr>
          <w:b/>
          <w:bCs/>
          <w:color w:val="000000"/>
        </w:rPr>
        <w:t>Таблица 4</w:t>
      </w:r>
    </w:p>
    <w:p w:rsidR="00CA6C66" w:rsidRDefault="00CA6C66">
      <w:pPr>
        <w:shd w:val="clear" w:color="auto" w:fill="FFFFFF"/>
        <w:spacing w:line="360" w:lineRule="auto"/>
        <w:jc w:val="both"/>
      </w:pPr>
      <w:r>
        <w:rPr>
          <w:b/>
          <w:bCs/>
          <w:color w:val="000000"/>
        </w:rPr>
        <w:t>Вертикальный анализ отчета о прибылях и убытках ОАО "Транс", %</w:t>
      </w:r>
    </w:p>
    <w:tbl>
      <w:tblPr>
        <w:tblW w:w="0" w:type="auto"/>
        <w:tblInd w:w="-8" w:type="dxa"/>
        <w:tblLayout w:type="fixed"/>
        <w:tblCellMar>
          <w:left w:w="40" w:type="dxa"/>
          <w:right w:w="40" w:type="dxa"/>
        </w:tblCellMar>
        <w:tblLook w:val="0000" w:firstRow="0" w:lastRow="0" w:firstColumn="0" w:lastColumn="0" w:noHBand="0" w:noVBand="0"/>
      </w:tblPr>
      <w:tblGrid>
        <w:gridCol w:w="4140"/>
        <w:gridCol w:w="2520"/>
        <w:gridCol w:w="2520"/>
      </w:tblGrid>
      <w:tr w:rsidR="00CA6C66">
        <w:trPr>
          <w:trHeight w:val="326"/>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Предыдущий год</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Отчетный год</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Выручка от реализации</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r>
      <w:tr w:rsidR="00CA6C66">
        <w:trPr>
          <w:trHeight w:val="25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Себестоимость реализации</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99,9</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81,5</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Коммерческие расходы</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1,1</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9,0</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Управленческие расходы</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0</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Общие затраты</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101,0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90,5</w:t>
            </w:r>
          </w:p>
          <w:p w:rsidR="00CA6C66" w:rsidRDefault="00CA6C66">
            <w:pPr>
              <w:shd w:val="clear" w:color="auto" w:fill="FFFFFF"/>
              <w:jc w:val="both"/>
            </w:pPr>
          </w:p>
        </w:tc>
      </w:tr>
      <w:tr w:rsidR="00CA6C66">
        <w:trPr>
          <w:trHeight w:val="451"/>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Прибыль (убыток) от реализации</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9,5</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Налоги</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4,0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2,1</w:t>
            </w:r>
          </w:p>
          <w:p w:rsidR="00CA6C66" w:rsidRDefault="00CA6C66">
            <w:pPr>
              <w:shd w:val="clear" w:color="auto" w:fill="FFFFFF"/>
              <w:jc w:val="both"/>
            </w:pPr>
          </w:p>
        </w:tc>
      </w:tr>
      <w:tr w:rsidR="00CA6C66">
        <w:trPr>
          <w:trHeight w:val="259"/>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Чистая прибыль</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-5,0</w:t>
            </w:r>
          </w:p>
          <w:p w:rsidR="00CA6C66" w:rsidRDefault="00CA6C66">
            <w:pPr>
              <w:shd w:val="clear" w:color="auto" w:fill="FFFFFF"/>
              <w:jc w:val="both"/>
            </w:pPr>
          </w:p>
        </w:tc>
        <w:tc>
          <w:tcPr>
            <w:tcW w:w="252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7,4</w:t>
            </w:r>
          </w:p>
          <w:p w:rsidR="00CA6C66" w:rsidRDefault="00CA6C66">
            <w:pPr>
              <w:shd w:val="clear" w:color="auto" w:fill="FFFFFF"/>
              <w:jc w:val="both"/>
            </w:pPr>
          </w:p>
        </w:tc>
      </w:tr>
    </w:tbl>
    <w:p w:rsidR="00CA6C66" w:rsidRDefault="00CA6C66">
      <w:pPr>
        <w:shd w:val="clear" w:color="auto" w:fill="FFFFFF"/>
        <w:spacing w:line="360" w:lineRule="auto"/>
        <w:jc w:val="both"/>
      </w:pPr>
    </w:p>
    <w:p w:rsidR="00CA6C66" w:rsidRDefault="00CA6C66">
      <w:pPr>
        <w:shd w:val="clear" w:color="auto" w:fill="FFFFFF"/>
        <w:spacing w:line="360" w:lineRule="auto"/>
        <w:ind w:firstLine="708"/>
        <w:jc w:val="both"/>
      </w:pPr>
      <w:r>
        <w:rPr>
          <w:color w:val="000000"/>
        </w:rPr>
        <w:t>Динамику отдельных показателей во времени можно изучить с помощью горизонтального анализа отчетности, представленного в таблице 5.</w:t>
      </w:r>
    </w:p>
    <w:p w:rsidR="00CA6C66" w:rsidRDefault="00CA6C66">
      <w:pPr>
        <w:shd w:val="clear" w:color="auto" w:fill="FFFFFF"/>
        <w:spacing w:line="360" w:lineRule="auto"/>
        <w:jc w:val="both"/>
      </w:pPr>
      <w:r>
        <w:rPr>
          <w:b/>
          <w:bCs/>
          <w:color w:val="000000"/>
        </w:rPr>
        <w:br w:type="page"/>
        <w:t>Таблица 5</w:t>
      </w:r>
    </w:p>
    <w:p w:rsidR="00CA6C66" w:rsidRDefault="00CA6C66">
      <w:pPr>
        <w:shd w:val="clear" w:color="auto" w:fill="FFFFFF"/>
        <w:spacing w:line="360" w:lineRule="auto"/>
        <w:jc w:val="both"/>
      </w:pPr>
      <w:r>
        <w:rPr>
          <w:b/>
          <w:bCs/>
          <w:color w:val="000000"/>
        </w:rPr>
        <w:t>Горизонтальный (трендовый) анализ баланса ОАО "Транс "</w:t>
      </w:r>
    </w:p>
    <w:tbl>
      <w:tblPr>
        <w:tblW w:w="10440" w:type="dxa"/>
        <w:tblInd w:w="-8" w:type="dxa"/>
        <w:tblLayout w:type="fixed"/>
        <w:tblCellMar>
          <w:left w:w="40" w:type="dxa"/>
          <w:right w:w="40" w:type="dxa"/>
        </w:tblCellMar>
        <w:tblLook w:val="0000" w:firstRow="0" w:lastRow="0" w:firstColumn="0" w:lastColumn="0" w:noHBand="0" w:noVBand="0"/>
      </w:tblPr>
      <w:tblGrid>
        <w:gridCol w:w="4140"/>
        <w:gridCol w:w="1260"/>
        <w:gridCol w:w="1260"/>
        <w:gridCol w:w="1260"/>
        <w:gridCol w:w="1260"/>
        <w:gridCol w:w="1260"/>
      </w:tblGrid>
      <w:tr w:rsidR="00CA6C66">
        <w:trPr>
          <w:gridAfter w:val="1"/>
          <w:wAfter w:w="1260" w:type="dxa"/>
          <w:trHeight w:val="269"/>
        </w:trPr>
        <w:tc>
          <w:tcPr>
            <w:tcW w:w="41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Показатели</w:t>
            </w:r>
          </w:p>
          <w:p w:rsidR="00CA6C66" w:rsidRDefault="00CA6C66">
            <w:pPr>
              <w:shd w:val="clear" w:color="auto" w:fill="FFFFFF"/>
              <w:jc w:val="both"/>
            </w:pPr>
          </w:p>
        </w:tc>
        <w:tc>
          <w:tcPr>
            <w:tcW w:w="2520" w:type="dxa"/>
            <w:gridSpan w:val="2"/>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Предыдущий год</w:t>
            </w:r>
          </w:p>
          <w:p w:rsidR="00CA6C66" w:rsidRDefault="00CA6C66">
            <w:pPr>
              <w:shd w:val="clear" w:color="auto" w:fill="FFFFFF"/>
              <w:jc w:val="both"/>
            </w:pPr>
          </w:p>
        </w:tc>
        <w:tc>
          <w:tcPr>
            <w:tcW w:w="2520" w:type="dxa"/>
            <w:gridSpan w:val="2"/>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Отчетный год</w:t>
            </w: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тыс. руб.</w:t>
            </w: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t>%</w:t>
            </w: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тыс. руб.</w:t>
            </w: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t>%</w:t>
            </w:r>
          </w:p>
          <w:p w:rsidR="00CA6C66" w:rsidRDefault="00CA6C66">
            <w:pPr>
              <w:shd w:val="clear" w:color="auto" w:fill="FFFFFF"/>
              <w:jc w:val="both"/>
            </w:pPr>
          </w:p>
        </w:tc>
      </w:tr>
      <w:tr w:rsidR="00CA6C66">
        <w:trPr>
          <w:gridAfter w:val="1"/>
          <w:wAfter w:w="1260" w:type="dxa"/>
          <w:trHeight w:val="221"/>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АКТИВ</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230"/>
        </w:trPr>
        <w:tc>
          <w:tcPr>
            <w:tcW w:w="41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 xml:space="preserve">/. </w:t>
            </w:r>
            <w:r>
              <w:rPr>
                <w:i/>
                <w:iCs/>
                <w:color w:val="000000"/>
              </w:rPr>
              <w:t>Внеоборотные активы</w:t>
            </w: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20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Основные средства</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6692</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6435</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96</w:t>
            </w: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Прочие внеоборотные средства</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17</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165</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970</w:t>
            </w:r>
          </w:p>
          <w:p w:rsidR="00CA6C66" w:rsidRDefault="00CA6C66">
            <w:pPr>
              <w:shd w:val="clear" w:color="auto" w:fill="FFFFFF"/>
              <w:jc w:val="both"/>
            </w:pPr>
          </w:p>
        </w:tc>
      </w:tr>
      <w:tr w:rsidR="00CA6C66">
        <w:trPr>
          <w:gridAfter w:val="1"/>
          <w:wAfter w:w="1260" w:type="dxa"/>
          <w:trHeight w:val="18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6709</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6600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98</w:t>
            </w:r>
          </w:p>
          <w:p w:rsidR="00CA6C66" w:rsidRDefault="00CA6C66">
            <w:pPr>
              <w:shd w:val="clear" w:color="auto" w:fill="FFFFFF"/>
              <w:jc w:val="both"/>
            </w:pPr>
          </w:p>
        </w:tc>
      </w:tr>
      <w:tr w:rsidR="00CA6C66">
        <w:trPr>
          <w:gridAfter w:val="1"/>
          <w:wAfter w:w="1260" w:type="dxa"/>
          <w:trHeight w:val="230"/>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 xml:space="preserve">//. </w:t>
            </w:r>
            <w:r>
              <w:rPr>
                <w:i/>
                <w:iCs/>
                <w:color w:val="000000"/>
              </w:rPr>
              <w:t>Оборотные активы</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19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Запасы</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55</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81</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147</w:t>
            </w:r>
          </w:p>
          <w:p w:rsidR="00CA6C66" w:rsidRDefault="00CA6C66">
            <w:pPr>
              <w:shd w:val="clear" w:color="auto" w:fill="FFFFFF"/>
              <w:jc w:val="both"/>
            </w:pPr>
          </w:p>
        </w:tc>
      </w:tr>
      <w:tr w:rsidR="00CA6C66">
        <w:trPr>
          <w:gridAfter w:val="1"/>
          <w:wAfter w:w="1260" w:type="dxa"/>
          <w:trHeight w:val="22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Дебиторская задолженность</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509</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990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194</w:t>
            </w: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Денежные средства</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8</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125</w:t>
            </w:r>
          </w:p>
          <w:p w:rsidR="00CA6C66" w:rsidRDefault="00CA6C66">
            <w:pPr>
              <w:shd w:val="clear" w:color="auto" w:fill="FFFFFF"/>
              <w:jc w:val="both"/>
            </w:pPr>
          </w:p>
        </w:tc>
      </w:tr>
      <w:tr w:rsidR="00CA6C66">
        <w:trPr>
          <w:gridAfter w:val="1"/>
          <w:wAfter w:w="1260" w:type="dxa"/>
          <w:trHeight w:val="19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572</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1081</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189</w:t>
            </w: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Баланс</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72811</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7681</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105</w:t>
            </w:r>
          </w:p>
          <w:p w:rsidR="00CA6C66" w:rsidRDefault="00CA6C66">
            <w:pPr>
              <w:shd w:val="clear" w:color="auto" w:fill="FFFFFF"/>
              <w:jc w:val="both"/>
            </w:pPr>
          </w:p>
        </w:tc>
      </w:tr>
      <w:tr w:rsidR="00CA6C66">
        <w:trPr>
          <w:gridAfter w:val="1"/>
          <w:wAfter w:w="1260" w:type="dxa"/>
          <w:trHeight w:val="221"/>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ПАССИВ</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230"/>
        </w:trPr>
        <w:tc>
          <w:tcPr>
            <w:tcW w:w="414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lang w:val="en-US"/>
              </w:rPr>
              <w:t>III</w:t>
            </w:r>
            <w:r>
              <w:rPr>
                <w:color w:val="000000"/>
              </w:rPr>
              <w:t>. Капитал и резервы</w:t>
            </w: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18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Капитал</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7058</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7058</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r>
      <w:tr w:rsidR="00CA6C66">
        <w:trPr>
          <w:gridAfter w:val="1"/>
          <w:wAfter w:w="1260" w:type="dxa"/>
          <w:trHeight w:val="230"/>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Нераспределенная прибыль</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(50)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gridAfter w:val="1"/>
          <w:wAfter w:w="1260" w:type="dxa"/>
          <w:trHeight w:val="20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7008</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7958</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114</w:t>
            </w:r>
          </w:p>
          <w:p w:rsidR="00CA6C66" w:rsidRDefault="00CA6C66">
            <w:pPr>
              <w:shd w:val="clear" w:color="auto" w:fill="FFFFFF"/>
              <w:jc w:val="both"/>
            </w:pPr>
          </w:p>
        </w:tc>
      </w:tr>
      <w:tr w:rsidR="00CA6C66">
        <w:trPr>
          <w:gridAfter w:val="1"/>
          <w:wAfter w:w="1260" w:type="dxa"/>
          <w:trHeight w:val="230"/>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i/>
                <w:iCs/>
                <w:color w:val="000000"/>
                <w:lang w:val="en-US"/>
              </w:rPr>
              <w:t>IV</w:t>
            </w:r>
            <w:r>
              <w:rPr>
                <w:i/>
                <w:iCs/>
                <w:color w:val="000000"/>
              </w:rPr>
              <w:t>. Долгосрочные пассивы</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i/>
                <w:iCs/>
                <w:color w:val="000000"/>
                <w:lang w:val="en-US"/>
              </w:rPr>
              <w:t>V</w:t>
            </w:r>
            <w:r>
              <w:rPr>
                <w:i/>
                <w:iCs/>
                <w:color w:val="000000"/>
              </w:rPr>
              <w:t>. Краткосрочные пассивы</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gridAfter w:val="1"/>
          <w:wAfter w:w="1260" w:type="dxa"/>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Заемные средства</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trHeight w:val="211"/>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Краткосрочная кредиторская задолженность</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273</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623</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228</w:t>
            </w:r>
          </w:p>
          <w:p w:rsidR="00CA6C66" w:rsidRDefault="00CA6C66">
            <w:pPr>
              <w:shd w:val="clear" w:color="auto" w:fill="FFFFFF"/>
              <w:jc w:val="both"/>
            </w:pPr>
          </w:p>
        </w:tc>
        <w:tc>
          <w:tcPr>
            <w:tcW w:w="1260" w:type="dxa"/>
          </w:tcPr>
          <w:p w:rsidR="00CA6C66" w:rsidRDefault="00CA6C66">
            <w:pPr>
              <w:shd w:val="clear" w:color="auto" w:fill="FFFFFF"/>
              <w:jc w:val="both"/>
            </w:pPr>
          </w:p>
        </w:tc>
      </w:tr>
      <w:tr w:rsidR="00CA6C66">
        <w:trPr>
          <w:gridAfter w:val="1"/>
          <w:wAfter w:w="1260" w:type="dxa"/>
          <w:trHeight w:val="230"/>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Прочие пассивы</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gridAfter w:val="1"/>
          <w:wAfter w:w="1260" w:type="dxa"/>
          <w:trHeight w:val="202"/>
        </w:trPr>
        <w:tc>
          <w:tcPr>
            <w:tcW w:w="414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Итого</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273</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623</w:t>
            </w:r>
          </w:p>
          <w:p w:rsidR="00CA6C66" w:rsidRDefault="00CA6C66">
            <w:pPr>
              <w:shd w:val="clear" w:color="auto" w:fill="FFFFFF"/>
              <w:jc w:val="both"/>
            </w:pPr>
          </w:p>
        </w:tc>
        <w:tc>
          <w:tcPr>
            <w:tcW w:w="1260" w:type="dxa"/>
            <w:tcBorders>
              <w:top w:val="nil"/>
              <w:left w:val="single" w:sz="6" w:space="0" w:color="auto"/>
              <w:bottom w:val="nil"/>
              <w:right w:val="single" w:sz="6" w:space="0" w:color="auto"/>
            </w:tcBorders>
          </w:tcPr>
          <w:p w:rsidR="00CA6C66" w:rsidRDefault="00CA6C66">
            <w:pPr>
              <w:shd w:val="clear" w:color="auto" w:fill="FFFFFF"/>
              <w:jc w:val="both"/>
            </w:pPr>
            <w:r>
              <w:rPr>
                <w:color w:val="000000"/>
              </w:rPr>
              <w:t>228</w:t>
            </w:r>
          </w:p>
          <w:p w:rsidR="00CA6C66" w:rsidRDefault="00CA6C66">
            <w:pPr>
              <w:shd w:val="clear" w:color="auto" w:fill="FFFFFF"/>
              <w:jc w:val="both"/>
            </w:pPr>
          </w:p>
        </w:tc>
      </w:tr>
      <w:tr w:rsidR="00CA6C66">
        <w:trPr>
          <w:gridAfter w:val="1"/>
          <w:wAfter w:w="1260" w:type="dxa"/>
          <w:trHeight w:val="230"/>
        </w:trPr>
        <w:tc>
          <w:tcPr>
            <w:tcW w:w="414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Баланс</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7281</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7681</w:t>
            </w:r>
          </w:p>
          <w:p w:rsidR="00CA6C66" w:rsidRDefault="00CA6C66">
            <w:pPr>
              <w:shd w:val="clear" w:color="auto" w:fill="FFFFFF"/>
              <w:jc w:val="both"/>
            </w:pPr>
          </w:p>
        </w:tc>
        <w:tc>
          <w:tcPr>
            <w:tcW w:w="1260" w:type="dxa"/>
            <w:tcBorders>
              <w:top w:val="nil"/>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105</w:t>
            </w:r>
          </w:p>
          <w:p w:rsidR="00CA6C66" w:rsidRDefault="00CA6C66">
            <w:pPr>
              <w:shd w:val="clear" w:color="auto" w:fill="FFFFFF"/>
              <w:jc w:val="both"/>
            </w:pPr>
          </w:p>
        </w:tc>
      </w:tr>
    </w:tbl>
    <w:p w:rsidR="00CA6C66" w:rsidRDefault="00CA6C66">
      <w:pPr>
        <w:shd w:val="clear" w:color="auto" w:fill="FFFFFF"/>
        <w:spacing w:line="360" w:lineRule="auto"/>
        <w:ind w:firstLine="708"/>
        <w:jc w:val="both"/>
      </w:pPr>
      <w:r>
        <w:rPr>
          <w:color w:val="000000"/>
        </w:rPr>
        <w:t>В нашем примере подтверждается изменение по основным статьям баланса: незначительное сокращение основных средств, увеличение почти в полтора раза производственных запасов, почти в два раза дебиторской задолженности и более чем в два раза кредиторской задолженности.</w:t>
      </w:r>
    </w:p>
    <w:p w:rsidR="00CA6C66" w:rsidRDefault="00CA6C66">
      <w:pPr>
        <w:shd w:val="clear" w:color="auto" w:fill="FFFFFF"/>
        <w:spacing w:line="360" w:lineRule="auto"/>
        <w:ind w:firstLine="708"/>
        <w:jc w:val="both"/>
      </w:pPr>
      <w:r>
        <w:rPr>
          <w:color w:val="000000"/>
        </w:rPr>
        <w:t>Горизонтальный анализ отчета о прибылях и убытках ОАО "Транс" (табл. 6) свидетельствует о положительных тенденциях показателей, формирующих финансовый результат.</w:t>
      </w:r>
    </w:p>
    <w:p w:rsidR="00CA6C66" w:rsidRDefault="00CA6C66">
      <w:pPr>
        <w:shd w:val="clear" w:color="auto" w:fill="FFFFFF"/>
        <w:spacing w:line="360" w:lineRule="auto"/>
        <w:jc w:val="both"/>
      </w:pPr>
      <w:r>
        <w:rPr>
          <w:b/>
          <w:bCs/>
          <w:color w:val="000000"/>
        </w:rPr>
        <w:t>Таблица 6</w:t>
      </w:r>
    </w:p>
    <w:p w:rsidR="00CA6C66" w:rsidRDefault="00CA6C66">
      <w:pPr>
        <w:shd w:val="clear" w:color="auto" w:fill="FFFFFF"/>
        <w:spacing w:line="360" w:lineRule="auto"/>
        <w:jc w:val="both"/>
      </w:pPr>
      <w:r>
        <w:rPr>
          <w:b/>
          <w:bCs/>
          <w:color w:val="000000"/>
        </w:rPr>
        <w:t>Горизонтальный анализ отчета о прибылях и убытках ОАО "Транс"</w:t>
      </w:r>
    </w:p>
    <w:tbl>
      <w:tblPr>
        <w:tblW w:w="0" w:type="auto"/>
        <w:tblInd w:w="-8" w:type="dxa"/>
        <w:tblLayout w:type="fixed"/>
        <w:tblCellMar>
          <w:left w:w="40" w:type="dxa"/>
          <w:right w:w="40" w:type="dxa"/>
        </w:tblCellMar>
        <w:tblLook w:val="0000" w:firstRow="0" w:lastRow="0" w:firstColumn="0" w:lastColumn="0" w:noHBand="0" w:noVBand="0"/>
      </w:tblPr>
      <w:tblGrid>
        <w:gridCol w:w="4140"/>
        <w:gridCol w:w="1260"/>
        <w:gridCol w:w="1260"/>
        <w:gridCol w:w="1260"/>
        <w:gridCol w:w="1260"/>
      </w:tblGrid>
      <w:tr w:rsidR="00CA6C66">
        <w:trPr>
          <w:cantSplit/>
          <w:trHeight w:val="442"/>
        </w:trPr>
        <w:tc>
          <w:tcPr>
            <w:tcW w:w="4140" w:type="dxa"/>
            <w:vMerge w:val="restart"/>
            <w:tcBorders>
              <w:top w:val="single" w:sz="6" w:space="0" w:color="auto"/>
              <w:left w:val="single" w:sz="6" w:space="0" w:color="auto"/>
              <w:bottom w:val="nil"/>
              <w:right w:val="single" w:sz="6" w:space="0" w:color="auto"/>
            </w:tcBorders>
          </w:tcPr>
          <w:p w:rsidR="00CA6C66" w:rsidRDefault="00CA6C66">
            <w:pPr>
              <w:shd w:val="clear" w:color="auto" w:fill="FFFFFF"/>
              <w:jc w:val="both"/>
            </w:pPr>
            <w:r>
              <w:rPr>
                <w:color w:val="000000"/>
              </w:rPr>
              <w:t>Показатели</w:t>
            </w:r>
          </w:p>
          <w:p w:rsidR="00CA6C66" w:rsidRDefault="00CA6C66">
            <w:pPr>
              <w:shd w:val="clear" w:color="auto" w:fill="FFFFFF"/>
              <w:jc w:val="both"/>
            </w:pPr>
          </w:p>
        </w:tc>
        <w:tc>
          <w:tcPr>
            <w:tcW w:w="2520" w:type="dxa"/>
            <w:gridSpan w:val="2"/>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Предыдущий год</w:t>
            </w:r>
          </w:p>
          <w:p w:rsidR="00CA6C66" w:rsidRDefault="00CA6C66">
            <w:pPr>
              <w:shd w:val="clear" w:color="auto" w:fill="FFFFFF"/>
              <w:jc w:val="both"/>
            </w:pPr>
          </w:p>
        </w:tc>
        <w:tc>
          <w:tcPr>
            <w:tcW w:w="2520" w:type="dxa"/>
            <w:gridSpan w:val="2"/>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Отчетный год</w:t>
            </w:r>
          </w:p>
          <w:p w:rsidR="00CA6C66" w:rsidRDefault="00CA6C66">
            <w:pPr>
              <w:shd w:val="clear" w:color="auto" w:fill="FFFFFF"/>
              <w:jc w:val="both"/>
            </w:pPr>
          </w:p>
        </w:tc>
      </w:tr>
      <w:tr w:rsidR="00CA6C66">
        <w:trPr>
          <w:cantSplit/>
          <w:trHeight w:val="422"/>
        </w:trPr>
        <w:tc>
          <w:tcPr>
            <w:tcW w:w="4140" w:type="dxa"/>
            <w:vMerge/>
            <w:tcBorders>
              <w:top w:val="nil"/>
              <w:left w:val="single" w:sz="6" w:space="0" w:color="auto"/>
              <w:bottom w:val="single" w:sz="6" w:space="0" w:color="auto"/>
              <w:right w:val="single" w:sz="6" w:space="0" w:color="auto"/>
            </w:tcBorders>
          </w:tcPr>
          <w:p w:rsidR="00CA6C66" w:rsidRDefault="00CA6C66">
            <w:pPr>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тыс. руб.</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тыс. руб.</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trHeight w:val="25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 Выручка (нетто) от продажи</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2369</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3848</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162</w:t>
            </w:r>
          </w:p>
          <w:p w:rsidR="00CA6C66" w:rsidRDefault="00CA6C66">
            <w:pPr>
              <w:shd w:val="clear" w:color="auto" w:fill="FFFFFF"/>
              <w:jc w:val="both"/>
            </w:pPr>
          </w:p>
        </w:tc>
      </w:tr>
      <w:tr w:rsidR="00CA6C66">
        <w:trPr>
          <w:trHeight w:val="442"/>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 Себестоимость проданных товаров, работ, услуг</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2367</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3136</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132</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 Коммерческие расходы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26</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348</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1338</w:t>
            </w:r>
          </w:p>
          <w:p w:rsidR="00CA6C66" w:rsidRDefault="00CA6C66">
            <w:pPr>
              <w:shd w:val="clear" w:color="auto" w:fill="FFFFFF"/>
              <w:jc w:val="both"/>
            </w:pPr>
          </w:p>
        </w:tc>
      </w:tr>
      <w:tr w:rsidR="00CA6C66">
        <w:trPr>
          <w:trHeight w:val="259"/>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4. Управленческие расходы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5. Прибыль (убыток) от продаж</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-24</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365</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6. Прочие операционные доходы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11</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100 ,</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27</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245</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7. Прочие операционные расходы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134</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4467</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 Внереализационные доходы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373</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41</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11</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 Внереализационные расходы</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263</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217</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83</w:t>
            </w:r>
          </w:p>
          <w:p w:rsidR="00CA6C66" w:rsidRDefault="00CA6C66">
            <w:pPr>
              <w:shd w:val="clear" w:color="auto" w:fill="FFFFFF"/>
              <w:jc w:val="both"/>
            </w:pPr>
          </w:p>
        </w:tc>
      </w:tr>
      <w:tr w:rsidR="00CA6C66">
        <w:trPr>
          <w:trHeight w:val="451"/>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 Прибыль (убыток) до налогообложения</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94</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82</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87</w:t>
            </w:r>
          </w:p>
          <w:p w:rsidR="00CA6C66" w:rsidRDefault="00CA6C66">
            <w:pPr>
              <w:shd w:val="clear" w:color="auto" w:fill="FFFFFF"/>
              <w:jc w:val="both"/>
            </w:pPr>
          </w:p>
        </w:tc>
      </w:tr>
      <w:tr w:rsidR="00CA6C66">
        <w:trPr>
          <w:trHeight w:val="24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11. Налог на прибыль</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94</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82</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87</w:t>
            </w:r>
          </w:p>
          <w:p w:rsidR="00CA6C66" w:rsidRDefault="00CA6C66">
            <w:pPr>
              <w:shd w:val="clear" w:color="auto" w:fill="FFFFFF"/>
              <w:jc w:val="both"/>
            </w:pPr>
          </w:p>
        </w:tc>
      </w:tr>
      <w:tr w:rsidR="00CA6C66">
        <w:trPr>
          <w:trHeight w:val="442"/>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12. Прибыль (убыток) от обычной деятельности</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p>
          <w:p w:rsidR="00CA6C66" w:rsidRDefault="00CA6C66">
            <w:pPr>
              <w:shd w:val="clear" w:color="auto" w:fill="FFFFFF"/>
              <w:jc w:val="both"/>
            </w:pPr>
          </w:p>
        </w:tc>
      </w:tr>
      <w:tr w:rsidR="00CA6C66">
        <w:trPr>
          <w:trHeight w:val="470"/>
        </w:trPr>
        <w:tc>
          <w:tcPr>
            <w:tcW w:w="414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14. Всего доходов (стр.1 + стр.5 + + стр.8)</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2757</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100</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3916</w:t>
            </w:r>
          </w:p>
          <w:p w:rsidR="00CA6C66" w:rsidRDefault="00CA6C66">
            <w:pPr>
              <w:shd w:val="clear" w:color="auto" w:fill="FFFFFF"/>
              <w:jc w:val="both"/>
            </w:pPr>
          </w:p>
        </w:tc>
        <w:tc>
          <w:tcPr>
            <w:tcW w:w="1260" w:type="dxa"/>
            <w:tcBorders>
              <w:top w:val="single" w:sz="6" w:space="0" w:color="auto"/>
              <w:left w:val="single" w:sz="6" w:space="0" w:color="auto"/>
              <w:bottom w:val="single" w:sz="6" w:space="0" w:color="auto"/>
              <w:right w:val="single" w:sz="6" w:space="0" w:color="auto"/>
            </w:tcBorders>
          </w:tcPr>
          <w:p w:rsidR="00CA6C66" w:rsidRDefault="00CA6C66">
            <w:pPr>
              <w:shd w:val="clear" w:color="auto" w:fill="FFFFFF"/>
              <w:jc w:val="both"/>
            </w:pPr>
            <w:r>
              <w:rPr>
                <w:color w:val="000000"/>
              </w:rPr>
              <w:t>142</w:t>
            </w:r>
          </w:p>
          <w:p w:rsidR="00CA6C66" w:rsidRDefault="00CA6C66">
            <w:pPr>
              <w:shd w:val="clear" w:color="auto" w:fill="FFFFFF"/>
              <w:jc w:val="both"/>
            </w:pPr>
          </w:p>
        </w:tc>
      </w:tr>
    </w:tbl>
    <w:p w:rsidR="00CA6C66" w:rsidRDefault="00CA6C66">
      <w:pPr>
        <w:shd w:val="clear" w:color="auto" w:fill="FFFFFF"/>
        <w:spacing w:line="360" w:lineRule="auto"/>
        <w:ind w:firstLine="708"/>
        <w:jc w:val="both"/>
      </w:pPr>
      <w:r>
        <w:rPr>
          <w:color w:val="000000"/>
        </w:rPr>
        <w:t xml:space="preserve">Трендовый анализ позволяет произвести расчет относительных отклонений какой-либо статьи отчетности </w:t>
      </w:r>
      <w:r>
        <w:rPr>
          <w:b/>
          <w:bCs/>
          <w:color w:val="000000"/>
        </w:rPr>
        <w:t xml:space="preserve">за </w:t>
      </w:r>
      <w:r>
        <w:rPr>
          <w:color w:val="000000"/>
        </w:rPr>
        <w:t>ряд лет от уровня базового года, для которого значения всех статей принимаются за 100%.</w:t>
      </w:r>
    </w:p>
    <w:p w:rsidR="00CA6C66" w:rsidRDefault="00CA6C66">
      <w:pPr>
        <w:shd w:val="clear" w:color="auto" w:fill="FFFFFF"/>
        <w:spacing w:line="360" w:lineRule="auto"/>
        <w:ind w:firstLine="708"/>
        <w:jc w:val="both"/>
      </w:pPr>
      <w:r>
        <w:rPr>
          <w:color w:val="000000"/>
        </w:rPr>
        <w:t>Анализ с помощью финансовых показателей позволяет изучить взаимосвязи между различными элементами отчетности. Представляя собой относительные величины, финансовые коэффициенты позволяют оценить показатели в динамике и сопоставить результаты деятельности предприятия с отраслевыми и результатами предприятий-конкурентов, а также сравнить их со стандартами. Использование коэффициентов дает возможность достаточно быстро оценить финансовое состояние предприятия.</w:t>
      </w:r>
    </w:p>
    <w:p w:rsidR="00CA6C66" w:rsidRDefault="00CA6C66">
      <w:pPr>
        <w:shd w:val="clear" w:color="auto" w:fill="FFFFFF"/>
        <w:spacing w:line="360" w:lineRule="auto"/>
        <w:ind w:firstLine="708"/>
        <w:jc w:val="both"/>
      </w:pPr>
      <w:r>
        <w:rPr>
          <w:color w:val="000000"/>
        </w:rPr>
        <w:t>Показатели, рассчитанные и интерпретированные с помощью какого-либо одного из приведенных приемов анализа, не дают полной картины и не могут выступать в качестве критерия для принятия решений пользователями без объяснения причин изменения анализируемых показателей. Так, кредитор не может принять решение о предоставлении кредита лишь на основе количественного значения показателя ликвидности баланса, также как руководитель (финансовый менеджер) не может сделать вывод о допустимости привлечения дополнительных заемных средств на основании только коэффициента финансовой зависимости.</w:t>
      </w:r>
    </w:p>
    <w:p w:rsidR="00CA6C66" w:rsidRDefault="00CA6C66">
      <w:pPr>
        <w:shd w:val="clear" w:color="auto" w:fill="FFFFFF"/>
        <w:spacing w:line="360" w:lineRule="auto"/>
        <w:ind w:firstLine="708"/>
        <w:jc w:val="both"/>
      </w:pPr>
      <w:r>
        <w:rPr>
          <w:color w:val="000000"/>
        </w:rPr>
        <w:t>Поэтому следует прибегать к совокупности всех методов анализа для наиболее достоверной оценки существующего финансового положения предприятия и определения стратегии и тактики его развития. Полный анализ бухгалтерской (финансовой) отчетности предполагает вертикальный анализ, горизонтальный (трендовый) анализ и анализ коэффициентов, а также факторный анализ.</w:t>
      </w:r>
    </w:p>
    <w:p w:rsidR="00CA6C66" w:rsidRDefault="00CA6C66">
      <w:pPr>
        <w:numPr>
          <w:ilvl w:val="0"/>
          <w:numId w:val="18"/>
        </w:numPr>
        <w:shd w:val="clear" w:color="auto" w:fill="FFFFFF"/>
        <w:spacing w:line="360" w:lineRule="auto"/>
        <w:jc w:val="center"/>
        <w:rPr>
          <w:b/>
          <w:bCs/>
          <w:color w:val="000000"/>
        </w:rPr>
      </w:pPr>
      <w:r>
        <w:rPr>
          <w:b/>
          <w:bCs/>
          <w:color w:val="000000"/>
        </w:rPr>
        <w:br w:type="page"/>
        <w:t>Показатели оценки платежеспособности и ликвидности</w:t>
      </w:r>
    </w:p>
    <w:p w:rsidR="00CA6C66" w:rsidRDefault="00CA6C66">
      <w:pPr>
        <w:shd w:val="clear" w:color="auto" w:fill="FFFFFF"/>
        <w:spacing w:line="360" w:lineRule="auto"/>
        <w:ind w:left="360"/>
        <w:jc w:val="center"/>
      </w:pPr>
    </w:p>
    <w:p w:rsidR="00CA6C66" w:rsidRDefault="00CA6C66">
      <w:pPr>
        <w:shd w:val="clear" w:color="auto" w:fill="FFFFFF"/>
        <w:spacing w:line="360" w:lineRule="auto"/>
        <w:ind w:firstLine="708"/>
        <w:jc w:val="both"/>
      </w:pPr>
      <w:r>
        <w:rPr>
          <w:color w:val="000000"/>
        </w:rPr>
        <w:t>Платежеспособность предприятия - это способность своевременно и в полном объеме погашать свои финансовые обязательства.</w:t>
      </w:r>
    </w:p>
    <w:p w:rsidR="00CA6C66" w:rsidRDefault="00CA6C66">
      <w:pPr>
        <w:shd w:val="clear" w:color="auto" w:fill="FFFFFF"/>
        <w:spacing w:line="360" w:lineRule="auto"/>
        <w:ind w:firstLine="708"/>
        <w:jc w:val="both"/>
      </w:pPr>
      <w:r>
        <w:rPr>
          <w:color w:val="000000"/>
        </w:rPr>
        <w:t>Ликвидность - это способность отдельных видов имущественных ценностей обращаться в денежную форму без потерь своей балансовой стоимости.</w:t>
      </w:r>
    </w:p>
    <w:p w:rsidR="00CA6C66" w:rsidRDefault="00CA6C66">
      <w:pPr>
        <w:pStyle w:val="2"/>
        <w:ind w:firstLine="0"/>
      </w:pPr>
      <w:r>
        <w:t>Понятия платежеспособности и ликвидности близки по содержанию, но не идентичны. При достаточно высоком уровне платежеспособности предприятия его финансовое положение характеризуется как устойчивое. В то же время высокий уровень платежеспособности не всегда подтверждает выгодность вложений средств в оборотные активы, в частности, излишний запас товарно-материальных ценностей, затоваривание готовой продукцией, наличие безнадежной дебиторской задолженности снижают уровень ликвидности оборотных активов.</w:t>
      </w:r>
    </w:p>
    <w:p w:rsidR="00CA6C66" w:rsidRDefault="00CA6C66">
      <w:pPr>
        <w:shd w:val="clear" w:color="auto" w:fill="FFFFFF"/>
        <w:spacing w:line="360" w:lineRule="auto"/>
        <w:ind w:firstLine="708"/>
        <w:jc w:val="both"/>
      </w:pPr>
      <w:r>
        <w:rPr>
          <w:color w:val="000000"/>
        </w:rPr>
        <w:t>Устойчивое финансовое положение предприятия является важнейшим фактором его застрахованности от возможного банкротства. С этих позиций важно знать, насколько платежеспособно предприятие и какова степень ликвидности его активов.</w:t>
      </w:r>
    </w:p>
    <w:p w:rsidR="00CA6C66" w:rsidRDefault="00CA6C66">
      <w:pPr>
        <w:shd w:val="clear" w:color="auto" w:fill="FFFFFF"/>
        <w:spacing w:line="360" w:lineRule="auto"/>
        <w:ind w:firstLine="708"/>
        <w:jc w:val="both"/>
      </w:pPr>
      <w:r>
        <w:rPr>
          <w:color w:val="000000"/>
        </w:rPr>
        <w:t>Для анализа устойчивости финансового положения предприятия целесообразно рассчитывать показатели оценки платежеспособности и ликвидности. Показатели могут быть представлены финансовыми коэффициентами, величиной чистого оборотного капитала и коэффициентами структуры оборотных активов.</w:t>
      </w:r>
    </w:p>
    <w:p w:rsidR="00CA6C66" w:rsidRDefault="00CA6C66">
      <w:pPr>
        <w:shd w:val="clear" w:color="auto" w:fill="FFFFFF"/>
        <w:spacing w:line="360" w:lineRule="auto"/>
        <w:ind w:firstLine="708"/>
        <w:jc w:val="both"/>
      </w:pPr>
      <w:r>
        <w:rPr>
          <w:color w:val="000000"/>
        </w:rPr>
        <w:t>Коэффициенты платежеспособности и ликвидности отражают способность предприятия погасить свои краткосрочные обязательства лекгореализуемыми средствами. Высокое значение данных коэффициентов свидетельствует об устойчивом финансовом положении предприятия, низкое их значение - о возможных проблемах с денежной наличностью и затруднениях в дальнейшей операционной деятельности. В то же время очень большое значение коэффициентов свидетельствует о невыгодном вложении средств в оборотные активы.</w:t>
      </w:r>
    </w:p>
    <w:p w:rsidR="00CA6C66" w:rsidRDefault="00CA6C66">
      <w:pPr>
        <w:shd w:val="clear" w:color="auto" w:fill="FFFFFF"/>
        <w:spacing w:line="360" w:lineRule="auto"/>
        <w:jc w:val="both"/>
      </w:pPr>
    </w:p>
    <w:p w:rsidR="00CA6C66" w:rsidRDefault="00CA6C66">
      <w:pPr>
        <w:spacing w:line="360" w:lineRule="auto"/>
        <w:jc w:val="both"/>
      </w:pPr>
      <w:r>
        <w:t>Расчет показателей платежеспособности и ликвидности.</w:t>
      </w:r>
    </w:p>
    <w:p w:rsidR="00CA6C66" w:rsidRDefault="00CA6C66">
      <w:pPr>
        <w:numPr>
          <w:ilvl w:val="0"/>
          <w:numId w:val="24"/>
        </w:numPr>
        <w:spacing w:line="360" w:lineRule="auto"/>
        <w:jc w:val="both"/>
      </w:pPr>
      <w:r>
        <w:t>Коэффициент текущей ликвидности (покрытия):</w:t>
      </w:r>
    </w:p>
    <w:p w:rsidR="00CA6C66" w:rsidRDefault="00CA6C66">
      <w:pPr>
        <w:shd w:val="clear" w:color="auto" w:fill="FFFFFF"/>
        <w:spacing w:line="360" w:lineRule="auto"/>
        <w:jc w:val="both"/>
        <w:rPr>
          <w:color w:val="000000"/>
        </w:rPr>
      </w:pPr>
      <w:r>
        <w:rPr>
          <w:color w:val="000000"/>
        </w:rPr>
        <w:t xml:space="preserve">(Стр.290-стр216-- стр.244) / (Стр.690 -- стр.640 - стр.650) </w:t>
      </w:r>
    </w:p>
    <w:p w:rsidR="00CA6C66" w:rsidRDefault="00CA6C66">
      <w:pPr>
        <w:shd w:val="clear" w:color="auto" w:fill="FFFFFF"/>
        <w:spacing w:line="360" w:lineRule="auto"/>
        <w:jc w:val="both"/>
        <w:rPr>
          <w:color w:val="000000"/>
        </w:rPr>
      </w:pPr>
      <w:r>
        <w:rPr>
          <w:color w:val="000000"/>
        </w:rPr>
        <w:t>Н=(572-1)/273=2,1</w:t>
      </w:r>
    </w:p>
    <w:p w:rsidR="00CA6C66" w:rsidRDefault="00CA6C66">
      <w:pPr>
        <w:shd w:val="clear" w:color="auto" w:fill="FFFFFF"/>
        <w:spacing w:line="360" w:lineRule="auto"/>
        <w:jc w:val="both"/>
      </w:pPr>
      <w:r>
        <w:rPr>
          <w:color w:val="000000"/>
        </w:rPr>
        <w:t>К=(1081-7)/623=1,72</w:t>
      </w:r>
    </w:p>
    <w:p w:rsidR="00CA6C66" w:rsidRDefault="00CA6C66">
      <w:pPr>
        <w:pStyle w:val="31"/>
        <w:jc w:val="both"/>
      </w:pPr>
      <w:r>
        <w:t>Значение коэффициента текущей платежеспособности и ликвидности на начало периода соответствовало рекомендуемому, что свидетельствовало о том, что предприятие располагало ликвидными активами для погашения своей краткосрочной задолженности. На конец года значение коэффициента снизилось, но предприятие продолжает оставаться платежеспособным, так как его ликвидные активы превышают размер краткосрочной задолженности. Значение коэффициента текущей платежеспособности и ликвидности (1,7) остается в пределах рекомендуемого.</w:t>
      </w:r>
    </w:p>
    <w:p w:rsidR="00CA6C66" w:rsidRDefault="00CA6C66">
      <w:pPr>
        <w:numPr>
          <w:ilvl w:val="0"/>
          <w:numId w:val="24"/>
        </w:numPr>
        <w:shd w:val="clear" w:color="auto" w:fill="FFFFFF"/>
        <w:spacing w:line="360" w:lineRule="auto"/>
        <w:jc w:val="both"/>
      </w:pPr>
      <w:r>
        <w:rPr>
          <w:color w:val="000000"/>
        </w:rPr>
        <w:t>Коэффициент промежуточной платежеспособности и ликвидности</w:t>
      </w:r>
    </w:p>
    <w:p w:rsidR="00CA6C66" w:rsidRDefault="00CA6C66">
      <w:pPr>
        <w:shd w:val="clear" w:color="auto" w:fill="FFFFFF"/>
        <w:spacing w:line="360" w:lineRule="auto"/>
        <w:jc w:val="both"/>
      </w:pPr>
      <w:r>
        <w:rPr>
          <w:color w:val="000000"/>
        </w:rPr>
        <w:t>(Стр.290-стр.2Ю--стр.244)/(Стр690-- стр.640 - стр.650)</w:t>
      </w:r>
    </w:p>
    <w:p w:rsidR="00CA6C66" w:rsidRDefault="00CA6C66">
      <w:pPr>
        <w:spacing w:line="360" w:lineRule="auto"/>
        <w:jc w:val="both"/>
      </w:pPr>
      <w:r>
        <w:t>Н=(572-55)/273=1,9</w:t>
      </w:r>
    </w:p>
    <w:p w:rsidR="00CA6C66" w:rsidRDefault="00CA6C66">
      <w:pPr>
        <w:spacing w:line="360" w:lineRule="auto"/>
        <w:jc w:val="both"/>
      </w:pPr>
      <w:r>
        <w:t>К=(1081-81)/623=1,6</w:t>
      </w:r>
    </w:p>
    <w:p w:rsidR="00CA6C66" w:rsidRDefault="00CA6C66">
      <w:pPr>
        <w:spacing w:line="360" w:lineRule="auto"/>
        <w:jc w:val="both"/>
        <w:rPr>
          <w:color w:val="000000"/>
        </w:rPr>
      </w:pPr>
      <w:r>
        <w:rPr>
          <w:color w:val="000000"/>
        </w:rPr>
        <w:t>Коэффициент промежуточной платежеспособности и ликвидности позволяет лучше, чем коэффициент текущей ликвидности оценить платежеспособность, так как включает при расчете в состав активов их наиболее ликвидную часть.</w:t>
      </w:r>
    </w:p>
    <w:p w:rsidR="00CA6C66" w:rsidRDefault="00CA6C66">
      <w:pPr>
        <w:numPr>
          <w:ilvl w:val="0"/>
          <w:numId w:val="24"/>
        </w:numPr>
        <w:spacing w:line="360" w:lineRule="auto"/>
        <w:jc w:val="both"/>
      </w:pPr>
      <w:r>
        <w:rPr>
          <w:color w:val="000000"/>
        </w:rPr>
        <w:t>Коэффициент абсолютной ликвидности</w:t>
      </w:r>
    </w:p>
    <w:p w:rsidR="00CA6C66" w:rsidRDefault="00CA6C66">
      <w:pPr>
        <w:shd w:val="clear" w:color="auto" w:fill="FFFFFF"/>
        <w:spacing w:line="360" w:lineRule="auto"/>
        <w:jc w:val="both"/>
      </w:pPr>
      <w:r>
        <w:rPr>
          <w:color w:val="000000"/>
        </w:rPr>
        <w:t>(Стр.260 + стр.250)/ (Стр.690 - стр.640 --стр.650)</w:t>
      </w:r>
    </w:p>
    <w:p w:rsidR="00CA6C66" w:rsidRDefault="00CA6C66">
      <w:pPr>
        <w:pStyle w:val="a4"/>
        <w:tabs>
          <w:tab w:val="clear" w:pos="10631"/>
        </w:tabs>
        <w:autoSpaceDE/>
        <w:autoSpaceDN/>
        <w:spacing w:line="360" w:lineRule="auto"/>
        <w:rPr>
          <w:rFonts w:ascii="Times New Roman" w:hAnsi="Times New Roman" w:cs="Times New Roman"/>
        </w:rPr>
      </w:pPr>
      <w:r>
        <w:rPr>
          <w:rFonts w:ascii="Times New Roman" w:hAnsi="Times New Roman" w:cs="Times New Roman"/>
        </w:rPr>
        <w:t>Н=8/273=0,03</w:t>
      </w:r>
    </w:p>
    <w:p w:rsidR="00CA6C66" w:rsidRDefault="00CA6C66">
      <w:pPr>
        <w:spacing w:line="360" w:lineRule="auto"/>
        <w:jc w:val="both"/>
      </w:pPr>
      <w:r>
        <w:t>К=10/623=0,02</w:t>
      </w:r>
    </w:p>
    <w:p w:rsidR="00CA6C66" w:rsidRDefault="00CA6C66">
      <w:pPr>
        <w:shd w:val="clear" w:color="auto" w:fill="FFFFFF"/>
        <w:spacing w:line="360" w:lineRule="auto"/>
        <w:jc w:val="both"/>
      </w:pPr>
      <w:r>
        <w:rPr>
          <w:color w:val="000000"/>
        </w:rPr>
        <w:t>Показывает, какая часть срочных обязательств может быть погашена наиболее мобильными оборотными средствами.</w:t>
      </w:r>
    </w:p>
    <w:p w:rsidR="00CA6C66" w:rsidRDefault="00CA6C66">
      <w:pPr>
        <w:spacing w:line="360" w:lineRule="auto"/>
        <w:jc w:val="center"/>
        <w:rPr>
          <w:b/>
          <w:bCs/>
        </w:rPr>
      </w:pPr>
      <w:r>
        <w:br w:type="page"/>
      </w:r>
      <w:r>
        <w:rPr>
          <w:b/>
          <w:bCs/>
        </w:rPr>
        <w:t>3. Показатели финансовой устойчивости</w:t>
      </w:r>
    </w:p>
    <w:p w:rsidR="00CA6C66" w:rsidRDefault="00CA6C66">
      <w:pPr>
        <w:spacing w:line="360" w:lineRule="auto"/>
        <w:jc w:val="center"/>
        <w:rPr>
          <w:b/>
          <w:bCs/>
        </w:rPr>
      </w:pPr>
    </w:p>
    <w:p w:rsidR="00CA6C66" w:rsidRDefault="00CA6C66">
      <w:pPr>
        <w:spacing w:line="360" w:lineRule="auto"/>
        <w:ind w:firstLine="708"/>
        <w:jc w:val="both"/>
      </w:pPr>
      <w:r>
        <w:t xml:space="preserve">Показатели финансовой устойчивости предприятия характеризуют структуру используемого предприятием капитала с позиции его платежеспособности и финансовой стабильности развития. Эти показатели позволяют оценить степень защищенности инвесторов и кредиторов, так как отражают способность предприятия погасить долгосрочные обязательства. Данную группу показателей еще называют показателями структуры капитала и платежеспособности либо коэффициентами управления источниками средств. </w:t>
      </w:r>
    </w:p>
    <w:p w:rsidR="00CA6C66" w:rsidRDefault="00CA6C66">
      <w:pPr>
        <w:spacing w:line="360" w:lineRule="auto"/>
        <w:jc w:val="both"/>
      </w:pPr>
    </w:p>
    <w:p w:rsidR="00CA6C66" w:rsidRDefault="00CA6C66">
      <w:pPr>
        <w:spacing w:line="360" w:lineRule="auto"/>
        <w:jc w:val="both"/>
      </w:pPr>
      <w:r>
        <w:t>Расчет показателей финансовой устойчивости</w:t>
      </w:r>
    </w:p>
    <w:p w:rsidR="00CA6C66" w:rsidRDefault="00CA6C66">
      <w:pPr>
        <w:pStyle w:val="a4"/>
        <w:numPr>
          <w:ilvl w:val="0"/>
          <w:numId w:val="25"/>
        </w:numPr>
        <w:tabs>
          <w:tab w:val="clear" w:pos="10631"/>
        </w:tabs>
        <w:autoSpaceDE/>
        <w:autoSpaceDN/>
        <w:spacing w:line="360" w:lineRule="auto"/>
        <w:rPr>
          <w:rFonts w:ascii="Times New Roman" w:hAnsi="Times New Roman" w:cs="Times New Roman"/>
        </w:rPr>
      </w:pPr>
      <w:r>
        <w:rPr>
          <w:rFonts w:ascii="Times New Roman" w:hAnsi="Times New Roman" w:cs="Times New Roman"/>
        </w:rPr>
        <w:t>Коэффициент автономии</w:t>
      </w:r>
    </w:p>
    <w:p w:rsidR="00CA6C66" w:rsidRDefault="00CA6C66">
      <w:pPr>
        <w:spacing w:line="360" w:lineRule="auto"/>
        <w:jc w:val="both"/>
      </w:pPr>
      <w:r>
        <w:t>Стр.490/стр.700</w:t>
      </w:r>
    </w:p>
    <w:p w:rsidR="00CA6C66" w:rsidRDefault="00CA6C66">
      <w:pPr>
        <w:spacing w:line="360" w:lineRule="auto"/>
        <w:jc w:val="both"/>
      </w:pPr>
      <w:r>
        <w:t>Н=7008/7281=0,96</w:t>
      </w:r>
    </w:p>
    <w:p w:rsidR="00CA6C66" w:rsidRDefault="00CA6C66">
      <w:pPr>
        <w:spacing w:line="360" w:lineRule="auto"/>
        <w:jc w:val="both"/>
      </w:pPr>
      <w:r>
        <w:t>К=7058/7681=0,92</w:t>
      </w:r>
    </w:p>
    <w:p w:rsidR="00CA6C66" w:rsidRDefault="00CA6C66">
      <w:pPr>
        <w:spacing w:line="360" w:lineRule="auto"/>
        <w:jc w:val="both"/>
      </w:pPr>
      <w:r>
        <w:t>Более 90% активов предприятия сформированы за счет собственного  капитала. Предприятие обладает достаточной независимостью и возможностями для проведения независимой финансовой политики.</w:t>
      </w:r>
    </w:p>
    <w:p w:rsidR="00CA6C66" w:rsidRDefault="00CA6C66">
      <w:pPr>
        <w:numPr>
          <w:ilvl w:val="0"/>
          <w:numId w:val="25"/>
        </w:numPr>
        <w:spacing w:line="360" w:lineRule="auto"/>
        <w:jc w:val="both"/>
      </w:pPr>
      <w:r>
        <w:t>Коэффициент заемного капитала</w:t>
      </w:r>
    </w:p>
    <w:p w:rsidR="00CA6C66" w:rsidRDefault="00CA6C66">
      <w:pPr>
        <w:spacing w:line="360" w:lineRule="auto"/>
        <w:jc w:val="both"/>
      </w:pPr>
      <w:r>
        <w:t>(Стр.590+стр. 690-стр.640-стр.650)/стр.700</w:t>
      </w:r>
    </w:p>
    <w:p w:rsidR="00CA6C66" w:rsidRDefault="00CA6C66">
      <w:pPr>
        <w:spacing w:line="360" w:lineRule="auto"/>
        <w:jc w:val="both"/>
      </w:pPr>
      <w:r>
        <w:t>Н=273/72841=0,04</w:t>
      </w:r>
    </w:p>
    <w:p w:rsidR="00CA6C66" w:rsidRDefault="00CA6C66">
      <w:pPr>
        <w:spacing w:line="360" w:lineRule="auto"/>
        <w:jc w:val="both"/>
      </w:pPr>
      <w:r>
        <w:t>К=623/7681=0,08</w:t>
      </w:r>
    </w:p>
    <w:p w:rsidR="00CA6C66" w:rsidRDefault="00CA6C66">
      <w:pPr>
        <w:numPr>
          <w:ilvl w:val="0"/>
          <w:numId w:val="25"/>
        </w:numPr>
        <w:spacing w:line="360" w:lineRule="auto"/>
        <w:jc w:val="both"/>
      </w:pPr>
      <w:r>
        <w:t>Коэффициент финансовой зависимости (мультипликатор собственного капитала)</w:t>
      </w:r>
    </w:p>
    <w:p w:rsidR="00CA6C66" w:rsidRDefault="00CA6C66">
      <w:pPr>
        <w:spacing w:line="360" w:lineRule="auto"/>
        <w:jc w:val="both"/>
      </w:pPr>
      <w:r>
        <w:t>Стр.300/(стр.490-стр.460)</w:t>
      </w:r>
    </w:p>
    <w:p w:rsidR="00CA6C66" w:rsidRDefault="00CA6C66">
      <w:pPr>
        <w:spacing w:line="360" w:lineRule="auto"/>
        <w:jc w:val="both"/>
      </w:pPr>
      <w:r>
        <w:t>Н=7281/7008=1,04</w:t>
      </w:r>
    </w:p>
    <w:p w:rsidR="00CA6C66" w:rsidRDefault="00CA6C66">
      <w:pPr>
        <w:spacing w:line="360" w:lineRule="auto"/>
        <w:jc w:val="both"/>
      </w:pPr>
      <w:r>
        <w:t>К=7681/7058=1,09</w:t>
      </w:r>
    </w:p>
    <w:p w:rsidR="00CA6C66" w:rsidRDefault="00CA6C66">
      <w:pPr>
        <w:numPr>
          <w:ilvl w:val="0"/>
          <w:numId w:val="25"/>
        </w:numPr>
        <w:spacing w:line="360" w:lineRule="auto"/>
        <w:jc w:val="both"/>
      </w:pPr>
      <w:r>
        <w:t>Коэффициент финансовой зависимости</w:t>
      </w:r>
    </w:p>
    <w:p w:rsidR="00CA6C66" w:rsidRDefault="00CA6C66">
      <w:pPr>
        <w:spacing w:line="360" w:lineRule="auto"/>
        <w:jc w:val="both"/>
      </w:pPr>
      <w:r>
        <w:t>(Стр.590+стр.690-стр.640-сьтр.650)/стр.490</w:t>
      </w:r>
    </w:p>
    <w:p w:rsidR="00CA6C66" w:rsidRDefault="00CA6C66">
      <w:pPr>
        <w:spacing w:line="360" w:lineRule="auto"/>
        <w:jc w:val="both"/>
      </w:pPr>
      <w:r>
        <w:t>Н=273/7008=0,04</w:t>
      </w:r>
    </w:p>
    <w:p w:rsidR="00CA6C66" w:rsidRDefault="00CA6C66">
      <w:pPr>
        <w:spacing w:line="360" w:lineRule="auto"/>
        <w:jc w:val="both"/>
      </w:pPr>
      <w:r>
        <w:t>К=623/7058=0,09</w:t>
      </w:r>
    </w:p>
    <w:p w:rsidR="00CA6C66" w:rsidRDefault="00CA6C66">
      <w:pPr>
        <w:spacing w:line="360" w:lineRule="auto"/>
        <w:jc w:val="both"/>
      </w:pPr>
      <w:r>
        <w:t>На 1 рубль собственного капитала предприятие привлекало от 4 до 9 копеек заемного капитала, то есть кредиторы практически не участвуют в финансировании предприятия. Зависимость данного предприятия от внешних источников мала.</w:t>
      </w:r>
    </w:p>
    <w:p w:rsidR="00CA6C66" w:rsidRDefault="00CA6C66">
      <w:pPr>
        <w:numPr>
          <w:ilvl w:val="0"/>
          <w:numId w:val="25"/>
        </w:numPr>
        <w:spacing w:line="360" w:lineRule="auto"/>
        <w:jc w:val="both"/>
      </w:pPr>
      <w:r>
        <w:t>Коэффициент покрытия инвестиций (долгосрочной финансовой независимости)</w:t>
      </w:r>
    </w:p>
    <w:p w:rsidR="00CA6C66" w:rsidRDefault="00CA6C66">
      <w:pPr>
        <w:spacing w:line="360" w:lineRule="auto"/>
        <w:jc w:val="both"/>
      </w:pPr>
      <w:r>
        <w:t>(Стр.490+стр.590)/700</w:t>
      </w:r>
    </w:p>
    <w:p w:rsidR="00CA6C66" w:rsidRDefault="00CA6C66">
      <w:pPr>
        <w:spacing w:line="360" w:lineRule="auto"/>
        <w:jc w:val="both"/>
      </w:pPr>
      <w:r>
        <w:t>Н=7008/7281=0,96</w:t>
      </w:r>
    </w:p>
    <w:p w:rsidR="00CA6C66" w:rsidRDefault="00CA6C66">
      <w:pPr>
        <w:spacing w:line="360" w:lineRule="auto"/>
        <w:jc w:val="both"/>
      </w:pPr>
      <w:r>
        <w:t>К=7058/7681=0,91</w:t>
      </w:r>
    </w:p>
    <w:p w:rsidR="00CA6C66" w:rsidRDefault="00CA6C66">
      <w:pPr>
        <w:numPr>
          <w:ilvl w:val="0"/>
          <w:numId w:val="25"/>
        </w:numPr>
        <w:spacing w:line="360" w:lineRule="auto"/>
        <w:jc w:val="both"/>
      </w:pPr>
      <w:r>
        <w:t>Коэффициент обеспеченности собственными оборотными средствами</w:t>
      </w:r>
    </w:p>
    <w:p w:rsidR="00CA6C66" w:rsidRDefault="00CA6C66">
      <w:pPr>
        <w:spacing w:line="360" w:lineRule="auto"/>
        <w:jc w:val="both"/>
      </w:pPr>
      <w:r>
        <w:t>(стр. 490-стр.190)/стр.290</w:t>
      </w:r>
    </w:p>
    <w:p w:rsidR="00CA6C66" w:rsidRDefault="00CA6C66">
      <w:pPr>
        <w:spacing w:line="360" w:lineRule="auto"/>
        <w:jc w:val="both"/>
      </w:pPr>
      <w:r>
        <w:t>Н=(7008-6709)/572=0,5</w:t>
      </w:r>
    </w:p>
    <w:p w:rsidR="00CA6C66" w:rsidRDefault="00CA6C66">
      <w:pPr>
        <w:spacing w:line="360" w:lineRule="auto"/>
        <w:jc w:val="both"/>
      </w:pPr>
      <w:r>
        <w:t>К=(7058-6600)/1081=0,4</w:t>
      </w:r>
    </w:p>
    <w:p w:rsidR="00CA6C66" w:rsidRDefault="00CA6C66">
      <w:pPr>
        <w:numPr>
          <w:ilvl w:val="0"/>
          <w:numId w:val="25"/>
        </w:numPr>
        <w:spacing w:line="360" w:lineRule="auto"/>
        <w:jc w:val="both"/>
      </w:pPr>
      <w:r>
        <w:t>Коэффициент маневренности</w:t>
      </w:r>
    </w:p>
    <w:p w:rsidR="00CA6C66" w:rsidRDefault="00CA6C66">
      <w:pPr>
        <w:spacing w:line="360" w:lineRule="auto"/>
        <w:jc w:val="both"/>
      </w:pPr>
      <w:r>
        <w:t>(стр.490-стр.190+стр.510)/стр.490</w:t>
      </w:r>
    </w:p>
    <w:p w:rsidR="00CA6C66" w:rsidRDefault="00CA6C66">
      <w:pPr>
        <w:spacing w:line="360" w:lineRule="auto"/>
        <w:jc w:val="both"/>
      </w:pPr>
      <w:r>
        <w:t>Н=(7008-6709)/7008=0,04</w:t>
      </w:r>
    </w:p>
    <w:p w:rsidR="00CA6C66" w:rsidRDefault="00CA6C66">
      <w:pPr>
        <w:spacing w:line="360" w:lineRule="auto"/>
        <w:jc w:val="both"/>
      </w:pPr>
      <w:r>
        <w:t>К=(7058-6600)/7058=0,06</w:t>
      </w:r>
    </w:p>
    <w:p w:rsidR="00CA6C66" w:rsidRDefault="00CA6C66">
      <w:pPr>
        <w:spacing w:line="360" w:lineRule="auto"/>
        <w:ind w:firstLine="708"/>
        <w:jc w:val="both"/>
      </w:pPr>
      <w:r>
        <w:t>Коэффициент маневренности имеет очень низкое значение, поэтому предприятию следует обратить внимание на использование собственного капитала.</w:t>
      </w:r>
    </w:p>
    <w:p w:rsidR="00CA6C66" w:rsidRDefault="00CA6C66">
      <w:pPr>
        <w:spacing w:line="360" w:lineRule="auto"/>
        <w:jc w:val="both"/>
      </w:pPr>
      <w:r>
        <w:t>По данным показателям финансовое состояние предприятия в целом можно охарактеризовать как устойчивое, что обеспечивается высокой долей собственного капитала, и предполагает стабильность его деятельности в будущем году.</w:t>
      </w:r>
    </w:p>
    <w:p w:rsidR="00CA6C66" w:rsidRDefault="00CA6C66">
      <w:pPr>
        <w:numPr>
          <w:ilvl w:val="0"/>
          <w:numId w:val="26"/>
        </w:numPr>
        <w:spacing w:line="360" w:lineRule="auto"/>
        <w:jc w:val="center"/>
        <w:rPr>
          <w:b/>
          <w:bCs/>
        </w:rPr>
      </w:pPr>
      <w:r>
        <w:br w:type="page"/>
      </w:r>
      <w:r>
        <w:rPr>
          <w:b/>
          <w:bCs/>
        </w:rPr>
        <w:t>Показатели деловой активности</w:t>
      </w:r>
    </w:p>
    <w:p w:rsidR="00CA6C66" w:rsidRDefault="00CA6C66">
      <w:pPr>
        <w:spacing w:line="360" w:lineRule="auto"/>
        <w:jc w:val="center"/>
        <w:rPr>
          <w:b/>
          <w:bCs/>
        </w:rPr>
      </w:pPr>
    </w:p>
    <w:p w:rsidR="00CA6C66" w:rsidRDefault="00CA6C66">
      <w:pPr>
        <w:spacing w:line="360" w:lineRule="auto"/>
        <w:ind w:firstLine="708"/>
        <w:jc w:val="both"/>
      </w:pPr>
      <w:r>
        <w:t>Показатели деловой активности позволяют оценить финансовое положение предприятия с точки зрения платежеспособности: как быстро средства могут превращаться в наличность, каков производственный потенциал предприятия, эффективно ли используется собственный капитал и трудовые ресурсы, как использует предприятие свои активы для получения доходов и прибыли.</w:t>
      </w:r>
    </w:p>
    <w:p w:rsidR="00CA6C66" w:rsidRDefault="00CA6C66">
      <w:pPr>
        <w:spacing w:line="360" w:lineRule="auto"/>
        <w:jc w:val="both"/>
      </w:pPr>
      <w:r>
        <w:t>Расчет показателей деловой активности</w:t>
      </w:r>
    </w:p>
    <w:p w:rsidR="00CA6C66" w:rsidRDefault="00CA6C66">
      <w:pPr>
        <w:numPr>
          <w:ilvl w:val="0"/>
          <w:numId w:val="27"/>
        </w:numPr>
        <w:spacing w:line="360" w:lineRule="auto"/>
        <w:jc w:val="both"/>
      </w:pPr>
      <w:r>
        <w:t>Оборачиваемость активов</w:t>
      </w:r>
    </w:p>
    <w:p w:rsidR="00CA6C66" w:rsidRDefault="00CA6C66">
      <w:pPr>
        <w:spacing w:line="360" w:lineRule="auto"/>
        <w:jc w:val="both"/>
      </w:pPr>
      <w:r>
        <w:t>Стр.010 ф.2/ стр.700 ф.1=3848/7481=0,5</w:t>
      </w:r>
    </w:p>
    <w:p w:rsidR="00CA6C66" w:rsidRDefault="00CA6C66">
      <w:pPr>
        <w:spacing w:line="360" w:lineRule="auto"/>
        <w:jc w:val="both"/>
      </w:pPr>
      <w:r>
        <w:t>Каждый рубль активов предприятия оборачивался менее одного раза в отчетном году.</w:t>
      </w:r>
    </w:p>
    <w:p w:rsidR="00CA6C66" w:rsidRDefault="00CA6C66">
      <w:pPr>
        <w:numPr>
          <w:ilvl w:val="0"/>
          <w:numId w:val="27"/>
        </w:numPr>
        <w:spacing w:line="360" w:lineRule="auto"/>
        <w:jc w:val="both"/>
      </w:pPr>
      <w:r>
        <w:t>Оборачиваемость запасов</w:t>
      </w:r>
    </w:p>
    <w:p w:rsidR="00CA6C66" w:rsidRDefault="00CA6C66">
      <w:pPr>
        <w:spacing w:line="360" w:lineRule="auto"/>
        <w:jc w:val="both"/>
      </w:pPr>
      <w:r>
        <w:t>Стр.020 ф.2/стр.210 ф.1=3135/[(55+81)/2]=46</w:t>
      </w:r>
    </w:p>
    <w:p w:rsidR="00CA6C66" w:rsidRDefault="00CA6C66">
      <w:pPr>
        <w:spacing w:line="360" w:lineRule="auto"/>
        <w:jc w:val="both"/>
      </w:pPr>
      <w:r>
        <w:t>Высокое значение коэффициента подтверждает благоприятную характеристику финансового состояния предприятия.</w:t>
      </w:r>
    </w:p>
    <w:p w:rsidR="00CA6C66" w:rsidRDefault="00CA6C66">
      <w:pPr>
        <w:numPr>
          <w:ilvl w:val="0"/>
          <w:numId w:val="27"/>
        </w:numPr>
        <w:spacing w:line="360" w:lineRule="auto"/>
        <w:jc w:val="both"/>
      </w:pPr>
      <w:r>
        <w:t>Фондоотдача</w:t>
      </w:r>
    </w:p>
    <w:p w:rsidR="00CA6C66" w:rsidRDefault="00CA6C66">
      <w:pPr>
        <w:spacing w:line="360" w:lineRule="auto"/>
        <w:jc w:val="both"/>
      </w:pPr>
      <w:r>
        <w:t>стр.010 ф.2/стр.120 ф.1=3848/6563,5=0,58</w:t>
      </w:r>
    </w:p>
    <w:p w:rsidR="00CA6C66" w:rsidRDefault="00CA6C66">
      <w:pPr>
        <w:shd w:val="clear" w:color="auto" w:fill="FFFFFF"/>
        <w:spacing w:line="360" w:lineRule="auto"/>
        <w:ind w:firstLine="708"/>
        <w:jc w:val="both"/>
      </w:pPr>
      <w:r>
        <w:rPr>
          <w:color w:val="000000"/>
        </w:rPr>
        <w:t>Финансовое положение предприятия характеризуется как устойчивое при достаточно высоком уровне платежеспособности предприятия. Низкое значение коэффициентов платежеспособности и ликвидности свидетельствует о возможности возникновения проблемы наличности на предприятии и о возможных затруднениях в дальнейшей операционной деятельности. В то же время очень большое значение коэффициентов свидетельствует о невыгодном вложении средств в оборотные активы.</w:t>
      </w:r>
    </w:p>
    <w:p w:rsidR="00CA6C66" w:rsidRDefault="00CA6C66">
      <w:pPr>
        <w:shd w:val="clear" w:color="auto" w:fill="FFFFFF"/>
        <w:spacing w:line="360" w:lineRule="auto"/>
        <w:jc w:val="both"/>
      </w:pPr>
      <w:r>
        <w:rPr>
          <w:color w:val="000000"/>
        </w:rPr>
        <w:t>Устойчивость финансового положения предприятия - фактор его застрахованности от возможного банкротства.</w:t>
      </w:r>
    </w:p>
    <w:p w:rsidR="00CA6C66" w:rsidRDefault="00CA6C66">
      <w:pPr>
        <w:shd w:val="clear" w:color="auto" w:fill="FFFFFF"/>
        <w:spacing w:line="360" w:lineRule="auto"/>
        <w:ind w:firstLine="708"/>
        <w:jc w:val="center"/>
        <w:rPr>
          <w:b/>
          <w:bCs/>
          <w:color w:val="000000"/>
        </w:rPr>
      </w:pPr>
      <w:r>
        <w:rPr>
          <w:color w:val="000000"/>
        </w:rPr>
        <w:br w:type="page"/>
      </w:r>
      <w:r>
        <w:rPr>
          <w:b/>
          <w:bCs/>
          <w:color w:val="000000"/>
        </w:rPr>
        <w:t>Заключение</w:t>
      </w:r>
    </w:p>
    <w:p w:rsidR="00CA6C66" w:rsidRDefault="00CA6C66">
      <w:pPr>
        <w:shd w:val="clear" w:color="auto" w:fill="FFFFFF"/>
        <w:spacing w:line="360" w:lineRule="auto"/>
        <w:ind w:firstLine="708"/>
        <w:jc w:val="center"/>
        <w:rPr>
          <w:b/>
          <w:bCs/>
          <w:color w:val="000000"/>
        </w:rPr>
      </w:pPr>
    </w:p>
    <w:p w:rsidR="00CA6C66" w:rsidRDefault="00CA6C66">
      <w:pPr>
        <w:shd w:val="clear" w:color="auto" w:fill="FFFFFF"/>
        <w:spacing w:line="360" w:lineRule="auto"/>
        <w:ind w:firstLine="708"/>
        <w:jc w:val="both"/>
      </w:pPr>
      <w:r>
        <w:rPr>
          <w:color w:val="000000"/>
        </w:rPr>
        <w:t>Анализу платежеспособности предприятия отводят первостепенное значение. В то же время, исходя из условий функционирования российских предприятий, когда практически отсутствуют законодательно регламентированные возможности взыскать долги с предприятий-должников, а краткосрочные финансовые вложения не всегда ликвидны, необходимо определиться с выбором конкретного коэффициента для оценки платежеспособности и ликвидности предприятия.</w:t>
      </w:r>
    </w:p>
    <w:p w:rsidR="00CA6C66" w:rsidRDefault="00CA6C66">
      <w:pPr>
        <w:shd w:val="clear" w:color="auto" w:fill="FFFFFF"/>
        <w:spacing w:line="360" w:lineRule="auto"/>
        <w:jc w:val="both"/>
      </w:pPr>
      <w:r>
        <w:rPr>
          <w:color w:val="000000"/>
        </w:rPr>
        <w:t>Оценка платежеспособности по показателю текущей платежеспособности и ликвидности, либо промежуточной платежеспособности и ликвидности может оказаться далеко не точной, и возможно, потребуется в конкретном случае оценка по показателю абсолютной ликвидности.</w:t>
      </w:r>
    </w:p>
    <w:p w:rsidR="00CA6C66" w:rsidRDefault="00CA6C66">
      <w:pPr>
        <w:shd w:val="clear" w:color="auto" w:fill="FFFFFF"/>
        <w:spacing w:line="360" w:lineRule="auto"/>
        <w:ind w:firstLine="708"/>
        <w:jc w:val="both"/>
      </w:pPr>
      <w:r>
        <w:rPr>
          <w:color w:val="000000"/>
        </w:rPr>
        <w:t>При анализе показателей платежеспособности и ликвидности важно проследить их динамику. За показателями платежеспособности и ликвидности особенно внимательно следят в странах с рыночной экономикой.</w:t>
      </w:r>
    </w:p>
    <w:p w:rsidR="00CA6C66" w:rsidRDefault="00CA6C66">
      <w:pPr>
        <w:shd w:val="clear" w:color="auto" w:fill="FFFFFF"/>
        <w:spacing w:line="360" w:lineRule="auto"/>
        <w:ind w:firstLine="708"/>
        <w:jc w:val="both"/>
      </w:pPr>
      <w:r>
        <w:rPr>
          <w:color w:val="000000"/>
        </w:rPr>
        <w:t>Кредиторы и владельцы уделяют также внимание долгосрочной финансовой и производственной структуре предприятия. Кредиторов интересует мера финансового риска, степень защищенности вложенного ими капитала, т.е. способность предприятия погашать долгосрочную задолженность. Собственников и управляющих интересует структура капитала, сочетание различных источников в финансировании активов предприятия.</w:t>
      </w:r>
    </w:p>
    <w:p w:rsidR="00CA6C66" w:rsidRDefault="00CA6C66">
      <w:pPr>
        <w:shd w:val="clear" w:color="auto" w:fill="FFFFFF"/>
        <w:spacing w:line="360" w:lineRule="auto"/>
        <w:ind w:firstLine="708"/>
        <w:jc w:val="both"/>
      </w:pPr>
      <w:r>
        <w:rPr>
          <w:color w:val="000000"/>
        </w:rPr>
        <w:t>Этим задачам отвечают показатели финансовой устойчивости предприятия. По показателям финансовой устойчивости собственники и администрация предприятия могут определять допустимые доли заемных и собственных источников финансирования или, как определяет финансовый менеджмент, проводить политику финансового левериджа.</w:t>
      </w:r>
    </w:p>
    <w:p w:rsidR="00CA6C66" w:rsidRDefault="00CA6C66">
      <w:pPr>
        <w:shd w:val="clear" w:color="auto" w:fill="FFFFFF"/>
        <w:spacing w:line="360" w:lineRule="auto"/>
        <w:jc w:val="both"/>
      </w:pPr>
      <w:r>
        <w:rPr>
          <w:color w:val="000000"/>
        </w:rPr>
        <w:t>Кредиторы предпочитают одалживать предприятиям, у которых доля заемных средств относительно невелика, собственники же и администрация предприятия наоборот, предпочитают относительно высокий уровень финансирования активов предприятия за счет заемных средств.</w:t>
      </w:r>
    </w:p>
    <w:p w:rsidR="00CA6C66" w:rsidRDefault="00CA6C66">
      <w:pPr>
        <w:shd w:val="clear" w:color="auto" w:fill="FFFFFF"/>
        <w:spacing w:line="360" w:lineRule="auto"/>
        <w:ind w:firstLine="708"/>
        <w:jc w:val="both"/>
      </w:pPr>
      <w:r>
        <w:rPr>
          <w:color w:val="000000"/>
        </w:rPr>
        <w:t>Как известно, любые заимствования обязывают выплачивать периодические проценты по ним. Это требует оценки способности предприятия выплачивать кредиторам проценты, определять их размер, возможный к выплате без риска оказаться несостоятельным плательщиком.</w:t>
      </w:r>
    </w:p>
    <w:p w:rsidR="00CA6C66" w:rsidRDefault="00CA6C66">
      <w:pPr>
        <w:shd w:val="clear" w:color="auto" w:fill="FFFFFF"/>
        <w:spacing w:line="360" w:lineRule="auto"/>
        <w:ind w:firstLine="708"/>
        <w:jc w:val="both"/>
      </w:pPr>
      <w:r>
        <w:rPr>
          <w:color w:val="000000"/>
        </w:rPr>
        <w:t>В группе показателей финансовой устойчивости объединены такие показатели, которые помогают предприятию определять будущую финансовую политику, а кредиторам - принимать решения о предоставлении ему дополнительных займов.</w:t>
      </w:r>
    </w:p>
    <w:p w:rsidR="00CA6C66" w:rsidRDefault="00CA6C66">
      <w:pPr>
        <w:shd w:val="clear" w:color="auto" w:fill="FFFFFF"/>
        <w:spacing w:line="360" w:lineRule="auto"/>
        <w:jc w:val="both"/>
      </w:pPr>
      <w:r>
        <w:rPr>
          <w:color w:val="000000"/>
        </w:rPr>
        <w:t>Показатели деловой активности предназначены для оценки эффективности использования предприятием имеющихся у него активов. Они позволяют оценить оптимальный размер и структуру активов с позиции функционирования предприятия. Величина активов должна быть достаточна и оптимальна для выполнения производственной программы предприятия. Если предприятие испытывает недостаток в ресурсах, оно должно думать об источниках финансирования для их пополнения. Наоборот, если величина активов неоправданно велика, предприятие будет нести дополнительные расходы. Например, наличие у предприятия избыточных запасов требует дополнительного финансирования для их поддержания, и влияет на снижение оборачиваемости активов. Это неблагоприятно сказывается на финансовом положении предприятия. Избыточность активов также приведет к дополнительным расходам по уплате процентов за пользование заемными средствами Показатели данной группы характеризуют направления использования предприятием своих активов для получения доходов и прибыли.</w:t>
      </w:r>
    </w:p>
    <w:p w:rsidR="00CA6C66" w:rsidRDefault="00CA6C66">
      <w:pPr>
        <w:shd w:val="clear" w:color="auto" w:fill="FFFFFF"/>
        <w:spacing w:line="360" w:lineRule="auto"/>
        <w:ind w:firstLine="708"/>
        <w:jc w:val="both"/>
      </w:pPr>
      <w:r>
        <w:rPr>
          <w:color w:val="000000"/>
        </w:rPr>
        <w:t>Одним из критериев финансового состояния предприятия и эффективности управления является способность предприятия генерировать прибыль.</w:t>
      </w:r>
    </w:p>
    <w:p w:rsidR="00CA6C66" w:rsidRDefault="00CA6C66">
      <w:pPr>
        <w:shd w:val="clear" w:color="auto" w:fill="FFFFFF"/>
        <w:spacing w:line="360" w:lineRule="auto"/>
        <w:ind w:firstLine="708"/>
        <w:jc w:val="both"/>
      </w:pPr>
      <w:r>
        <w:rPr>
          <w:color w:val="000000"/>
        </w:rPr>
        <w:t>Анализ по финансовым коэффициентам целесообразно использовать при составлении документов, содержащих финансовые данные (например, кредитного соглашения). Если составляемый документ содержит ограничивающие условия, которые основаны на определенных соотношениях и расчетах, целесообразно выполнить анализ наиболее важных коэффициентов и учесть прогнозное развитие предприятия. Такой анализ необходим для того, чтобы знать, насколько предприятие соответствует этим критериям, построенным на оценке будущих событий в настоящий момент, и избежать неприятностей.</w:t>
      </w:r>
    </w:p>
    <w:p w:rsidR="00CA6C66" w:rsidRDefault="00CA6C66">
      <w:pPr>
        <w:spacing w:line="360" w:lineRule="auto"/>
        <w:jc w:val="center"/>
        <w:rPr>
          <w:b/>
          <w:bCs/>
        </w:rPr>
      </w:pPr>
      <w:r>
        <w:br w:type="page"/>
      </w:r>
      <w:r>
        <w:rPr>
          <w:b/>
          <w:bCs/>
        </w:rPr>
        <w:t>Список использованной литературы</w:t>
      </w:r>
    </w:p>
    <w:p w:rsidR="00CA6C66" w:rsidRDefault="00CA6C66">
      <w:pPr>
        <w:spacing w:line="360" w:lineRule="auto"/>
        <w:jc w:val="center"/>
      </w:pPr>
    </w:p>
    <w:p w:rsidR="00CA6C66" w:rsidRDefault="00CA6C66">
      <w:pPr>
        <w:pStyle w:val="a4"/>
        <w:numPr>
          <w:ilvl w:val="0"/>
          <w:numId w:val="22"/>
        </w:numPr>
        <w:tabs>
          <w:tab w:val="clear" w:pos="10631"/>
        </w:tabs>
        <w:autoSpaceDE/>
        <w:autoSpaceDN/>
        <w:spacing w:line="360" w:lineRule="auto"/>
        <w:rPr>
          <w:rFonts w:ascii="Times New Roman" w:hAnsi="Times New Roman" w:cs="Times New Roman"/>
        </w:rPr>
      </w:pPr>
      <w:r>
        <w:rPr>
          <w:rFonts w:ascii="Times New Roman" w:hAnsi="Times New Roman" w:cs="Times New Roman"/>
        </w:rPr>
        <w:t>Т.Г. Вакуленко, Л.Ф. Фомина «Анализ бухгалтерской (финансовой) отчетности для принятия управленческих решений» - СПб.: «Издательский дом Герда», 2001</w:t>
      </w:r>
    </w:p>
    <w:p w:rsidR="00CA6C66" w:rsidRDefault="00CA6C66">
      <w:pPr>
        <w:numPr>
          <w:ilvl w:val="0"/>
          <w:numId w:val="22"/>
        </w:numPr>
        <w:spacing w:line="360" w:lineRule="auto"/>
        <w:jc w:val="both"/>
      </w:pPr>
      <w:r>
        <w:t>Справочно-правовая система «Гарант»</w:t>
      </w:r>
      <w:bookmarkStart w:id="0" w:name="_GoBack"/>
      <w:bookmarkEnd w:id="0"/>
    </w:p>
    <w:sectPr w:rsidR="00CA6C6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0B2" w:rsidRDefault="00B470B2">
      <w:r>
        <w:separator/>
      </w:r>
    </w:p>
  </w:endnote>
  <w:endnote w:type="continuationSeparator" w:id="0">
    <w:p w:rsidR="00B470B2" w:rsidRDefault="00B4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0B2" w:rsidRDefault="00B470B2">
      <w:r>
        <w:separator/>
      </w:r>
    </w:p>
  </w:footnote>
  <w:footnote w:type="continuationSeparator" w:id="0">
    <w:p w:rsidR="00B470B2" w:rsidRDefault="00B47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6C66" w:rsidRDefault="002571EE">
    <w:pPr>
      <w:pStyle w:val="a7"/>
      <w:framePr w:wrap="auto" w:vAnchor="text" w:hAnchor="margin" w:xAlign="right" w:y="1"/>
      <w:rPr>
        <w:rStyle w:val="a9"/>
      </w:rPr>
    </w:pPr>
    <w:r>
      <w:rPr>
        <w:rStyle w:val="a9"/>
        <w:noProof/>
      </w:rPr>
      <w:t>2</w:t>
    </w:r>
  </w:p>
  <w:p w:rsidR="00CA6C66" w:rsidRDefault="00CA6C6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25551"/>
    <w:multiLevelType w:val="hybridMultilevel"/>
    <w:tmpl w:val="777AE820"/>
    <w:lvl w:ilvl="0" w:tplc="04190019">
      <w:start w:val="1"/>
      <w:numFmt w:val="lowerLetter"/>
      <w:lvlText w:val="%1."/>
      <w:lvlJc w:val="left"/>
      <w:pPr>
        <w:tabs>
          <w:tab w:val="num" w:pos="3600"/>
        </w:tabs>
        <w:ind w:left="36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13E73D03"/>
    <w:multiLevelType w:val="hybridMultilevel"/>
    <w:tmpl w:val="A232DE6A"/>
    <w:lvl w:ilvl="0" w:tplc="04190019">
      <w:start w:val="1"/>
      <w:numFmt w:val="lowerLetter"/>
      <w:lvlText w:val="%1."/>
      <w:lvlJc w:val="left"/>
      <w:pPr>
        <w:tabs>
          <w:tab w:val="num" w:pos="3600"/>
        </w:tabs>
        <w:ind w:left="36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40670AF"/>
    <w:multiLevelType w:val="hybridMultilevel"/>
    <w:tmpl w:val="8F52B602"/>
    <w:lvl w:ilvl="0" w:tplc="4D5A031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88970AC"/>
    <w:multiLevelType w:val="hybridMultilevel"/>
    <w:tmpl w:val="69FE9588"/>
    <w:lvl w:ilvl="0" w:tplc="4D5A031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BF12054"/>
    <w:multiLevelType w:val="hybridMultilevel"/>
    <w:tmpl w:val="DB92EC8C"/>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5">
    <w:nsid w:val="1CC61C5C"/>
    <w:multiLevelType w:val="singleLevel"/>
    <w:tmpl w:val="6E10BAEC"/>
    <w:lvl w:ilvl="0">
      <w:start w:val="4"/>
      <w:numFmt w:val="decimal"/>
      <w:lvlText w:val="%1"/>
      <w:lvlJc w:val="left"/>
      <w:pPr>
        <w:tabs>
          <w:tab w:val="num" w:pos="360"/>
        </w:tabs>
        <w:ind w:left="360" w:hanging="360"/>
      </w:pPr>
      <w:rPr>
        <w:rFonts w:hint="default"/>
        <w:b w:val="0"/>
        <w:bCs w:val="0"/>
      </w:rPr>
    </w:lvl>
  </w:abstractNum>
  <w:abstractNum w:abstractNumId="6">
    <w:nsid w:val="1CF06374"/>
    <w:multiLevelType w:val="singleLevel"/>
    <w:tmpl w:val="278EC62C"/>
    <w:lvl w:ilvl="0">
      <w:start w:val="4"/>
      <w:numFmt w:val="decimal"/>
      <w:lvlText w:val="%1"/>
      <w:lvlJc w:val="left"/>
      <w:pPr>
        <w:tabs>
          <w:tab w:val="num" w:pos="360"/>
        </w:tabs>
        <w:ind w:left="360" w:hanging="360"/>
      </w:pPr>
      <w:rPr>
        <w:rFonts w:hint="default"/>
        <w:b w:val="0"/>
        <w:bCs w:val="0"/>
      </w:rPr>
    </w:lvl>
  </w:abstractNum>
  <w:abstractNum w:abstractNumId="7">
    <w:nsid w:val="1FDD09AC"/>
    <w:multiLevelType w:val="hybridMultilevel"/>
    <w:tmpl w:val="46A475E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20841B27"/>
    <w:multiLevelType w:val="hybridMultilevel"/>
    <w:tmpl w:val="A0D22E00"/>
    <w:lvl w:ilvl="0" w:tplc="A83C7072">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2C2418D8"/>
    <w:multiLevelType w:val="hybridMultilevel"/>
    <w:tmpl w:val="B622BF12"/>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7421CB0"/>
    <w:multiLevelType w:val="hybridMultilevel"/>
    <w:tmpl w:val="DB92EC8C"/>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4320"/>
        </w:tabs>
        <w:ind w:left="4320" w:hanging="360"/>
      </w:pPr>
    </w:lvl>
    <w:lvl w:ilvl="2" w:tplc="0419001B">
      <w:start w:val="1"/>
      <w:numFmt w:val="lowerRoman"/>
      <w:lvlText w:val="%3."/>
      <w:lvlJc w:val="right"/>
      <w:pPr>
        <w:tabs>
          <w:tab w:val="num" w:pos="5040"/>
        </w:tabs>
        <w:ind w:left="5040" w:hanging="180"/>
      </w:pPr>
    </w:lvl>
    <w:lvl w:ilvl="3" w:tplc="0419000F">
      <w:start w:val="1"/>
      <w:numFmt w:val="decimal"/>
      <w:lvlText w:val="%4."/>
      <w:lvlJc w:val="left"/>
      <w:pPr>
        <w:tabs>
          <w:tab w:val="num" w:pos="5760"/>
        </w:tabs>
        <w:ind w:left="5760" w:hanging="360"/>
      </w:pPr>
    </w:lvl>
    <w:lvl w:ilvl="4" w:tplc="04190019">
      <w:start w:val="1"/>
      <w:numFmt w:val="lowerLetter"/>
      <w:lvlText w:val="%5."/>
      <w:lvlJc w:val="left"/>
      <w:pPr>
        <w:tabs>
          <w:tab w:val="num" w:pos="6480"/>
        </w:tabs>
        <w:ind w:left="6480" w:hanging="360"/>
      </w:pPr>
    </w:lvl>
    <w:lvl w:ilvl="5" w:tplc="0419001B">
      <w:start w:val="1"/>
      <w:numFmt w:val="lowerRoman"/>
      <w:lvlText w:val="%6."/>
      <w:lvlJc w:val="right"/>
      <w:pPr>
        <w:tabs>
          <w:tab w:val="num" w:pos="7200"/>
        </w:tabs>
        <w:ind w:left="7200" w:hanging="180"/>
      </w:pPr>
    </w:lvl>
    <w:lvl w:ilvl="6" w:tplc="0419000F">
      <w:start w:val="1"/>
      <w:numFmt w:val="decimal"/>
      <w:lvlText w:val="%7."/>
      <w:lvlJc w:val="left"/>
      <w:pPr>
        <w:tabs>
          <w:tab w:val="num" w:pos="7920"/>
        </w:tabs>
        <w:ind w:left="7920" w:hanging="360"/>
      </w:pPr>
    </w:lvl>
    <w:lvl w:ilvl="7" w:tplc="04190019">
      <w:start w:val="1"/>
      <w:numFmt w:val="lowerLetter"/>
      <w:lvlText w:val="%8."/>
      <w:lvlJc w:val="left"/>
      <w:pPr>
        <w:tabs>
          <w:tab w:val="num" w:pos="8640"/>
        </w:tabs>
        <w:ind w:left="8640" w:hanging="360"/>
      </w:pPr>
    </w:lvl>
    <w:lvl w:ilvl="8" w:tplc="0419001B">
      <w:start w:val="1"/>
      <w:numFmt w:val="lowerRoman"/>
      <w:lvlText w:val="%9."/>
      <w:lvlJc w:val="right"/>
      <w:pPr>
        <w:tabs>
          <w:tab w:val="num" w:pos="9360"/>
        </w:tabs>
        <w:ind w:left="9360" w:hanging="180"/>
      </w:pPr>
    </w:lvl>
  </w:abstractNum>
  <w:abstractNum w:abstractNumId="11">
    <w:nsid w:val="3CEE33BE"/>
    <w:multiLevelType w:val="hybridMultilevel"/>
    <w:tmpl w:val="976C7BFE"/>
    <w:lvl w:ilvl="0" w:tplc="4D5A031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414D6BCB"/>
    <w:multiLevelType w:val="hybridMultilevel"/>
    <w:tmpl w:val="3A763468"/>
    <w:lvl w:ilvl="0" w:tplc="D43A6EB8">
      <w:start w:val="1"/>
      <w:numFmt w:val="bullet"/>
      <w:lvlText w:val=""/>
      <w:lvlJc w:val="left"/>
      <w:pPr>
        <w:tabs>
          <w:tab w:val="num" w:pos="3"/>
        </w:tabs>
        <w:ind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083"/>
        </w:tabs>
        <w:ind w:left="1083" w:hanging="360"/>
      </w:pPr>
      <w:rPr>
        <w:rFonts w:ascii="Courier New" w:hAnsi="Courier New" w:cs="Courier New" w:hint="default"/>
      </w:rPr>
    </w:lvl>
    <w:lvl w:ilvl="2" w:tplc="04190005">
      <w:start w:val="1"/>
      <w:numFmt w:val="bullet"/>
      <w:lvlText w:val=""/>
      <w:lvlJc w:val="left"/>
      <w:pPr>
        <w:tabs>
          <w:tab w:val="num" w:pos="1803"/>
        </w:tabs>
        <w:ind w:left="1803" w:hanging="360"/>
      </w:pPr>
      <w:rPr>
        <w:rFonts w:ascii="Wingdings" w:hAnsi="Wingdings" w:cs="Wingdings" w:hint="default"/>
      </w:rPr>
    </w:lvl>
    <w:lvl w:ilvl="3" w:tplc="04190001">
      <w:start w:val="1"/>
      <w:numFmt w:val="bullet"/>
      <w:lvlText w:val=""/>
      <w:lvlJc w:val="left"/>
      <w:pPr>
        <w:tabs>
          <w:tab w:val="num" w:pos="2523"/>
        </w:tabs>
        <w:ind w:left="2523" w:hanging="360"/>
      </w:pPr>
      <w:rPr>
        <w:rFonts w:ascii="Symbol" w:hAnsi="Symbol" w:cs="Symbol" w:hint="default"/>
      </w:rPr>
    </w:lvl>
    <w:lvl w:ilvl="4" w:tplc="04190003">
      <w:start w:val="1"/>
      <w:numFmt w:val="bullet"/>
      <w:lvlText w:val="o"/>
      <w:lvlJc w:val="left"/>
      <w:pPr>
        <w:tabs>
          <w:tab w:val="num" w:pos="3243"/>
        </w:tabs>
        <w:ind w:left="3243" w:hanging="360"/>
      </w:pPr>
      <w:rPr>
        <w:rFonts w:ascii="Courier New" w:hAnsi="Courier New" w:cs="Courier New" w:hint="default"/>
      </w:rPr>
    </w:lvl>
    <w:lvl w:ilvl="5" w:tplc="04190005">
      <w:start w:val="1"/>
      <w:numFmt w:val="bullet"/>
      <w:lvlText w:val=""/>
      <w:lvlJc w:val="left"/>
      <w:pPr>
        <w:tabs>
          <w:tab w:val="num" w:pos="3963"/>
        </w:tabs>
        <w:ind w:left="3963" w:hanging="360"/>
      </w:pPr>
      <w:rPr>
        <w:rFonts w:ascii="Wingdings" w:hAnsi="Wingdings" w:cs="Wingdings" w:hint="default"/>
      </w:rPr>
    </w:lvl>
    <w:lvl w:ilvl="6" w:tplc="04190001">
      <w:start w:val="1"/>
      <w:numFmt w:val="bullet"/>
      <w:lvlText w:val=""/>
      <w:lvlJc w:val="left"/>
      <w:pPr>
        <w:tabs>
          <w:tab w:val="num" w:pos="4683"/>
        </w:tabs>
        <w:ind w:left="4683" w:hanging="360"/>
      </w:pPr>
      <w:rPr>
        <w:rFonts w:ascii="Symbol" w:hAnsi="Symbol" w:cs="Symbol" w:hint="default"/>
      </w:rPr>
    </w:lvl>
    <w:lvl w:ilvl="7" w:tplc="04190003">
      <w:start w:val="1"/>
      <w:numFmt w:val="bullet"/>
      <w:lvlText w:val="o"/>
      <w:lvlJc w:val="left"/>
      <w:pPr>
        <w:tabs>
          <w:tab w:val="num" w:pos="5403"/>
        </w:tabs>
        <w:ind w:left="5403" w:hanging="360"/>
      </w:pPr>
      <w:rPr>
        <w:rFonts w:ascii="Courier New" w:hAnsi="Courier New" w:cs="Courier New" w:hint="default"/>
      </w:rPr>
    </w:lvl>
    <w:lvl w:ilvl="8" w:tplc="04190005">
      <w:start w:val="1"/>
      <w:numFmt w:val="bullet"/>
      <w:lvlText w:val=""/>
      <w:lvlJc w:val="left"/>
      <w:pPr>
        <w:tabs>
          <w:tab w:val="num" w:pos="6123"/>
        </w:tabs>
        <w:ind w:left="6123" w:hanging="360"/>
      </w:pPr>
      <w:rPr>
        <w:rFonts w:ascii="Wingdings" w:hAnsi="Wingdings" w:cs="Wingdings" w:hint="default"/>
      </w:rPr>
    </w:lvl>
  </w:abstractNum>
  <w:abstractNum w:abstractNumId="13">
    <w:nsid w:val="4173144A"/>
    <w:multiLevelType w:val="singleLevel"/>
    <w:tmpl w:val="30D264A2"/>
    <w:lvl w:ilvl="0">
      <w:start w:val="4"/>
      <w:numFmt w:val="decimal"/>
      <w:lvlText w:val="%1"/>
      <w:lvlJc w:val="left"/>
      <w:pPr>
        <w:tabs>
          <w:tab w:val="num" w:pos="360"/>
        </w:tabs>
        <w:ind w:left="360" w:hanging="360"/>
      </w:pPr>
      <w:rPr>
        <w:rFonts w:hint="default"/>
        <w:b w:val="0"/>
        <w:bCs w:val="0"/>
      </w:rPr>
    </w:lvl>
  </w:abstractNum>
  <w:abstractNum w:abstractNumId="14">
    <w:nsid w:val="487D1F08"/>
    <w:multiLevelType w:val="hybridMultilevel"/>
    <w:tmpl w:val="572C97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4F052ED1"/>
    <w:multiLevelType w:val="hybridMultilevel"/>
    <w:tmpl w:val="754C81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51D80952"/>
    <w:multiLevelType w:val="singleLevel"/>
    <w:tmpl w:val="9F84F21E"/>
    <w:lvl w:ilvl="0">
      <w:start w:val="4"/>
      <w:numFmt w:val="decimal"/>
      <w:lvlText w:val="%1"/>
      <w:lvlJc w:val="left"/>
      <w:pPr>
        <w:tabs>
          <w:tab w:val="num" w:pos="360"/>
        </w:tabs>
        <w:ind w:left="360" w:hanging="360"/>
      </w:pPr>
      <w:rPr>
        <w:rFonts w:hint="default"/>
        <w:b w:val="0"/>
        <w:bCs w:val="0"/>
      </w:rPr>
    </w:lvl>
  </w:abstractNum>
  <w:abstractNum w:abstractNumId="17">
    <w:nsid w:val="56C514CC"/>
    <w:multiLevelType w:val="hybridMultilevel"/>
    <w:tmpl w:val="344EE466"/>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59123FE4"/>
    <w:multiLevelType w:val="hybridMultilevel"/>
    <w:tmpl w:val="A2C02E6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61386F89"/>
    <w:multiLevelType w:val="hybridMultilevel"/>
    <w:tmpl w:val="3962AE84"/>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62F76F83"/>
    <w:multiLevelType w:val="hybridMultilevel"/>
    <w:tmpl w:val="89528C64"/>
    <w:lvl w:ilvl="0" w:tplc="0C683D66">
      <w:start w:val="3"/>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3935042"/>
    <w:multiLevelType w:val="hybridMultilevel"/>
    <w:tmpl w:val="774C146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61870FA"/>
    <w:multiLevelType w:val="hybridMultilevel"/>
    <w:tmpl w:val="E1C4DFC8"/>
    <w:lvl w:ilvl="0" w:tplc="347CD8C0">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A2B38D7"/>
    <w:multiLevelType w:val="hybridMultilevel"/>
    <w:tmpl w:val="C06EED46"/>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4">
    <w:nsid w:val="73B37068"/>
    <w:multiLevelType w:val="hybridMultilevel"/>
    <w:tmpl w:val="34F862B0"/>
    <w:lvl w:ilvl="0" w:tplc="4D5A031E">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76B95790"/>
    <w:multiLevelType w:val="singleLevel"/>
    <w:tmpl w:val="CBA29214"/>
    <w:lvl w:ilvl="0">
      <w:start w:val="4"/>
      <w:numFmt w:val="decimal"/>
      <w:lvlText w:val="%1"/>
      <w:lvlJc w:val="left"/>
      <w:pPr>
        <w:tabs>
          <w:tab w:val="num" w:pos="360"/>
        </w:tabs>
        <w:ind w:left="360" w:hanging="360"/>
      </w:pPr>
      <w:rPr>
        <w:rFonts w:hint="default"/>
        <w:b w:val="0"/>
        <w:bCs w:val="0"/>
      </w:rPr>
    </w:lvl>
  </w:abstractNum>
  <w:abstractNum w:abstractNumId="26">
    <w:nsid w:val="77BE7A4E"/>
    <w:multiLevelType w:val="singleLevel"/>
    <w:tmpl w:val="98FC93B6"/>
    <w:lvl w:ilvl="0">
      <w:start w:val="4"/>
      <w:numFmt w:val="decimal"/>
      <w:lvlText w:val="%1"/>
      <w:lvlJc w:val="left"/>
      <w:pPr>
        <w:tabs>
          <w:tab w:val="num" w:pos="360"/>
        </w:tabs>
        <w:ind w:left="360" w:hanging="360"/>
      </w:pPr>
      <w:rPr>
        <w:rFonts w:hint="default"/>
        <w:b w:val="0"/>
        <w:bCs w:val="0"/>
      </w:rPr>
    </w:lvl>
  </w:abstractNum>
  <w:abstractNum w:abstractNumId="27">
    <w:nsid w:val="77F66DB4"/>
    <w:multiLevelType w:val="singleLevel"/>
    <w:tmpl w:val="04190013"/>
    <w:lvl w:ilvl="0">
      <w:start w:val="3"/>
      <w:numFmt w:val="upperRoman"/>
      <w:lvlText w:val="%1."/>
      <w:lvlJc w:val="left"/>
      <w:pPr>
        <w:tabs>
          <w:tab w:val="num" w:pos="720"/>
        </w:tabs>
        <w:ind w:left="720" w:hanging="720"/>
      </w:pPr>
      <w:rPr>
        <w:rFonts w:hint="default"/>
      </w:rPr>
    </w:lvl>
  </w:abstractNum>
  <w:abstractNum w:abstractNumId="28">
    <w:nsid w:val="7D40648C"/>
    <w:multiLevelType w:val="hybridMultilevel"/>
    <w:tmpl w:val="3B22D2A2"/>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7E8914E7"/>
    <w:multiLevelType w:val="hybridMultilevel"/>
    <w:tmpl w:val="4094C3D8"/>
    <w:lvl w:ilvl="0" w:tplc="D43A6EB8">
      <w:start w:val="1"/>
      <w:numFmt w:val="bullet"/>
      <w:lvlText w:val=""/>
      <w:lvlJc w:val="left"/>
      <w:pPr>
        <w:tabs>
          <w:tab w:val="num" w:pos="360"/>
        </w:tabs>
        <w:ind w:left="357" w:hanging="357"/>
      </w:pPr>
      <w:rPr>
        <w:rFonts w:ascii="Symbol" w:hAnsi="Symbol" w:cs="Symbol" w:hint="default"/>
        <w:b/>
        <w:bCs/>
        <w:i w:val="0"/>
        <w:iCs w:val="0"/>
        <w:outline w:val="0"/>
        <w:shadow w:val="0"/>
        <w:emboss w:val="0"/>
        <w:imprint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3"/>
  </w:num>
  <w:num w:numId="3">
    <w:abstractNumId w:val="9"/>
  </w:num>
  <w:num w:numId="4">
    <w:abstractNumId w:val="27"/>
  </w:num>
  <w:num w:numId="5">
    <w:abstractNumId w:val="5"/>
  </w:num>
  <w:num w:numId="6">
    <w:abstractNumId w:val="16"/>
  </w:num>
  <w:num w:numId="7">
    <w:abstractNumId w:val="25"/>
  </w:num>
  <w:num w:numId="8">
    <w:abstractNumId w:val="13"/>
  </w:num>
  <w:num w:numId="9">
    <w:abstractNumId w:val="26"/>
  </w:num>
  <w:num w:numId="10">
    <w:abstractNumId w:val="6"/>
  </w:num>
  <w:num w:numId="11">
    <w:abstractNumId w:val="19"/>
  </w:num>
  <w:num w:numId="12">
    <w:abstractNumId w:val="4"/>
  </w:num>
  <w:num w:numId="13">
    <w:abstractNumId w:val="10"/>
  </w:num>
  <w:num w:numId="14">
    <w:abstractNumId w:val="14"/>
  </w:num>
  <w:num w:numId="15">
    <w:abstractNumId w:val="15"/>
  </w:num>
  <w:num w:numId="16">
    <w:abstractNumId w:val="12"/>
  </w:num>
  <w:num w:numId="17">
    <w:abstractNumId w:val="29"/>
  </w:num>
  <w:num w:numId="18">
    <w:abstractNumId w:val="21"/>
  </w:num>
  <w:num w:numId="19">
    <w:abstractNumId w:val="22"/>
  </w:num>
  <w:num w:numId="20">
    <w:abstractNumId w:val="1"/>
  </w:num>
  <w:num w:numId="21">
    <w:abstractNumId w:val="0"/>
  </w:num>
  <w:num w:numId="22">
    <w:abstractNumId w:val="18"/>
  </w:num>
  <w:num w:numId="23">
    <w:abstractNumId w:val="28"/>
  </w:num>
  <w:num w:numId="24">
    <w:abstractNumId w:val="7"/>
  </w:num>
  <w:num w:numId="25">
    <w:abstractNumId w:val="8"/>
  </w:num>
  <w:num w:numId="26">
    <w:abstractNumId w:val="20"/>
  </w:num>
  <w:num w:numId="27">
    <w:abstractNumId w:val="24"/>
  </w:num>
  <w:num w:numId="28">
    <w:abstractNumId w:val="11"/>
  </w:num>
  <w:num w:numId="29">
    <w:abstractNumId w:val="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6C66"/>
    <w:rsid w:val="002571EE"/>
    <w:rsid w:val="00696EDA"/>
    <w:rsid w:val="007F641D"/>
    <w:rsid w:val="00B470B2"/>
    <w:rsid w:val="00CA6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14:defaultImageDpi w14:val="0"/>
  <w15:chartTrackingRefBased/>
  <w15:docId w15:val="{DB5B4D0F-7CF1-428F-99B1-98CAAB55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hd w:val="clear" w:color="auto" w:fill="FFFFFF"/>
      <w:spacing w:line="360" w:lineRule="auto"/>
      <w:jc w:val="center"/>
      <w:outlineLvl w:val="0"/>
    </w:pPr>
    <w:rPr>
      <w:b/>
      <w:bCs/>
      <w:color w:val="000000"/>
    </w:rPr>
  </w:style>
  <w:style w:type="paragraph" w:styleId="3">
    <w:name w:val="heading 3"/>
    <w:basedOn w:val="a"/>
    <w:next w:val="a"/>
    <w:link w:val="30"/>
    <w:uiPriority w:val="99"/>
    <w:qFormat/>
    <w:pPr>
      <w:keepNext/>
      <w:outlineLvl w:val="2"/>
    </w:pPr>
    <w:rPr>
      <w:sz w:val="28"/>
      <w:szCs w:val="28"/>
    </w:rPr>
  </w:style>
  <w:style w:type="paragraph" w:styleId="4">
    <w:name w:val="heading 4"/>
    <w:basedOn w:val="a"/>
    <w:next w:val="a"/>
    <w:link w:val="40"/>
    <w:uiPriority w:val="99"/>
    <w:qFormat/>
    <w:pPr>
      <w:keepNext/>
      <w:jc w:val="right"/>
      <w:outlineLvl w:val="3"/>
    </w:pPr>
    <w:rPr>
      <w:sz w:val="28"/>
      <w:szCs w:val="28"/>
    </w:rPr>
  </w:style>
  <w:style w:type="paragraph" w:styleId="5">
    <w:name w:val="heading 5"/>
    <w:basedOn w:val="a"/>
    <w:next w:val="a"/>
    <w:link w:val="50"/>
    <w:uiPriority w:val="99"/>
    <w:qFormat/>
    <w:pPr>
      <w:keepNext/>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2">
    <w:name w:val="Body Text 2"/>
    <w:basedOn w:val="a"/>
    <w:link w:val="20"/>
    <w:uiPriority w:val="99"/>
    <w:pPr>
      <w:shd w:val="clear" w:color="auto" w:fill="FFFFFF"/>
      <w:spacing w:line="360" w:lineRule="auto"/>
      <w:ind w:firstLine="720"/>
      <w:jc w:val="both"/>
    </w:pPr>
    <w:rPr>
      <w:color w:val="000000"/>
    </w:rPr>
  </w:style>
  <w:style w:type="character" w:customStyle="1" w:styleId="20">
    <w:name w:val="Основной текст 2 Знак"/>
    <w:link w:val="2"/>
    <w:uiPriority w:val="99"/>
    <w:semiHidden/>
    <w:rPr>
      <w:sz w:val="24"/>
      <w:szCs w:val="24"/>
    </w:rPr>
  </w:style>
  <w:style w:type="character" w:customStyle="1" w:styleId="a3">
    <w:name w:val="Основной шрифт"/>
    <w:uiPriority w:val="99"/>
  </w:style>
  <w:style w:type="paragraph" w:customStyle="1" w:styleId="a4">
    <w:name w:val="ПоЛевому"/>
    <w:basedOn w:val="a"/>
    <w:uiPriority w:val="99"/>
    <w:pPr>
      <w:tabs>
        <w:tab w:val="right" w:pos="10631"/>
      </w:tabs>
      <w:autoSpaceDE w:val="0"/>
      <w:autoSpaceDN w:val="0"/>
      <w:jc w:val="both"/>
    </w:pPr>
    <w:rPr>
      <w:rFonts w:ascii="Courier New" w:hAnsi="Courier New" w:cs="Courier New"/>
    </w:rPr>
  </w:style>
  <w:style w:type="paragraph" w:customStyle="1" w:styleId="11">
    <w:name w:val="Стиль1"/>
    <w:basedOn w:val="a"/>
    <w:autoRedefine/>
    <w:uiPriority w:val="99"/>
    <w:pPr>
      <w:autoSpaceDE w:val="0"/>
      <w:autoSpaceDN w:val="0"/>
      <w:ind w:firstLine="1559"/>
      <w:jc w:val="both"/>
    </w:pPr>
    <w:rPr>
      <w:rFonts w:ascii="Courier New" w:hAnsi="Courier New" w:cs="Courier New"/>
    </w:rPr>
  </w:style>
  <w:style w:type="paragraph" w:styleId="a5">
    <w:name w:val="Body Text"/>
    <w:basedOn w:val="a"/>
    <w:link w:val="a6"/>
    <w:uiPriority w:val="99"/>
    <w:pPr>
      <w:widowControl w:val="0"/>
      <w:shd w:val="clear" w:color="auto" w:fill="FFFFFF"/>
      <w:autoSpaceDE w:val="0"/>
      <w:autoSpaceDN w:val="0"/>
      <w:adjustRightInd w:val="0"/>
    </w:pPr>
    <w:rPr>
      <w:color w:val="000000"/>
      <w:sz w:val="23"/>
      <w:szCs w:val="23"/>
    </w:rPr>
  </w:style>
  <w:style w:type="character" w:customStyle="1" w:styleId="a6">
    <w:name w:val="Основной текст Знак"/>
    <w:link w:val="a5"/>
    <w:uiPriority w:val="99"/>
    <w:semiHidden/>
    <w:rPr>
      <w:sz w:val="24"/>
      <w:szCs w:val="24"/>
    </w:rPr>
  </w:style>
  <w:style w:type="paragraph" w:styleId="31">
    <w:name w:val="Body Text 3"/>
    <w:basedOn w:val="a"/>
    <w:link w:val="32"/>
    <w:uiPriority w:val="99"/>
    <w:pPr>
      <w:shd w:val="clear" w:color="auto" w:fill="FFFFFF"/>
      <w:spacing w:line="360" w:lineRule="auto"/>
    </w:pPr>
    <w:rPr>
      <w:color w:val="000000"/>
    </w:rPr>
  </w:style>
  <w:style w:type="character" w:customStyle="1" w:styleId="32">
    <w:name w:val="Основной текст 3 Знак"/>
    <w:link w:val="31"/>
    <w:uiPriority w:val="99"/>
    <w:semiHidden/>
    <w:rPr>
      <w:sz w:val="16"/>
      <w:szCs w:val="16"/>
    </w:rPr>
  </w:style>
  <w:style w:type="paragraph" w:styleId="12">
    <w:name w:val="toc 1"/>
    <w:basedOn w:val="a"/>
    <w:next w:val="a"/>
    <w:autoRedefine/>
    <w:uiPriority w:val="99"/>
    <w:semiHidden/>
    <w:pPr>
      <w:tabs>
        <w:tab w:val="right" w:leader="dot" w:pos="9628"/>
      </w:tabs>
      <w:spacing w:line="360" w:lineRule="auto"/>
    </w:pPr>
    <w:rPr>
      <w:sz w:val="28"/>
      <w:szCs w:val="28"/>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5120</Words>
  <Characters>29190</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Покупатель</Company>
  <LinksUpToDate>false</LinksUpToDate>
  <CharactersWithSpaces>34242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Дорогой</dc:creator>
  <cp:keywords/>
  <dc:description/>
  <cp:lastModifiedBy>admin</cp:lastModifiedBy>
  <cp:revision>2</cp:revision>
  <dcterms:created xsi:type="dcterms:W3CDTF">2014-02-17T14:25:00Z</dcterms:created>
  <dcterms:modified xsi:type="dcterms:W3CDTF">2014-02-17T14:25:00Z</dcterms:modified>
</cp:coreProperties>
</file>